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BlackLine,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001-37924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46-3354276</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176" w:lineRule="exact"/>
        <w:rPr>
          <w:sz w:val="24"/>
          <w:szCs w:val="24"/>
          <w:color w:val="auto"/>
        </w:rPr>
      </w:pPr>
    </w:p>
    <w:p>
      <w:pPr>
        <w:sectPr>
          <w:pgSz w:w="11900" w:h="16838" w:orient="portrait"/>
          <w:cols w:equalWidth="0" w:num="3">
            <w:col w:w="4484" w:space="720"/>
            <w:col w:w="2620" w:space="720"/>
            <w:col w:w="248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21300 Victory Boulevard, 12th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Woodland Hills, CA 91367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(818) 223-9008</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BL</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Election of Directors; Appointment of Certain Officers; Compensatory Arrangements of Certain Officers.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May 12, 2021, the Compensation Committee of the Board of Directors of BlackLine, Inc. (“BlackLine” or the “Company”), conducted a periodic review of the severance and change in control protections provided to the Company’s officers. Based such review, conducted with the Committee’s independent compensation consultant, the Compensation Committee made certain modifications to such protections to align them with protections provided at compensation peer companies with the modifications detailed below.</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our Chief Executive Officer, Marc Huffman, if his employment is terminated other than for “cause,” death or “disability” or if he resigns for “good reason” in connection with a change in control, his cash severance will increase from 50% of his base salary to 150% of his base salary and his benefits continuation protection will increase from 6 months to 18 months. In addition, the change in control protection period for Mr. Huffman was extended to include a three month period prior to the change in control. If his employment is terminated other than for “cause,” death or “disability” outside of the change in control period, his cash severance will increase from 50% of his base salary to 100% of his base salary and his benefits continuation protection period will increase from 6 months to 12 months. No changes were made to provide increased equity acceleration.</w:t>
      </w:r>
    </w:p>
    <w:p>
      <w:pPr>
        <w:spacing w:after="0" w:line="1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Company’s other named executive officers, if employment is terminated other than for “cause,” death or “disability” or if such named executive officer resigns for “good reason” in connection with a change in control, their cash severance will increase from 50% of their base salary to 100% of their base salary and their benefits continuation protection will increase from 6 months to 12 months. No changes were made to their benefits outside of the change in control period and no changes were made to provide increased equity acceleration.</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 benefits described, including defined terms used, are subject to the terms of the Company’s Change in Control and Severance Policy, filed as Exhibit 10.10 to the Company’s Form 10-K.</w:t>
      </w:r>
    </w:p>
    <w:p>
      <w:pPr>
        <w:sectPr>
          <w:pgSz w:w="11900" w:h="16838" w:orient="portrait"/>
          <w:cols w:equalWidth="0" w:num="1">
            <w:col w:w="10920"/>
          </w:cols>
          <w:pgMar w:left="440" w:top="297" w:right="5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BlackLine,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Karole Morgan-Prager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Karole Morgan-Prager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Legal and Administrative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19, 2021</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2021-05-19T15:16:03Z</dcterms:created>
  <dcterms:modified xsi:type="dcterms:W3CDTF">2021-05-19T15:16:03Z</dcterms:modified>
</cp:coreProperties>
</file>