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______________________________________________________________</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______________________________________________________________</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1" w:lineRule="exact"/>
        <w:rPr>
          <w:sz w:val="24"/>
          <w:szCs w:val="24"/>
          <w:color w:val="auto"/>
        </w:rPr>
      </w:pPr>
    </w:p>
    <w:p>
      <w:pPr>
        <w:ind w:left="420" w:right="300" w:hanging="394"/>
        <w:spacing w:after="0" w:line="216" w:lineRule="auto"/>
        <w:tabs>
          <w:tab w:leader="none" w:pos="4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QUARTERLY REPORT PURSUANT TO SECTION 13 OR 15(d) OF THE SECURITIES EXCHANGE ACT OF 1934</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420" w:right="300" w:hanging="394"/>
        <w:spacing w:after="0" w:line="216" w:lineRule="auto"/>
        <w:tabs>
          <w:tab w:leader="none" w:pos="42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146" w:lineRule="exact"/>
        <w:rPr>
          <w:sz w:val="24"/>
          <w:szCs w:val="24"/>
          <w:color w:val="auto"/>
        </w:rPr>
      </w:pPr>
    </w:p>
    <w:p>
      <w:pPr>
        <w:ind w:left="40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001-37924</w:t>
      </w:r>
    </w:p>
    <w:p>
      <w:pPr>
        <w:spacing w:after="0" w:line="15"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______________________________________________________________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BlackLine, Inc.</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______________________________________________________________</w:t>
      </w:r>
    </w:p>
    <w:p>
      <w:pPr>
        <w:spacing w:after="0" w:line="126" w:lineRule="exact"/>
        <w:rPr>
          <w:sz w:val="24"/>
          <w:szCs w:val="24"/>
          <w:color w:val="auto"/>
        </w:rPr>
      </w:pPr>
    </w:p>
    <w:p>
      <w:pPr>
        <w:ind w:left="2400"/>
        <w:spacing w:after="0"/>
        <w:tabs>
          <w:tab w:leader="none" w:pos="79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46-3354276</w:t>
      </w:r>
    </w:p>
    <w:p>
      <w:pPr>
        <w:spacing w:after="0" w:line="73" w:lineRule="exact"/>
        <w:rPr>
          <w:sz w:val="24"/>
          <w:szCs w:val="24"/>
          <w:color w:val="auto"/>
        </w:rPr>
      </w:pPr>
    </w:p>
    <w:p>
      <w:pPr>
        <w:ind w:left="1820"/>
        <w:spacing w:after="0"/>
        <w:tabs>
          <w:tab w:leader="none" w:pos="78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(I.R.S. Employer</w:t>
      </w:r>
    </w:p>
    <w:p>
      <w:pPr>
        <w:spacing w:after="0" w:line="29" w:lineRule="exact"/>
        <w:rPr>
          <w:sz w:val="24"/>
          <w:szCs w:val="24"/>
          <w:color w:val="auto"/>
        </w:rPr>
      </w:pPr>
    </w:p>
    <w:p>
      <w:pPr>
        <w:ind w:left="1780"/>
        <w:spacing w:after="0"/>
        <w:tabs>
          <w:tab w:leader="none" w:pos="77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Identification No.)</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21300 Victory Boulevard, 12th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Woodland Hills, CA 91367</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(818) 223-9008</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______________________________________________________________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4540" w:type="dxa"/>
            <w:vAlign w:val="bottom"/>
            <w:tcBorders>
              <w:top w:val="single" w:sz="8" w:color="auto"/>
              <w:left w:val="single" w:sz="8" w:color="auto"/>
              <w:right w:val="single" w:sz="8" w:color="auto"/>
            </w:tcBorders>
          </w:tcPr>
          <w:p>
            <w:pPr>
              <w:ind w:left="156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4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BL</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r>
        <w:trPr>
          <w:trHeight w:val="23"/>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4"/>
          <w:szCs w:val="24"/>
          <w:color w:val="auto"/>
        </w:rPr>
      </w:pPr>
    </w:p>
    <w:p>
      <w:pPr>
        <w:ind w:right="8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36" w:lineRule="exact"/>
        <w:rPr>
          <w:sz w:val="24"/>
          <w:szCs w:val="24"/>
          <w:color w:val="auto"/>
        </w:rPr>
      </w:pPr>
    </w:p>
    <w:p>
      <w:pPr>
        <w:ind w:right="28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22"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0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5" w:lineRule="exact"/>
        <w:rPr>
          <w:sz w:val="24"/>
          <w:szCs w:val="24"/>
          <w:color w:val="auto"/>
        </w:rPr>
      </w:pPr>
    </w:p>
    <w:p>
      <w:pPr>
        <w:jc w:val="both"/>
        <w:ind w:right="220"/>
        <w:spacing w:after="0" w:line="266"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20"/>
        <w:spacing w:after="0" w:line="28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at April 30, 2026 was 58,660,917.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65" w:right="31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5" w:right="319" w:bottom="15"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372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0F0000"/>
              </w:rPr>
              <w:t>Item 1.</w:t>
            </w:r>
          </w:p>
        </w:tc>
        <w:tc>
          <w:tcPr>
            <w:tcW w:w="9300" w:type="dxa"/>
            <w:vAlign w:val="bottom"/>
            <w:gridSpan w:val="31"/>
          </w:tcPr>
          <w:p>
            <w:pPr>
              <w:spacing w:after="0"/>
              <w:rPr>
                <w:sz w:val="20"/>
                <w:szCs w:val="20"/>
                <w:color w:val="auto"/>
              </w:rPr>
            </w:pPr>
            <w:r>
              <w:rPr>
                <w:rFonts w:ascii="Arial" w:cs="Arial" w:eastAsia="Arial" w:hAnsi="Arial"/>
                <w:sz w:val="18"/>
                <w:szCs w:val="18"/>
                <w:color w:val="0000FF"/>
              </w:rPr>
              <w:t>Unaudited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0F0000"/>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E32E1"/>
              </w:rPr>
              <w:t xml:space="preserve">Unaudited Condensed Consolidated Balance Sheets at </w:t>
            </w:r>
            <w:r>
              <w:rPr>
                <w:rFonts w:ascii="Arial" w:cs="Arial" w:eastAsia="Arial" w:hAnsi="Arial"/>
                <w:sz w:val="18"/>
                <w:szCs w:val="18"/>
                <w:color w:val="3051F2"/>
              </w:rPr>
              <w:t>March 31, 2026</w:t>
            </w:r>
            <w:r>
              <w:rPr>
                <w:rFonts w:ascii="Arial" w:cs="Arial" w:eastAsia="Arial" w:hAnsi="Arial"/>
                <w:sz w:val="18"/>
                <w:szCs w:val="18"/>
                <w:color w:val="0E32E1"/>
              </w:rPr>
              <w:t xml:space="preserve"> and </w:t>
            </w:r>
            <w:r>
              <w:rPr>
                <w:rFonts w:ascii="Arial" w:cs="Arial" w:eastAsia="Arial" w:hAnsi="Arial"/>
                <w:sz w:val="18"/>
                <w:szCs w:val="18"/>
                <w:color w:val="3051F2"/>
              </w:rPr>
              <w:t>December 31, 2025</w:t>
            </w:r>
          </w:p>
        </w:tc>
        <w:tc>
          <w:tcPr>
            <w:tcW w:w="780" w:type="dxa"/>
            <w:vAlign w:val="bottom"/>
          </w:tcPr>
          <w:p>
            <w:pPr>
              <w:jc w:val="right"/>
              <w:spacing w:after="0"/>
              <w:rPr>
                <w:sz w:val="20"/>
                <w:szCs w:val="20"/>
                <w:color w:val="auto"/>
              </w:rPr>
            </w:pPr>
            <w:r>
              <w:rPr>
                <w:rFonts w:ascii="Arial" w:cs="Arial" w:eastAsia="Arial" w:hAnsi="Arial"/>
                <w:sz w:val="18"/>
                <w:szCs w:val="18"/>
                <w:color w:val="0F0000"/>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right w:val="single" w:sz="8" w:color="0E32E1"/>
            </w:tcBorders>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460" w:type="dxa"/>
            <w:vAlign w:val="bottom"/>
            <w:gridSpan w:val="2"/>
            <w:shd w:val="clear" w:color="auto" w:fill="0E32E1"/>
          </w:tcPr>
          <w:p>
            <w:pPr>
              <w:spacing w:after="0" w:line="20" w:lineRule="exact"/>
              <w:rPr>
                <w:sz w:val="1"/>
                <w:szCs w:val="1"/>
                <w:color w:val="auto"/>
              </w:rPr>
            </w:pPr>
          </w:p>
        </w:tc>
        <w:tc>
          <w:tcPr>
            <w:tcW w:w="1020" w:type="dxa"/>
            <w:vAlign w:val="bottom"/>
            <w:shd w:val="clear" w:color="auto" w:fill="0E32E1"/>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0" w:type="dxa"/>
            <w:vAlign w:val="bottom"/>
            <w:tcBorders>
              <w:right w:val="single" w:sz="8" w:color="3051F2"/>
            </w:tcBorders>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E32E1"/>
              </w:rPr>
              <w:t xml:space="preserve">Unaudited Condensed Consolidated Statements of Operations for the Quarters Ended </w:t>
            </w:r>
            <w:r>
              <w:rPr>
                <w:rFonts w:ascii="Arial" w:cs="Arial" w:eastAsia="Arial" w:hAnsi="Arial"/>
                <w:sz w:val="18"/>
                <w:szCs w:val="18"/>
                <w:color w:val="3051F2"/>
              </w:rPr>
              <w:t>March 31, 2026</w:t>
            </w:r>
            <w:r>
              <w:rPr>
                <w:rFonts w:ascii="Arial" w:cs="Arial" w:eastAsia="Arial" w:hAnsi="Arial"/>
                <w:sz w:val="18"/>
                <w:szCs w:val="18"/>
                <w:color w:val="0E32E1"/>
              </w:rPr>
              <w:t xml:space="preserve"> and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F0000"/>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20" w:type="dxa"/>
            <w:vAlign w:val="bottom"/>
            <w:tcBorders>
              <w:top w:val="single" w:sz="8" w:color="0E32E1"/>
              <w:bottom w:val="single" w:sz="8" w:color="3051F2"/>
            </w:tcBorders>
          </w:tcPr>
          <w:p>
            <w:pPr>
              <w:spacing w:after="0" w:line="196" w:lineRule="exact"/>
              <w:rPr>
                <w:sz w:val="20"/>
                <w:szCs w:val="20"/>
                <w:color w:val="auto"/>
              </w:rPr>
            </w:pPr>
            <w:r>
              <w:rPr>
                <w:rFonts w:ascii="Arial" w:cs="Arial" w:eastAsia="Arial" w:hAnsi="Arial"/>
                <w:sz w:val="18"/>
                <w:szCs w:val="18"/>
                <w:color w:val="3051F2"/>
                <w:w w:val="94"/>
              </w:rPr>
              <w:t>2025</w:t>
            </w:r>
          </w:p>
        </w:tc>
        <w:tc>
          <w:tcPr>
            <w:tcW w:w="200" w:type="dxa"/>
            <w:vAlign w:val="bottom"/>
            <w:tcBorders>
              <w:top w:val="single" w:sz="8" w:color="0E32E1"/>
            </w:tcBorders>
          </w:tcPr>
          <w:p>
            <w:pPr>
              <w:spacing w:after="0"/>
              <w:rPr>
                <w:sz w:val="17"/>
                <w:szCs w:val="17"/>
                <w:color w:val="auto"/>
              </w:rPr>
            </w:pPr>
          </w:p>
        </w:tc>
        <w:tc>
          <w:tcPr>
            <w:tcW w:w="18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80" w:type="dxa"/>
            <w:vAlign w:val="bottom"/>
            <w:tcBorders>
              <w:top w:val="single" w:sz="8" w:color="0E32E1"/>
            </w:tcBorders>
          </w:tcPr>
          <w:p>
            <w:pPr>
              <w:spacing w:after="0"/>
              <w:rPr>
                <w:sz w:val="17"/>
                <w:szCs w:val="17"/>
                <w:color w:val="auto"/>
              </w:rPr>
            </w:pPr>
          </w:p>
        </w:tc>
        <w:tc>
          <w:tcPr>
            <w:tcW w:w="500" w:type="dxa"/>
            <w:vAlign w:val="bottom"/>
            <w:tcBorders>
              <w:top w:val="single" w:sz="8" w:color="0E32E1"/>
            </w:tcBorders>
          </w:tcPr>
          <w:p>
            <w:pPr>
              <w:spacing w:after="0"/>
              <w:rPr>
                <w:sz w:val="17"/>
                <w:szCs w:val="17"/>
                <w:color w:val="auto"/>
              </w:rPr>
            </w:pPr>
          </w:p>
        </w:tc>
        <w:tc>
          <w:tcPr>
            <w:tcW w:w="1220" w:type="dxa"/>
            <w:vAlign w:val="bottom"/>
            <w:tcBorders>
              <w:top w:val="single" w:sz="8" w:color="0E32E1"/>
            </w:tcBorders>
          </w:tcPr>
          <w:p>
            <w:pPr>
              <w:spacing w:after="0"/>
              <w:rPr>
                <w:sz w:val="17"/>
                <w:szCs w:val="17"/>
                <w:color w:val="auto"/>
              </w:rPr>
            </w:pPr>
          </w:p>
        </w:tc>
        <w:tc>
          <w:tcPr>
            <w:tcW w:w="240" w:type="dxa"/>
            <w:vAlign w:val="bottom"/>
            <w:tcBorders>
              <w:top w:val="single" w:sz="8" w:color="0E32E1"/>
            </w:tcBorders>
          </w:tcPr>
          <w:p>
            <w:pPr>
              <w:spacing w:after="0"/>
              <w:rPr>
                <w:sz w:val="17"/>
                <w:szCs w:val="17"/>
                <w:color w:val="auto"/>
              </w:rPr>
            </w:pPr>
          </w:p>
        </w:tc>
        <w:tc>
          <w:tcPr>
            <w:tcW w:w="1020" w:type="dxa"/>
            <w:vAlign w:val="bottom"/>
            <w:tcBorders>
              <w:top w:val="single" w:sz="8" w:color="0E32E1"/>
            </w:tcBorders>
          </w:tcPr>
          <w:p>
            <w:pPr>
              <w:spacing w:after="0"/>
              <w:rPr>
                <w:sz w:val="17"/>
                <w:szCs w:val="17"/>
                <w:color w:val="auto"/>
              </w:rPr>
            </w:pPr>
          </w:p>
        </w:tc>
        <w:tc>
          <w:tcPr>
            <w:tcW w:w="160" w:type="dxa"/>
            <w:vAlign w:val="bottom"/>
            <w:tcBorders>
              <w:top w:val="single" w:sz="8" w:color="0E32E1"/>
            </w:tcBorders>
          </w:tcPr>
          <w:p>
            <w:pPr>
              <w:spacing w:after="0"/>
              <w:rPr>
                <w:sz w:val="17"/>
                <w:szCs w:val="17"/>
                <w:color w:val="auto"/>
              </w:rPr>
            </w:pPr>
          </w:p>
        </w:tc>
        <w:tc>
          <w:tcPr>
            <w:tcW w:w="80" w:type="dxa"/>
            <w:vAlign w:val="bottom"/>
            <w:tcBorders>
              <w:top w:val="single" w:sz="8" w:color="0E32E1"/>
            </w:tcBorders>
          </w:tcPr>
          <w:p>
            <w:pPr>
              <w:spacing w:after="0"/>
              <w:rPr>
                <w:sz w:val="17"/>
                <w:szCs w:val="17"/>
                <w:color w:val="auto"/>
              </w:rPr>
            </w:pPr>
          </w:p>
        </w:tc>
        <w:tc>
          <w:tcPr>
            <w:tcW w:w="140" w:type="dxa"/>
            <w:vAlign w:val="bottom"/>
            <w:tcBorders>
              <w:top w:val="single" w:sz="8" w:color="0E32E1"/>
            </w:tcBorders>
          </w:tcPr>
          <w:p>
            <w:pPr>
              <w:spacing w:after="0"/>
              <w:rPr>
                <w:sz w:val="17"/>
                <w:szCs w:val="17"/>
                <w:color w:val="auto"/>
              </w:rPr>
            </w:pPr>
          </w:p>
        </w:tc>
        <w:tc>
          <w:tcPr>
            <w:tcW w:w="50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120" w:type="dxa"/>
            <w:vAlign w:val="bottom"/>
            <w:tcBorders>
              <w:top w:val="single" w:sz="8" w:color="0E32E1"/>
            </w:tcBorders>
          </w:tcPr>
          <w:p>
            <w:pPr>
              <w:spacing w:after="0"/>
              <w:rPr>
                <w:sz w:val="17"/>
                <w:szCs w:val="17"/>
                <w:color w:val="auto"/>
              </w:rPr>
            </w:pPr>
          </w:p>
        </w:tc>
        <w:tc>
          <w:tcPr>
            <w:tcW w:w="400" w:type="dxa"/>
            <w:vAlign w:val="bottom"/>
            <w:tcBorders>
              <w:top w:val="single" w:sz="8" w:color="0E32E1"/>
            </w:tcBorders>
          </w:tcPr>
          <w:p>
            <w:pPr>
              <w:spacing w:after="0"/>
              <w:rPr>
                <w:sz w:val="17"/>
                <w:szCs w:val="17"/>
                <w:color w:val="auto"/>
              </w:rPr>
            </w:pPr>
          </w:p>
        </w:tc>
        <w:tc>
          <w:tcPr>
            <w:tcW w:w="820" w:type="dxa"/>
            <w:vAlign w:val="bottom"/>
            <w:tcBorders>
              <w:top w:val="single" w:sz="8" w:color="0E32E1"/>
            </w:tcBorders>
          </w:tcPr>
          <w:p>
            <w:pPr>
              <w:spacing w:after="0"/>
              <w:rPr>
                <w:sz w:val="17"/>
                <w:szCs w:val="17"/>
                <w:color w:val="auto"/>
              </w:rPr>
            </w:pPr>
          </w:p>
        </w:tc>
        <w:tc>
          <w:tcPr>
            <w:tcW w:w="60" w:type="dxa"/>
            <w:vAlign w:val="bottom"/>
            <w:tcBorders>
              <w:top w:val="single" w:sz="8" w:color="3051F2"/>
            </w:tcBorders>
          </w:tcPr>
          <w:p>
            <w:pPr>
              <w:spacing w:after="0"/>
              <w:rPr>
                <w:sz w:val="17"/>
                <w:szCs w:val="17"/>
                <w:color w:val="auto"/>
              </w:rPr>
            </w:pPr>
          </w:p>
        </w:tc>
        <w:tc>
          <w:tcPr>
            <w:tcW w:w="100" w:type="dxa"/>
            <w:vAlign w:val="bottom"/>
            <w:tcBorders>
              <w:top w:val="single" w:sz="8" w:color="3051F2"/>
            </w:tcBorders>
          </w:tcPr>
          <w:p>
            <w:pPr>
              <w:spacing w:after="0"/>
              <w:rPr>
                <w:sz w:val="17"/>
                <w:szCs w:val="17"/>
                <w:color w:val="auto"/>
              </w:rPr>
            </w:pPr>
          </w:p>
        </w:tc>
        <w:tc>
          <w:tcPr>
            <w:tcW w:w="600" w:type="dxa"/>
            <w:vAlign w:val="bottom"/>
            <w:tcBorders>
              <w:top w:val="single" w:sz="8" w:color="3051F2"/>
            </w:tcBorders>
          </w:tcPr>
          <w:p>
            <w:pPr>
              <w:spacing w:after="0"/>
              <w:rPr>
                <w:sz w:val="17"/>
                <w:szCs w:val="17"/>
                <w:color w:val="auto"/>
              </w:rPr>
            </w:pPr>
          </w:p>
        </w:tc>
        <w:tc>
          <w:tcPr>
            <w:tcW w:w="260" w:type="dxa"/>
            <w:vAlign w:val="bottom"/>
            <w:tcBorders>
              <w:top w:val="single" w:sz="8" w:color="3051F2"/>
            </w:tcBorders>
          </w:tcPr>
          <w:p>
            <w:pPr>
              <w:spacing w:after="0"/>
              <w:rPr>
                <w:sz w:val="17"/>
                <w:szCs w:val="17"/>
                <w:color w:val="auto"/>
              </w:rPr>
            </w:pPr>
          </w:p>
        </w:tc>
        <w:tc>
          <w:tcPr>
            <w:tcW w:w="220" w:type="dxa"/>
            <w:vAlign w:val="bottom"/>
            <w:tcBorders>
              <w:top w:val="single" w:sz="8" w:color="3051F2"/>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24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E32E1"/>
              </w:rPr>
              <w:t xml:space="preserve">Unaudited Condensed Consolidated Statements of Comprehensive Income for the Quarters Ended </w:t>
            </w:r>
            <w:r>
              <w:rPr>
                <w:rFonts w:ascii="Arial" w:cs="Arial" w:eastAsia="Arial" w:hAnsi="Arial"/>
                <w:sz w:val="18"/>
                <w:szCs w:val="18"/>
                <w:color w:val="3051F2"/>
              </w:rPr>
              <w:t>March 31,</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F0000"/>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940" w:type="dxa"/>
            <w:vAlign w:val="bottom"/>
            <w:tcBorders>
              <w:top w:val="single" w:sz="8" w:color="0E32E1"/>
            </w:tcBorders>
            <w:gridSpan w:val="24"/>
          </w:tcPr>
          <w:p>
            <w:pPr>
              <w:spacing w:after="0" w:line="196" w:lineRule="exact"/>
              <w:rPr>
                <w:sz w:val="20"/>
                <w:szCs w:val="20"/>
                <w:color w:val="auto"/>
              </w:rPr>
            </w:pPr>
            <w:r>
              <w:rPr>
                <w:rFonts w:ascii="Arial" w:cs="Arial" w:eastAsia="Arial" w:hAnsi="Arial"/>
                <w:sz w:val="18"/>
                <w:szCs w:val="18"/>
                <w:color w:val="3051F2"/>
              </w:rPr>
              <w:t xml:space="preserve">2026 </w:t>
            </w:r>
            <w:r>
              <w:rPr>
                <w:rFonts w:ascii="Arial" w:cs="Arial" w:eastAsia="Arial" w:hAnsi="Arial"/>
                <w:sz w:val="18"/>
                <w:szCs w:val="18"/>
                <w:color w:val="0E32E1"/>
              </w:rPr>
              <w:t>and</w:t>
            </w:r>
            <w:r>
              <w:rPr>
                <w:rFonts w:ascii="Arial" w:cs="Arial" w:eastAsia="Arial" w:hAnsi="Arial"/>
                <w:sz w:val="18"/>
                <w:szCs w:val="18"/>
                <w:color w:val="3051F2"/>
              </w:rPr>
              <w:t xml:space="preserve"> 2025</w:t>
            </w:r>
          </w:p>
        </w:tc>
        <w:tc>
          <w:tcPr>
            <w:tcW w:w="800" w:type="dxa"/>
            <w:vAlign w:val="bottom"/>
            <w:tcBorders>
              <w:top w:val="single" w:sz="8" w:color="3051F2"/>
            </w:tcBorders>
            <w:gridSpan w:val="6"/>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right w:val="single" w:sz="8" w:color="0E32E1"/>
            </w:tcBorders>
            <w:shd w:val="clear" w:color="auto" w:fill="3051F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E32E1"/>
              </w:rPr>
              <w:t xml:space="preserve">Unaudited Condensed Consolidated Statements of Stockholders’ Equity for the Quarters Ended </w:t>
            </w:r>
            <w:r>
              <w:rPr>
                <w:rFonts w:ascii="Arial" w:cs="Arial" w:eastAsia="Arial" w:hAnsi="Arial"/>
                <w:sz w:val="18"/>
                <w:szCs w:val="18"/>
                <w:color w:val="3051F2"/>
              </w:rPr>
              <w:t>March 31,</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F0000"/>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680" w:type="dxa"/>
            <w:vAlign w:val="bottom"/>
            <w:tcBorders>
              <w:top w:val="single" w:sz="8" w:color="0E32E1"/>
            </w:tcBorders>
            <w:gridSpan w:val="23"/>
          </w:tcPr>
          <w:p>
            <w:pPr>
              <w:spacing w:after="0" w:line="196" w:lineRule="exact"/>
              <w:rPr>
                <w:sz w:val="20"/>
                <w:szCs w:val="20"/>
                <w:color w:val="auto"/>
              </w:rPr>
            </w:pPr>
            <w:r>
              <w:rPr>
                <w:rFonts w:ascii="Arial" w:cs="Arial" w:eastAsia="Arial" w:hAnsi="Arial"/>
                <w:sz w:val="18"/>
                <w:szCs w:val="18"/>
                <w:color w:val="3051F2"/>
              </w:rPr>
              <w:t xml:space="preserve">2026 </w:t>
            </w:r>
            <w:r>
              <w:rPr>
                <w:rFonts w:ascii="Arial" w:cs="Arial" w:eastAsia="Arial" w:hAnsi="Arial"/>
                <w:sz w:val="18"/>
                <w:szCs w:val="18"/>
                <w:color w:val="0E32E1"/>
              </w:rPr>
              <w:t>and</w:t>
            </w:r>
            <w:r>
              <w:rPr>
                <w:rFonts w:ascii="Arial" w:cs="Arial" w:eastAsia="Arial" w:hAnsi="Arial"/>
                <w:sz w:val="18"/>
                <w:szCs w:val="18"/>
                <w:color w:val="3051F2"/>
              </w:rPr>
              <w:t xml:space="preserve"> 2025</w:t>
            </w:r>
          </w:p>
        </w:tc>
        <w:tc>
          <w:tcPr>
            <w:tcW w:w="780" w:type="dxa"/>
            <w:vAlign w:val="bottom"/>
            <w:tcBorders>
              <w:top w:val="single" w:sz="8" w:color="3051F2"/>
            </w:tcBorders>
            <w:gridSpan w:val="4"/>
          </w:tcPr>
          <w:p>
            <w:pPr>
              <w:spacing w:after="0"/>
              <w:rPr>
                <w:sz w:val="17"/>
                <w:szCs w:val="17"/>
                <w:color w:val="auto"/>
              </w:rPr>
            </w:pPr>
          </w:p>
        </w:tc>
        <w:tc>
          <w:tcPr>
            <w:tcW w:w="840" w:type="dxa"/>
            <w:vAlign w:val="bottom"/>
            <w:gridSpan w:val="4"/>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right w:val="single" w:sz="8" w:color="0E32E1"/>
            </w:tcBorders>
            <w:shd w:val="clear" w:color="auto" w:fill="3051F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E32E1"/>
              </w:rPr>
              <w:t xml:space="preserve">Unaudited Condensed Consolidated Statements of Cash Flows for the Quarters Ended </w:t>
            </w:r>
            <w:r>
              <w:rPr>
                <w:rFonts w:ascii="Arial" w:cs="Arial" w:eastAsia="Arial" w:hAnsi="Arial"/>
                <w:sz w:val="18"/>
                <w:szCs w:val="18"/>
                <w:color w:val="3051F2"/>
              </w:rPr>
              <w:t>March 31, 2026</w:t>
            </w:r>
            <w:r>
              <w:rPr>
                <w:rFonts w:ascii="Arial" w:cs="Arial" w:eastAsia="Arial" w:hAnsi="Arial"/>
                <w:sz w:val="18"/>
                <w:szCs w:val="18"/>
                <w:color w:val="0E32E1"/>
              </w:rPr>
              <w:t xml:space="preserve"> and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F0000"/>
              </w:rPr>
              <w:t>8</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20" w:type="dxa"/>
            <w:vAlign w:val="bottom"/>
            <w:tcBorders>
              <w:top w:val="single" w:sz="8" w:color="0E32E1"/>
              <w:bottom w:val="single" w:sz="8" w:color="3051F2"/>
            </w:tcBorders>
          </w:tcPr>
          <w:p>
            <w:pPr>
              <w:spacing w:after="0" w:line="196" w:lineRule="exact"/>
              <w:rPr>
                <w:sz w:val="20"/>
                <w:szCs w:val="20"/>
                <w:color w:val="auto"/>
              </w:rPr>
            </w:pPr>
            <w:r>
              <w:rPr>
                <w:rFonts w:ascii="Arial" w:cs="Arial" w:eastAsia="Arial" w:hAnsi="Arial"/>
                <w:sz w:val="18"/>
                <w:szCs w:val="18"/>
                <w:color w:val="3051F2"/>
                <w:w w:val="94"/>
              </w:rPr>
              <w:t>2025</w:t>
            </w:r>
          </w:p>
        </w:tc>
        <w:tc>
          <w:tcPr>
            <w:tcW w:w="200" w:type="dxa"/>
            <w:vAlign w:val="bottom"/>
            <w:tcBorders>
              <w:top w:val="single" w:sz="8" w:color="0E32E1"/>
            </w:tcBorders>
          </w:tcPr>
          <w:p>
            <w:pPr>
              <w:spacing w:after="0"/>
              <w:rPr>
                <w:sz w:val="17"/>
                <w:szCs w:val="17"/>
                <w:color w:val="auto"/>
              </w:rPr>
            </w:pPr>
          </w:p>
        </w:tc>
        <w:tc>
          <w:tcPr>
            <w:tcW w:w="18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200" w:type="dxa"/>
            <w:vAlign w:val="bottom"/>
            <w:tcBorders>
              <w:top w:val="single" w:sz="8" w:color="0E32E1"/>
            </w:tcBorders>
          </w:tcPr>
          <w:p>
            <w:pPr>
              <w:spacing w:after="0"/>
              <w:rPr>
                <w:sz w:val="17"/>
                <w:szCs w:val="17"/>
                <w:color w:val="auto"/>
              </w:rPr>
            </w:pPr>
          </w:p>
        </w:tc>
        <w:tc>
          <w:tcPr>
            <w:tcW w:w="80" w:type="dxa"/>
            <w:vAlign w:val="bottom"/>
            <w:tcBorders>
              <w:top w:val="single" w:sz="8" w:color="0E32E1"/>
            </w:tcBorders>
          </w:tcPr>
          <w:p>
            <w:pPr>
              <w:spacing w:after="0"/>
              <w:rPr>
                <w:sz w:val="17"/>
                <w:szCs w:val="17"/>
                <w:color w:val="auto"/>
              </w:rPr>
            </w:pPr>
          </w:p>
        </w:tc>
        <w:tc>
          <w:tcPr>
            <w:tcW w:w="500" w:type="dxa"/>
            <w:vAlign w:val="bottom"/>
            <w:tcBorders>
              <w:top w:val="single" w:sz="8" w:color="0E32E1"/>
            </w:tcBorders>
          </w:tcPr>
          <w:p>
            <w:pPr>
              <w:spacing w:after="0"/>
              <w:rPr>
                <w:sz w:val="17"/>
                <w:szCs w:val="17"/>
                <w:color w:val="auto"/>
              </w:rPr>
            </w:pPr>
          </w:p>
        </w:tc>
        <w:tc>
          <w:tcPr>
            <w:tcW w:w="1220" w:type="dxa"/>
            <w:vAlign w:val="bottom"/>
            <w:tcBorders>
              <w:top w:val="single" w:sz="8" w:color="0E32E1"/>
            </w:tcBorders>
          </w:tcPr>
          <w:p>
            <w:pPr>
              <w:spacing w:after="0"/>
              <w:rPr>
                <w:sz w:val="17"/>
                <w:szCs w:val="17"/>
                <w:color w:val="auto"/>
              </w:rPr>
            </w:pPr>
          </w:p>
        </w:tc>
        <w:tc>
          <w:tcPr>
            <w:tcW w:w="240" w:type="dxa"/>
            <w:vAlign w:val="bottom"/>
            <w:tcBorders>
              <w:top w:val="single" w:sz="8" w:color="0E32E1"/>
            </w:tcBorders>
          </w:tcPr>
          <w:p>
            <w:pPr>
              <w:spacing w:after="0"/>
              <w:rPr>
                <w:sz w:val="17"/>
                <w:szCs w:val="17"/>
                <w:color w:val="auto"/>
              </w:rPr>
            </w:pPr>
          </w:p>
        </w:tc>
        <w:tc>
          <w:tcPr>
            <w:tcW w:w="1020" w:type="dxa"/>
            <w:vAlign w:val="bottom"/>
            <w:tcBorders>
              <w:top w:val="single" w:sz="8" w:color="0E32E1"/>
            </w:tcBorders>
          </w:tcPr>
          <w:p>
            <w:pPr>
              <w:spacing w:after="0"/>
              <w:rPr>
                <w:sz w:val="17"/>
                <w:szCs w:val="17"/>
                <w:color w:val="auto"/>
              </w:rPr>
            </w:pPr>
          </w:p>
        </w:tc>
        <w:tc>
          <w:tcPr>
            <w:tcW w:w="160" w:type="dxa"/>
            <w:vAlign w:val="bottom"/>
            <w:tcBorders>
              <w:top w:val="single" w:sz="8" w:color="0E32E1"/>
            </w:tcBorders>
          </w:tcPr>
          <w:p>
            <w:pPr>
              <w:spacing w:after="0"/>
              <w:rPr>
                <w:sz w:val="17"/>
                <w:szCs w:val="17"/>
                <w:color w:val="auto"/>
              </w:rPr>
            </w:pPr>
          </w:p>
        </w:tc>
        <w:tc>
          <w:tcPr>
            <w:tcW w:w="80" w:type="dxa"/>
            <w:vAlign w:val="bottom"/>
            <w:tcBorders>
              <w:top w:val="single" w:sz="8" w:color="0E32E1"/>
            </w:tcBorders>
          </w:tcPr>
          <w:p>
            <w:pPr>
              <w:spacing w:after="0"/>
              <w:rPr>
                <w:sz w:val="17"/>
                <w:szCs w:val="17"/>
                <w:color w:val="auto"/>
              </w:rPr>
            </w:pPr>
          </w:p>
        </w:tc>
        <w:tc>
          <w:tcPr>
            <w:tcW w:w="140" w:type="dxa"/>
            <w:vAlign w:val="bottom"/>
            <w:tcBorders>
              <w:top w:val="single" w:sz="8" w:color="0E32E1"/>
            </w:tcBorders>
          </w:tcPr>
          <w:p>
            <w:pPr>
              <w:spacing w:after="0"/>
              <w:rPr>
                <w:sz w:val="17"/>
                <w:szCs w:val="17"/>
                <w:color w:val="auto"/>
              </w:rPr>
            </w:pPr>
          </w:p>
        </w:tc>
        <w:tc>
          <w:tcPr>
            <w:tcW w:w="50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120" w:type="dxa"/>
            <w:vAlign w:val="bottom"/>
            <w:tcBorders>
              <w:top w:val="single" w:sz="8" w:color="0E32E1"/>
            </w:tcBorders>
          </w:tcPr>
          <w:p>
            <w:pPr>
              <w:spacing w:after="0"/>
              <w:rPr>
                <w:sz w:val="17"/>
                <w:szCs w:val="17"/>
                <w:color w:val="auto"/>
              </w:rPr>
            </w:pPr>
          </w:p>
        </w:tc>
        <w:tc>
          <w:tcPr>
            <w:tcW w:w="400" w:type="dxa"/>
            <w:vAlign w:val="bottom"/>
            <w:tcBorders>
              <w:top w:val="single" w:sz="8" w:color="0E32E1"/>
            </w:tcBorders>
          </w:tcPr>
          <w:p>
            <w:pPr>
              <w:spacing w:after="0"/>
              <w:rPr>
                <w:sz w:val="17"/>
                <w:szCs w:val="17"/>
                <w:color w:val="auto"/>
              </w:rPr>
            </w:pPr>
          </w:p>
        </w:tc>
        <w:tc>
          <w:tcPr>
            <w:tcW w:w="82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100" w:type="dxa"/>
            <w:vAlign w:val="bottom"/>
            <w:tcBorders>
              <w:top w:val="single" w:sz="8" w:color="3051F2"/>
            </w:tcBorders>
          </w:tcPr>
          <w:p>
            <w:pPr>
              <w:spacing w:after="0"/>
              <w:rPr>
                <w:sz w:val="17"/>
                <w:szCs w:val="17"/>
                <w:color w:val="auto"/>
              </w:rPr>
            </w:pPr>
          </w:p>
        </w:tc>
        <w:tc>
          <w:tcPr>
            <w:tcW w:w="600" w:type="dxa"/>
            <w:vAlign w:val="bottom"/>
            <w:tcBorders>
              <w:top w:val="single" w:sz="8" w:color="3051F2"/>
            </w:tcBorders>
          </w:tcPr>
          <w:p>
            <w:pPr>
              <w:spacing w:after="0"/>
              <w:rPr>
                <w:sz w:val="17"/>
                <w:szCs w:val="17"/>
                <w:color w:val="auto"/>
              </w:rPr>
            </w:pPr>
          </w:p>
        </w:tc>
        <w:tc>
          <w:tcPr>
            <w:tcW w:w="260" w:type="dxa"/>
            <w:vAlign w:val="bottom"/>
            <w:tcBorders>
              <w:top w:val="single" w:sz="8" w:color="3051F2"/>
            </w:tcBorders>
          </w:tcPr>
          <w:p>
            <w:pPr>
              <w:spacing w:after="0"/>
              <w:rPr>
                <w:sz w:val="17"/>
                <w:szCs w:val="17"/>
                <w:color w:val="auto"/>
              </w:rPr>
            </w:pPr>
          </w:p>
        </w:tc>
        <w:tc>
          <w:tcPr>
            <w:tcW w:w="220" w:type="dxa"/>
            <w:vAlign w:val="bottom"/>
            <w:tcBorders>
              <w:top w:val="single" w:sz="8" w:color="3051F2"/>
            </w:tcBorders>
          </w:tcPr>
          <w:p>
            <w:pPr>
              <w:spacing w:after="0"/>
              <w:rPr>
                <w:sz w:val="17"/>
                <w:szCs w:val="17"/>
                <w:color w:val="auto"/>
              </w:rPr>
            </w:pPr>
          </w:p>
        </w:tc>
        <w:tc>
          <w:tcPr>
            <w:tcW w:w="60" w:type="dxa"/>
            <w:vAlign w:val="bottom"/>
            <w:tcBorders>
              <w:top w:val="single" w:sz="8" w:color="3051F2"/>
            </w:tcBorders>
          </w:tcPr>
          <w:p>
            <w:pPr>
              <w:spacing w:after="0"/>
              <w:rPr>
                <w:sz w:val="17"/>
                <w:szCs w:val="17"/>
                <w:color w:val="auto"/>
              </w:rPr>
            </w:pPr>
          </w:p>
        </w:tc>
        <w:tc>
          <w:tcPr>
            <w:tcW w:w="24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0F0000"/>
              </w:rPr>
              <w:t>10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2.</w:t>
            </w:r>
          </w:p>
        </w:tc>
        <w:tc>
          <w:tcPr>
            <w:tcW w:w="7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F0000"/>
              </w:rPr>
              <w:t>21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3.</w:t>
            </w:r>
          </w:p>
        </w:tc>
        <w:tc>
          <w:tcPr>
            <w:tcW w:w="9300" w:type="dxa"/>
            <w:vAlign w:val="bottom"/>
            <w:gridSpan w:val="3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0F0000"/>
              </w:rPr>
              <w:t>31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4.</w:t>
            </w:r>
          </w:p>
        </w:tc>
        <w:tc>
          <w:tcPr>
            <w:tcW w:w="47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60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F0000"/>
              </w:rPr>
              <w:t>32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3740" w:type="dxa"/>
            <w:vAlign w:val="bottom"/>
            <w:gridSpan w:val="15"/>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1.</w:t>
            </w:r>
          </w:p>
        </w:tc>
        <w:tc>
          <w:tcPr>
            <w:tcW w:w="9300" w:type="dxa"/>
            <w:vAlign w:val="bottom"/>
            <w:gridSpan w:val="3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0F0000"/>
              </w:rPr>
              <w:t>33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1A.</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3"/>
          </w:tcPr>
          <w:p>
            <w:pPr>
              <w:spacing w:after="0"/>
              <w:rPr>
                <w:sz w:val="24"/>
                <w:szCs w:val="24"/>
                <w:color w:val="auto"/>
              </w:rPr>
            </w:pPr>
          </w:p>
        </w:tc>
        <w:tc>
          <w:tcPr>
            <w:tcW w:w="7820" w:type="dxa"/>
            <w:vAlign w:val="bottom"/>
            <w:gridSpan w:val="2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F0000"/>
              </w:rPr>
              <w:t>33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2.</w:t>
            </w:r>
          </w:p>
        </w:tc>
        <w:tc>
          <w:tcPr>
            <w:tcW w:w="9300" w:type="dxa"/>
            <w:vAlign w:val="bottom"/>
            <w:gridSpan w:val="3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0F0000"/>
              </w:rPr>
              <w:t>61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0F0000"/>
              </w:rPr>
              <w:t>Item 5.</w:t>
            </w:r>
          </w:p>
        </w:tc>
        <w:tc>
          <w:tcPr>
            <w:tcW w:w="14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tcBorders>
              <w:top w:val="single" w:sz="8" w:color="0000FF"/>
            </w:tcBorders>
            <w:gridSpan w:val="8"/>
          </w:tcPr>
          <w:p>
            <w:pPr>
              <w:spacing w:after="0"/>
              <w:rPr>
                <w:sz w:val="24"/>
                <w:szCs w:val="24"/>
                <w:color w:val="auto"/>
              </w:rPr>
            </w:pPr>
          </w:p>
        </w:tc>
        <w:tc>
          <w:tcPr>
            <w:tcW w:w="44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F0000"/>
              </w:rPr>
              <w:t>61</w:t>
            </w:r>
          </w:p>
        </w:tc>
        <w:tc>
          <w:tcPr>
            <w:tcW w:w="0" w:type="dxa"/>
            <w:vAlign w:val="bottom"/>
          </w:tcPr>
          <w:p>
            <w:pPr>
              <w:spacing w:after="0"/>
              <w:rPr>
                <w:sz w:val="1"/>
                <w:szCs w:val="1"/>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0F0000"/>
              </w:rPr>
              <w:t>Item 6.</w:t>
            </w:r>
          </w:p>
        </w:tc>
        <w:tc>
          <w:tcPr>
            <w:tcW w:w="9300" w:type="dxa"/>
            <w:vAlign w:val="bottom"/>
            <w:gridSpan w:val="31"/>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0F0000"/>
              </w:rPr>
              <w:t>61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0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acquisitions, extension of distribution channels and strategic relationships, product innovation, international expansion, customer growth and expansion, customer retention, customer service initiatives, expectations regarding our acquisitions, expectations regarding contract size and increased focus on strategic products, expectations for hiring new talent; our ability to accurately forecast revenue and appropriately plan expenses and investments; the demand for and benefits from the use of our current and future solutions; market acceptance of our solutions; the impact of the macroeconomic environment on our business; the impact of war, armed conflict, or other hostilities; the impact of tariffs and trade regulations on our business; and changes in the competitive environment in our industry and the markets in which we operate and our liquidity and capital resources.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forward-looking statements. Readers are cautioned that these forward-looking statements are only predictions and are subject to risks, uncertainty, and assumptions that are difficult to predict, including those identified below, under “Part II. 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 except as required by applicable law.</w:t>
      </w:r>
    </w:p>
    <w:p>
      <w:pPr>
        <w:spacing w:after="0" w:line="7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Unless the context otherwise requires, the terms “BlackLine, Inc.,” “BlackLine,” “the Company,” “we,” “us,” and “our” in this Quarterly Report on Form 10-Q refer to the consolidated operations of BlackLine, Inc. and its consolidated subsidiaries as a whole.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shares and par values)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7"/>
        </w:trPr>
        <w:tc>
          <w:tcPr>
            <w:tcW w:w="844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390,034</w:t>
            </w:r>
          </w:p>
        </w:tc>
        <w:tc>
          <w:tcPr>
            <w:tcW w:w="0" w:type="dxa"/>
            <w:vAlign w:val="bottom"/>
          </w:tcPr>
          <w:p>
            <w:pPr>
              <w:spacing w:after="0"/>
              <w:rPr>
                <w:sz w:val="1"/>
                <w:szCs w:val="1"/>
                <w:color w:val="auto"/>
              </w:rPr>
            </w:pPr>
          </w:p>
        </w:tc>
      </w:tr>
      <w:tr>
        <w:trPr>
          <w:trHeight w:val="175"/>
        </w:trPr>
        <w:tc>
          <w:tcPr>
            <w:tcW w:w="8440" w:type="dxa"/>
            <w:vAlign w:val="bottom"/>
          </w:tcPr>
          <w:p>
            <w:pPr>
              <w:ind w:left="220"/>
              <w:spacing w:after="0" w:line="176" w:lineRule="exact"/>
              <w:rPr>
                <w:sz w:val="20"/>
                <w:szCs w:val="20"/>
                <w:color w:val="auto"/>
              </w:rPr>
            </w:pPr>
            <w:r>
              <w:rPr>
                <w:rFonts w:ascii="Arial" w:cs="Arial" w:eastAsia="Arial" w:hAnsi="Arial"/>
                <w:sz w:val="18"/>
                <w:szCs w:val="18"/>
                <w:color w:val="auto"/>
              </w:rPr>
              <w:t>Marketable securities (amortized cost of $283,090 and $387,936 at March 31, 2026 and December 31,</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283,030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388,178</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2025, respectively)</w:t>
            </w:r>
          </w:p>
        </w:tc>
        <w:tc>
          <w:tcPr>
            <w:tcW w:w="2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 net of allowances of $2,748 and $2,970 at March 31, 2026 and December 31,</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174,890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218,100</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 respectively</w:t>
            </w: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1,025,209</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49,352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465,804</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1,759,519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780" w:type="dxa"/>
            <w:vAlign w:val="bottom"/>
            <w:gridSpan w:val="3"/>
          </w:tcPr>
          <w:p>
            <w:pPr>
              <w:ind w:left="164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76,790</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359,598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368,593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senior notes, net, current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230,023</w:t>
            </w:r>
          </w:p>
        </w:tc>
        <w:tc>
          <w:tcPr>
            <w:tcW w:w="0" w:type="dxa"/>
            <w:vAlign w:val="bottom"/>
          </w:tcPr>
          <w:p>
            <w:pPr>
              <w:spacing w:after="0"/>
              <w:rPr>
                <w:sz w:val="1"/>
                <w:szCs w:val="1"/>
                <w:color w:val="auto"/>
              </w:rPr>
            </w:pPr>
          </w:p>
        </w:tc>
      </w:tr>
      <w:tr>
        <w:trPr>
          <w:trHeight w:val="223"/>
        </w:trPr>
        <w:tc>
          <w:tcPr>
            <w:tcW w:w="84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429,734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695,377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 noncurrent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senior notes, net, noncurrent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666,046</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noncurrent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1,388,072</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(Note 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59,171,590 and 59,880,563 issued and</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2026 and December 31, 2025, respectively</w:t>
            </w: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327,307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356,841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332,326</w:t>
            </w:r>
          </w:p>
        </w:tc>
        <w:tc>
          <w:tcPr>
            <w:tcW w:w="0" w:type="dxa"/>
            <w:vAlign w:val="bottom"/>
          </w:tcPr>
          <w:p>
            <w:pPr>
              <w:spacing w:after="0"/>
              <w:rPr>
                <w:sz w:val="1"/>
                <w:szCs w:val="1"/>
                <w:color w:val="auto"/>
              </w:rPr>
            </w:pPr>
          </w:p>
        </w:tc>
      </w:tr>
      <w:tr>
        <w:trPr>
          <w:trHeight w:val="223"/>
        </w:trPr>
        <w:tc>
          <w:tcPr>
            <w:tcW w:w="8440" w:type="dxa"/>
            <w:vAlign w:val="bottom"/>
          </w:tcPr>
          <w:p>
            <w:pPr>
              <w:ind w:left="420"/>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1,455,518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1,759,519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0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18"/>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173,714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158,462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166,931</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34,130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126,007</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attributable to redeemable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59"/>
        </w:trPr>
        <w:tc>
          <w:tcPr>
            <w:tcW w:w="8140" w:type="dxa"/>
            <w:vAlign w:val="bottom"/>
          </w:tcPr>
          <w:p>
            <w:pPr>
              <w:ind w:left="20"/>
              <w:spacing w:after="0"/>
              <w:rPr>
                <w:sz w:val="20"/>
                <w:szCs w:val="20"/>
                <w:color w:val="auto"/>
              </w:rPr>
            </w:pPr>
            <w:r>
              <w:rPr>
                <w:rFonts w:ascii="Arial" w:cs="Arial" w:eastAsia="Arial" w:hAnsi="Arial"/>
                <w:sz w:val="18"/>
                <w:szCs w:val="18"/>
                <w:color w:val="auto"/>
              </w:rPr>
              <w:t>Net income attributable to BlackLine,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 attributable to BlackLine,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calculate basic 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59,439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62,822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 attributable to BlackLine,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calculate diluted 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69,835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5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change in unrealized gains (losses) on marketable securities, net of benefit from taxes of $56</w:t>
            </w:r>
          </w:p>
        </w:tc>
        <w:tc>
          <w:tcPr>
            <w:tcW w:w="9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the quarter ended March 31, 2026, and $0 for the quarter ended March 31, 2025, respectively</w:t>
            </w:r>
          </w:p>
        </w:tc>
        <w:tc>
          <w:tcPr>
            <w:tcW w:w="94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Net income attributable to redeemable non-controlling interest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redeemable non-controlling interest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BlackLine, Inc.</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 w:name="page7"/>
    <w:bookmarkEnd w:id="6"/>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Quarter Ended March 31, 2026</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bottom w:val="single" w:sz="8" w:color="auto"/>
            </w:tcBorders>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Loss</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59,881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332,326</w:t>
            </w:r>
          </w:p>
        </w:tc>
        <w:tc>
          <w:tcPr>
            <w:tcW w:w="0" w:type="dxa"/>
            <w:vAlign w:val="bottom"/>
          </w:tcPr>
          <w:p>
            <w:pPr>
              <w:spacing w:after="0"/>
              <w:rPr>
                <w:sz w:val="1"/>
                <w:szCs w:val="1"/>
                <w:color w:val="auto"/>
              </w:rPr>
            </w:pPr>
          </w:p>
        </w:tc>
      </w:tr>
      <w:tr>
        <w:trPr>
          <w:trHeight w:val="24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Stock option exercises - redeemable non-</w:t>
            </w: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9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Repurchases of common stock, including</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(47,391)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(47,403)</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excise taxes</w:t>
            </w:r>
          </w:p>
        </w:tc>
        <w:tc>
          <w:tcPr>
            <w:tcW w:w="9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Acquisition of common stock for tax withholding</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(11,763)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41"/>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obligations</w:t>
            </w:r>
          </w:p>
        </w:tc>
        <w:tc>
          <w:tcPr>
            <w:tcW w:w="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4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attributable to BlackLine, Inc.,</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including adjustment to redeemable non-</w:t>
            </w: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3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94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2026</w:t>
            </w:r>
          </w:p>
        </w:tc>
        <w:tc>
          <w:tcPr>
            <w:tcW w:w="9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8"/>
              </w:rPr>
              <w:t>59,172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327,307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(21,321)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305,950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3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Quarter Ended March 31, 2025</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62,813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495,391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446,669</w:t>
            </w:r>
          </w:p>
        </w:tc>
        <w:tc>
          <w:tcPr>
            <w:tcW w:w="0" w:type="dxa"/>
            <w:vAlign w:val="bottom"/>
          </w:tcPr>
          <w:p>
            <w:pPr>
              <w:spacing w:after="0"/>
              <w:rPr>
                <w:sz w:val="1"/>
                <w:szCs w:val="1"/>
                <w:color w:val="auto"/>
              </w:rPr>
            </w:pP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Repurchases of common stock, including</w:t>
            </w: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(45,715)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(45,724)</w:t>
            </w:r>
          </w:p>
        </w:tc>
        <w:tc>
          <w:tcPr>
            <w:tcW w:w="0" w:type="dxa"/>
            <w:vAlign w:val="bottom"/>
          </w:tcPr>
          <w:p>
            <w:pPr>
              <w:spacing w:after="0"/>
              <w:rPr>
                <w:sz w:val="1"/>
                <w:szCs w:val="1"/>
                <w:color w:val="auto"/>
              </w:rPr>
            </w:pPr>
          </w:p>
        </w:tc>
      </w:tr>
      <w:tr>
        <w:trPr>
          <w:trHeight w:val="241"/>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excise taxes</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Acquisition of common stock for tax withholding</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9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19,523</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attributable to BlackLine, Inc.,</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including adjustment to redeemable non-</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4,877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35"/>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controlling interest</w:t>
            </w:r>
          </w:p>
        </w:tc>
        <w:tc>
          <w:tcPr>
            <w:tcW w:w="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62,261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461,570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417,903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BLACKLINE,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Net income attributable to BlackLine, Inc.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6,055</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and adjustment attributable to redeemable non-controlling interest (Note 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11,498</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18,574</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Accretion of purchase discounts on marketable securities,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foreign currency (gains) losses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(benefit from) credit losses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32,737</w:t>
            </w:r>
          </w:p>
        </w:tc>
        <w:tc>
          <w:tcPr>
            <w:tcW w:w="0" w:type="dxa"/>
            <w:vAlign w:val="bottom"/>
          </w:tcPr>
          <w:p>
            <w:pPr>
              <w:spacing w:after="0"/>
              <w:rPr>
                <w:sz w:val="1"/>
                <w:szCs w:val="1"/>
                <w:color w:val="auto"/>
              </w:rPr>
            </w:pPr>
          </w:p>
        </w:tc>
      </w:tr>
      <w:tr>
        <w:trPr>
          <w:trHeight w:val="215"/>
        </w:trPr>
        <w:tc>
          <w:tcPr>
            <w:tcW w:w="848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5"/>
        </w:trPr>
        <w:tc>
          <w:tcPr>
            <w:tcW w:w="848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215"/>
        </w:trPr>
        <w:tc>
          <w:tcPr>
            <w:tcW w:w="848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(8,024)</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5"/>
        </w:trPr>
        <w:tc>
          <w:tcPr>
            <w:tcW w:w="8480" w:type="dxa"/>
            <w:vAlign w:val="bottom"/>
          </w:tcPr>
          <w:p>
            <w:pPr>
              <w:ind w:left="440"/>
              <w:spacing w:after="0"/>
              <w:rPr>
                <w:sz w:val="20"/>
                <w:szCs w:val="20"/>
                <w:color w:val="auto"/>
              </w:rPr>
            </w:pPr>
            <w:r>
              <w:rPr>
                <w:rFonts w:ascii="Arial" w:cs="Arial" w:eastAsia="Arial" w:hAnsi="Arial"/>
                <w:sz w:val="16"/>
                <w:szCs w:val="16"/>
                <w:color w:val="auto"/>
              </w:rPr>
              <w:t>Lease incentive receipts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46,742</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(384,923)</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Proceeds from sales of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(399,041)</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additional redeemable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Repayment of convertible senior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under finance lease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(45,451)</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exercises of stock options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Proceeds from exercises of stock options - redeemable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common stock for tax withholding obligations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(10,939)</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(54,311)</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(147,993)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(406,370)</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886,147</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479,777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to the condensed consolidated balance sheets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242,041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479,536</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within prepaid expenses and other current assets at end of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Restricted cash included within other assets at end of period</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43"/>
        </w:trPr>
        <w:tc>
          <w:tcPr>
            <w:tcW w:w="8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cash, cash equivalents, and restricted cash at end of period shown in the condensed consolidated statements</w:t>
            </w: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242,227</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479,777</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cash flows</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CASH FLOWS DISCLOSURE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financing and 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rPr>
                <w:sz w:val="20"/>
                <w:szCs w:val="20"/>
                <w:color w:val="auto"/>
              </w:rPr>
            </w:pPr>
            <w:r>
              <w:rPr>
                <w:rFonts w:ascii="Arial" w:cs="Arial" w:eastAsia="Arial" w:hAnsi="Arial"/>
                <w:sz w:val="16"/>
                <w:szCs w:val="16"/>
                <w:color w:val="auto"/>
              </w:rPr>
              <w:t>Stock-based compensation capitalized for software development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4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rPr>
              <w:t>Capitalized software development costs included in accounts payable and accrued expenses and other current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liabilities at end of period</w:t>
            </w: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80"/>
              <w:spacing w:after="0" w:line="149" w:lineRule="exact"/>
              <w:rPr>
                <w:sz w:val="20"/>
                <w:szCs w:val="20"/>
                <w:color w:val="auto"/>
              </w:rPr>
            </w:pPr>
            <w:r>
              <w:rPr>
                <w:rFonts w:ascii="Arial" w:cs="Arial" w:eastAsia="Arial" w:hAnsi="Arial"/>
                <w:sz w:val="16"/>
                <w:szCs w:val="16"/>
                <w:color w:val="auto"/>
              </w:rPr>
              <w:t>Purchases of property and equipment included in accounts payable and accrued expenses and other current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180"/>
              <w:spacing w:after="0"/>
              <w:rPr>
                <w:sz w:val="20"/>
                <w:szCs w:val="20"/>
                <w:color w:val="auto"/>
              </w:rPr>
            </w:pPr>
            <w:r>
              <w:rPr>
                <w:rFonts w:ascii="Arial" w:cs="Arial" w:eastAsia="Arial" w:hAnsi="Arial"/>
                <w:sz w:val="16"/>
                <w:szCs w:val="16"/>
                <w:color w:val="auto"/>
              </w:rPr>
              <w:t>liabilities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 for repurchases of common stock</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Excise tax on repurchases of 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 – The Company</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BlackLine, Inc. and its subsidiaries (the “Company” or “BlackLine”) offer a future-ready platform that drives digital finance transformation by empowering organizations with accurate, efficient, and intelligent financial operations. Built on the Studio360 platform, BlackLine unifies data, streamlines processes, and delivers real-time insights through automation and intelligence powered by Verity - a comprehensive suite of embedded, auditable AI capabilities that provides finance and accounting teams with a new digital workforce.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 holding company and conducts its operations through its wholly-owned subsidiary, BlackLine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(“BlackLine Systems”).</w:t>
      </w:r>
    </w:p>
    <w:p>
      <w:pPr>
        <w:spacing w:after="0" w:line="9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is headquartered in Woodland Hills, California, with additional offices in North America, Europe, and the Asia-Pacific region.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 – Basis of Presentation, Significant Accounting Policies, and Recently-Issued Accounting Pronouncements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accounting principles generally accepted in the United States of America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and the related notes included in the Annual Report on Form 10-K for the fiscal year ended December 31, 2025, which was filed with the Securities and Exchange Commission (“SEC”) on February 26, 2026. The unaudited condensed consolidated financial statements are unaudited and have been prepared on a basis consistent with that used to prepare the audited annual consolidated financial statements and include, in the opinion of management, all adjustments, consisting of normal and recurring items, necessary for the fair statement of the unaudited condensed consolidated financial statements. The unaudited condensed consolidated balance sheet at December 31, 2025 was derived from audited financial statements, but does not include all disclosures required by GAAP. The operating results for the quarter ended March 31, 2026 are not necessarily indicative of the results expected for the full year ending December 31, 2026.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spacing w:after="0" w:line="63"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On an ongoing basis, management evaluates its estimates, primarily those related to determining the stand-alone selling price for separate deliverables in the Company’s subscription revenue arrangements, allowance for doubtful accounts, cancellations and credits, fair value of assets and liabilities assumed in a business combination, recoverability of goodwill and long-lived assets, useful lives associated with long-lived assets and right-of-use assets, income taxes, contingencies, fair value of the 1.00% Convertible Senior Notes due in 2029 (the “2029 Notes” or “convertible senior notes”), redemption value of redeemable non-controlling interest, and the valuation and assumptions underlying stock-based compensation. These estimates are based on historical data and experience, as well as various other factors that management believes to be reasonable under the circumstances. Actual results could differ from those estimates.</w:t>
      </w:r>
    </w:p>
    <w:p>
      <w:pPr>
        <w:spacing w:after="0" w:line="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at March 31, 2026 and through the date of this report. The accounting matters assessed included, but were not limited to, the allowance for credit losses, and the carrying value of goodwill and other long-lived assets. While there was not a material impact to the Company’s unaudited condensed consolidated financial statements for the quarter ended March 31, 2026, the Company’s future assessment of these accounting matters and other factors could result in material impacts to the Company’s consolidated financial statements in future reporting periods.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Company’s significant accounting policies are detailed in “Note 2 - Basis of Presentation, Significant Accounting Policies, and Recently-Issued Accounting Pronouncements” of the Company’s Annual Report on Form 10-K for the year ended December 31, 2025. There have been no material changes to the Company’s significant accounting policies during the quarter ended March 31, 2026.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Recently-adopted accounting pronouncements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In July 2025, the Financial Accounting Standards Board (“FASB”) issued ASU No. 2025-05,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Measurement of Credit Losses for Accounts Receivable and Contract Assets </w:t>
      </w:r>
      <w:r>
        <w:rPr>
          <w:rFonts w:ascii="Arial" w:cs="Arial" w:eastAsia="Arial" w:hAnsi="Arial"/>
          <w:sz w:val="18"/>
          <w:szCs w:val="18"/>
          <w:color w:val="auto"/>
        </w:rPr>
        <w:t>(“ASU 2025-05”), which provides a practical expedient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measure credit losses on current accounts receivable and current contract assets under Accounting Standards Codification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practical expedient assumes that current conditions as of the balance sheet date do not change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life of the asset. For public business entities, ASU 2025-05 is effective for annual reporting periods beginning after December 15, 2025, and interim reporting periods within those annual reporting periods. The Company adopted ASU 2025-05 regarding the practical expedient for expected credit loss and the adoption did not have a material impact on the Company’s condensed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(“ASU 2025-06”). ASU 2025-06 removes all references to prescriptive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sequential software development stages. ASU 2025-06 requires entities to begin capitalizing software costs when management authorizes and commits to funding the software project, and it is probable that the project will be completed and the software will be used for its intended purpose. For public business entities, ASU 2025-06 is effective for fiscal years beginning after December 15, 2027, and interim reporting periods within those annual reporting periods. Early adoption is permitted. The Company is currently evaluating the impact of ASU 2025-06 on its consolidated financial statements and related disclosures. The Company does not intend to early adopt.</w:t>
      </w:r>
    </w:p>
    <w:p>
      <w:pPr>
        <w:spacing w:after="0" w:line="7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Disclosures (Subtopic 220-40): Disaggregation of Income Statement Expenses </w:t>
      </w:r>
      <w:r>
        <w:rPr>
          <w:rFonts w:ascii="Arial" w:cs="Arial" w:eastAsia="Arial" w:hAnsi="Arial"/>
          <w:sz w:val="18"/>
          <w:szCs w:val="18"/>
          <w:color w:val="auto"/>
        </w:rPr>
        <w:t>(“ASU 2024-03”), and in January 2025,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issued </w:t>
      </w:r>
      <w:r>
        <w:rPr>
          <w:rFonts w:ascii="Arial" w:cs="Arial" w:eastAsia="Arial" w:hAnsi="Arial"/>
          <w:sz w:val="18"/>
          <w:szCs w:val="18"/>
          <w:i w:val="1"/>
          <w:iCs w:val="1"/>
          <w:color w:val="auto"/>
        </w:rPr>
        <w:t>Income Statement - Reporting Comprehensive Income - Expense Disaggregation Disclosures (Subtopic 220-40):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("ASU 2025-01"). ASU 2024-03 requires public companies to disclose, in interim and reporting periods, additional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expenses in the financial statements. For public business entities, ASU 2024-03, as clarified by ASU 2025-01, is effective for the first annual reporting period beginning after December 15, 2026, and interim reporting periods within those annual reporting periods beginning after December 15, 2027. Early adoption of ASU 2024-03 is permitted. The Company is currently evaluating the impact that the standard will have on the disclosures within its consolidated financial statements. The Company does not intend to early adopt.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 – Segment Information</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Management has concluded that the Company has one operating and reportable segment. The Company provides subscription and support services that consist of a cloud-based platform that drives digital finance transformation and also provides professional services that consist of implementation and consulting services. The technology used in the subscription and support services is based on a single software platform that is deployed to and implemented by customers. The Company manages the business activities on a consolidated basis, and operating segments have not been aggregated. The accounting policies for the operating segment are consistent with those discussed in “Note 2 - Basis of Presentation, Significant Accounting Policies, and Recently-Issued Accounting Pronouncements” in the Annual Report on Form 10-K for the fiscal year ended December 31, 2025.</w:t>
      </w:r>
    </w:p>
    <w:p>
      <w:pPr>
        <w:spacing w:after="0" w:line="7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Chief Operating Decision Maker (“CODM”) assesses performance for the operating segment and decides how to allocate resources based on the review of net income. The CODM uses net income, among other measures, for budgeting and resource allocation purposes. Expenses significant to the segment were determined to be cost of revenues, sales and marketing expenses, research and development expenses, general and administrative expenses, interest expense, and the provision for (benefit from) income taxes, all of which are presented in the unaudited condensed consolidated statements of operations for the quarters ended March 31, 2026 and 2025. Other significant expenses included depreciation expense of $8.4 million and $7.8 million for the quarters ended March 31, 2026 and 2025, respectively, as well as amortization expense of $3.8 million and $3.7 million, during the quarters ended March 31, 2026 and 2025,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11" w:name="page12"/>
    <w:bookmarkEnd w:id="11"/>
    <w:p>
      <w:pPr>
        <w:jc w:val="both"/>
        <w:ind w:firstLine="445"/>
        <w:spacing w:after="0" w:line="268" w:lineRule="auto"/>
        <w:rPr>
          <w:sz w:val="20"/>
          <w:szCs w:val="20"/>
          <w:color w:val="auto"/>
        </w:rPr>
      </w:pPr>
      <w:r>
        <w:rPr>
          <w:rFonts w:ascii="Arial" w:cs="Arial" w:eastAsia="Arial" w:hAnsi="Arial"/>
          <w:sz w:val="18"/>
          <w:szCs w:val="18"/>
          <w:color w:val="auto"/>
        </w:rPr>
        <w:t>The Company’s intra-entity sales are eliminated upon consolidation. The Company disaggregates its revenue from contracts with customers by geographic location, as it believes it best depicts how the nature, amount, timing, and uncertainty of its revenues and cash flows are affected by economic factors.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revenues by geographic region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Quarter Ended March 31,</w:t>
            </w:r>
          </w:p>
        </w:tc>
      </w:tr>
      <w:tr>
        <w:trPr>
          <w:trHeight w:val="218"/>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r>
      <w:tr>
        <w:trPr>
          <w:trHeight w:val="25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124,372</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116,370</w:t>
            </w:r>
          </w:p>
        </w:tc>
      </w:tr>
      <w:tr>
        <w:trPr>
          <w:trHeight w:val="27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58,783</w:t>
            </w:r>
          </w:p>
        </w:tc>
        <w:tc>
          <w:tcPr>
            <w:tcW w:w="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50,561</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183,155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166,931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countries outside the United States (“U.S.”) represented 10% or more of total revenues.</w:t>
      </w:r>
    </w:p>
    <w:p>
      <w:pPr>
        <w:spacing w:after="0" w:line="10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measure of segment assets is reported in the unaudited condensed consolidated balance sheets as total consolidated assets. The following table sets forth the Company’s long-lived assets, which consist of property and equipment, net, and lease right-of-use assets by geographic region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300" w:type="dxa"/>
            <w:vAlign w:val="bottom"/>
          </w:tcPr>
          <w:p>
            <w:pPr>
              <w:jc w:val="right"/>
              <w:ind w:right="197"/>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8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21,544</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 – Redeemable Non-Controlling Interest</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operates in Japan through BlackLine K.K., in which it holds a 53% controlling interest. The non-controlling interests are held by Japanese Cloud Computing, M30 LLC, and Masamune Mimura (the “Investors”). As the Company continues to control a majority stake in BlackLine K.K., the entity has been consolidated.</w:t>
      </w:r>
    </w:p>
    <w:p>
      <w:pPr>
        <w:spacing w:after="0" w:line="6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upon certain contingent events. Should the call or put option be exercised, the redemption value will be determined based upon a prescribed formula derived from the discrete revenues of BlackLine K.K. and the Company, and may be settled, at the Company’s discretion, with Company stock or cash. As a result of the put right available to the Investors in the future, the redeemable non-controlling interest in BlackLine K.K. is classified outside of permanent equity in the consolidated balance sheets, and the balance is reported at the greater of the initial carrying amount adjusted for the redeemable non-controlling interest's share of earnings, or its estimated redemption value. The resulting changes in the estimated redemption amount, which is reflected as an adjustment to redeemable non-controlling interest in the table below, are recorded within retained earnings or, in the absence of retained earnings, additional paid-in capital.</w:t>
      </w:r>
    </w:p>
    <w:p>
      <w:pPr>
        <w:spacing w:after="0" w:line="7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Under the terms of the agreement with Investors, all of the common stock is callable or puttable with an exercise date of January 1, 2029.</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During the quarter ended March 31, 2026, employees of BlackLine K.K. exercised stock options with a total exercise price of $0.2 million, resulting in the issuance of 0.1 million shares of BlackLine K.K. common stock. The Company subsequently purchased these shares of common stock for an aggregate price of $3.3 million, which increased the majority ownership of BlackLine K.K. from 51% to 53%.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t>Activity in the redeemable non-controlling interest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18"/>
        </w:trPr>
        <w:tc>
          <w:tcPr>
            <w:tcW w:w="8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36,483</w:t>
            </w:r>
          </w:p>
        </w:tc>
        <w:tc>
          <w:tcPr>
            <w:tcW w:w="0" w:type="dxa"/>
            <w:vAlign w:val="bottom"/>
          </w:tcPr>
          <w:p>
            <w:pPr>
              <w:spacing w:after="0"/>
              <w:rPr>
                <w:sz w:val="1"/>
                <w:szCs w:val="1"/>
                <w:color w:val="auto"/>
              </w:rPr>
            </w:pPr>
          </w:p>
        </w:tc>
      </w:tr>
      <w:tr>
        <w:trPr>
          <w:trHeight w:val="176"/>
        </w:trPr>
        <w:tc>
          <w:tcPr>
            <w:tcW w:w="812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redeemable non-controlling interest (excluding adjustment to non-</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1"/>
        </w:trPr>
        <w:tc>
          <w:tcPr>
            <w:tcW w:w="8120" w:type="dxa"/>
            <w:vAlign w:val="bottom"/>
          </w:tcPr>
          <w:p>
            <w:pPr>
              <w:ind w:left="20"/>
              <w:spacing w:after="0"/>
              <w:rPr>
                <w:sz w:val="20"/>
                <w:szCs w:val="20"/>
                <w:color w:val="auto"/>
              </w:rPr>
            </w:pPr>
            <w:r>
              <w:rPr>
                <w:rFonts w:ascii="Arial" w:cs="Arial" w:eastAsia="Arial" w:hAnsi="Arial"/>
                <w:sz w:val="18"/>
                <w:szCs w:val="18"/>
                <w:color w:val="auto"/>
              </w:rPr>
              <w:t>controlling interest)</w:t>
            </w:r>
          </w:p>
        </w:tc>
        <w:tc>
          <w:tcPr>
            <w:tcW w:w="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stock option exercises – redeemable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Purchase of additional redeemable non-controlling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 – Business Combinations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WiseLayer</w:t>
      </w:r>
    </w:p>
    <w:p>
      <w:pPr>
        <w:spacing w:after="0" w:line="11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On December 15, 2025, the Company acquired WiseLayer (“WL”) through a series of mergers for total purchase consideration of $23.6 million, comprising $18.2 million in cash including post-acquisition working capital adjustments and 0.1 million shares of common stock, which were valued at $5.4 million based on the closing market price on the acquisition date. The acquisition was driven by WL’s unique value proposition in developing a digital workforce of AI-powered agents to automate complex, judgment-based finance and accounting processes.</w:t>
      </w:r>
    </w:p>
    <w:p>
      <w:pPr>
        <w:spacing w:after="0" w:line="28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accounted for the transaction as a business combination using the acquisition method of accounting. The purchase consideration was allocated to the tangible and identifiable intangible assets acquired and liabilities assumed based on their respective estimated fair values on the acquisition date. The purchase consideration allocation is considered final.</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purchase consideration and major classes of assets and liabilities to which the Company allocated the purchase consideration of $23.6 million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w:t>
            </w: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Equity consideration</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7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Post-acquisition working capital adjustment</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97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23,581</w:t>
            </w: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9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47"/>
        </w:trPr>
        <w:tc>
          <w:tcPr>
            <w:tcW w:w="97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
        </w:trPr>
        <w:tc>
          <w:tcPr>
            <w:tcW w:w="9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97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
        </w:trPr>
        <w:tc>
          <w:tcPr>
            <w:tcW w:w="9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16,750</w:t>
            </w:r>
          </w:p>
        </w:tc>
      </w:tr>
      <w:tr>
        <w:trPr>
          <w:trHeight w:val="247"/>
        </w:trPr>
        <w:tc>
          <w:tcPr>
            <w:tcW w:w="970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
        </w:trPr>
        <w:tc>
          <w:tcPr>
            <w:tcW w:w="9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7"/>
        </w:trPr>
        <w:tc>
          <w:tcPr>
            <w:tcW w:w="97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
        </w:trPr>
        <w:tc>
          <w:tcPr>
            <w:tcW w:w="9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97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
        </w:trPr>
        <w:tc>
          <w:tcPr>
            <w:tcW w:w="9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23,581</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Per the terms of the acquisition, the Company issued an additional 0.2 million shares of common stock, with a grant-date fair value of $12.6 million, to specified employees of the acquired entity. The awards are subject to continued employment and will be recognized as post-combination stock-based compensation expense over the requisite service period.</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revenue and earnings of the acquired business were included in the Company’s results since the acquisition date, and have not been presented separately using pro forma revenues and results of operations as its impact is not material to the Company’s consolidated financial statements for the periods presented.</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Note 6 – Intangible Assets and Goodwill</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intangible assets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43"/>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55"/>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70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44,863</w:t>
            </w:r>
          </w:p>
        </w:tc>
      </w:tr>
      <w:tr>
        <w:trPr>
          <w:trHeight w:val="22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(26,513)</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48"/>
        </w:trPr>
        <w:tc>
          <w:tcPr>
            <w:tcW w:w="7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83"/>
        </w:trPr>
        <w:tc>
          <w:tcPr>
            <w:tcW w:w="7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7"/>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7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48,414</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48"/>
        </w:trPr>
        <w:tc>
          <w:tcPr>
            <w:tcW w:w="7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432" w:right="339" w:bottom="1440" w:gutter="0" w:footer="0" w:header="0"/>
        </w:sectPr>
      </w:pPr>
    </w:p>
    <w:p>
      <w:pPr>
        <w:ind w:left="460"/>
        <w:spacing w:after="0"/>
        <w:rPr>
          <w:sz w:val="20"/>
          <w:szCs w:val="20"/>
          <w:color w:val="auto"/>
        </w:rPr>
      </w:pPr>
      <w:r>
        <w:rPr>
          <w:rFonts w:ascii="Arial" w:cs="Arial" w:eastAsia="Arial" w:hAnsi="Arial"/>
          <w:sz w:val="17"/>
          <w:szCs w:val="17"/>
          <w:color w:val="auto"/>
        </w:rPr>
        <w:t>The following table represents the changes in goodwill (in thousands):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Measurement 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599" w:hanging="599"/>
        <w:spacing w:after="0"/>
        <w:tabs>
          <w:tab w:leader="none" w:pos="599" w:val="left"/>
        </w:tabs>
        <w:numPr>
          <w:ilvl w:val="0"/>
          <w:numId w:val="3"/>
        </w:numPr>
        <w:rPr>
          <w:rFonts w:ascii="Arial" w:cs="Arial" w:eastAsia="Arial" w:hAnsi="Arial"/>
          <w:sz w:val="18"/>
          <w:szCs w:val="18"/>
          <w:color w:val="auto"/>
        </w:rPr>
      </w:pPr>
      <w:r>
        <w:rPr>
          <w:rFonts w:ascii="Arial" w:cs="Arial" w:eastAsia="Arial" w:hAnsi="Arial"/>
          <w:sz w:val="18"/>
          <w:szCs w:val="18"/>
          <w:color w:val="auto"/>
        </w:rPr>
        <w:t>465,804</w:t>
      </w:r>
    </w:p>
    <w:p>
      <w:pPr>
        <w:spacing w:after="0" w:line="31" w:lineRule="exact"/>
        <w:rPr>
          <w:rFonts w:ascii="Arial" w:cs="Arial" w:eastAsia="Arial" w:hAnsi="Arial"/>
          <w:sz w:val="18"/>
          <w:szCs w:val="18"/>
          <w:color w:val="auto"/>
        </w:rPr>
      </w:pPr>
    </w:p>
    <w:p>
      <w:pPr>
        <w:ind w:left="979"/>
        <w:spacing w:after="0"/>
        <w:rPr>
          <w:rFonts w:ascii="Arial" w:cs="Arial" w:eastAsia="Arial" w:hAnsi="Arial"/>
          <w:sz w:val="18"/>
          <w:szCs w:val="18"/>
          <w:color w:val="auto"/>
        </w:rPr>
      </w:pPr>
      <w:r>
        <w:rPr>
          <w:rFonts w:ascii="Arial" w:cs="Arial" w:eastAsia="Arial" w:hAnsi="Arial"/>
          <w:sz w:val="17"/>
          <w:szCs w:val="17"/>
          <w:color w:val="auto"/>
        </w:rPr>
        <w:t>(89)</w:t>
      </w:r>
    </w:p>
    <w:p>
      <w:pPr>
        <w:spacing w:after="0" w:line="38" w:lineRule="exact"/>
        <w:rPr>
          <w:sz w:val="20"/>
          <w:szCs w:val="20"/>
          <w:color w:val="auto"/>
        </w:rPr>
      </w:pPr>
    </w:p>
    <w:p>
      <w:pPr>
        <w:ind w:left="599" w:hanging="599"/>
        <w:spacing w:after="0"/>
        <w:tabs>
          <w:tab w:leader="none" w:pos="599" w:val="left"/>
        </w:tabs>
        <w:numPr>
          <w:ilvl w:val="0"/>
          <w:numId w:val="4"/>
        </w:numPr>
        <w:rPr>
          <w:rFonts w:ascii="Arial" w:cs="Arial" w:eastAsia="Arial" w:hAnsi="Arial"/>
          <w:sz w:val="18"/>
          <w:szCs w:val="18"/>
          <w:color w:val="auto"/>
        </w:rPr>
      </w:pPr>
      <w:r>
        <w:rPr>
          <w:rFonts w:ascii="Arial" w:cs="Arial" w:eastAsia="Arial" w:hAnsi="Arial"/>
          <w:sz w:val="18"/>
          <w:szCs w:val="18"/>
          <w:color w:val="auto"/>
        </w:rPr>
        <w:t>465,715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1" w:space="720"/>
            <w:col w:w="1319"/>
          </w:cols>
          <w:pgMar w:left="320" w:top="1432"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 – Balance Sheet Components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Investments in marketable securities, which are presented within current assets in the unaudited condensed consolidated balance sheets, consisted of the following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129,813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678"/>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left="598"/>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118,468</w:t>
            </w: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center"/>
              <w:ind w:left="678"/>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34,768</w:t>
            </w: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678"/>
              <w:spacing w:after="0"/>
              <w:rPr>
                <w:sz w:val="20"/>
                <w:szCs w:val="20"/>
                <w:color w:val="auto"/>
              </w:rPr>
            </w:pPr>
            <w:r>
              <w:rPr>
                <w:rFonts w:ascii="Arial" w:cs="Arial" w:eastAsia="Arial" w:hAnsi="Arial"/>
                <w:sz w:val="18"/>
                <w:szCs w:val="18"/>
                <w:color w:val="auto"/>
                <w:w w:val="99"/>
              </w:rPr>
              <w:t>(89)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205,472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598"/>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205,704</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left="598"/>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152,792</w:t>
            </w: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left="598"/>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29,682</w:t>
            </w: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center"/>
              <w:ind w:left="598"/>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388,178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32"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4" w:name="page15"/>
    <w:bookmarkEnd w:id="14"/>
    <w:p>
      <w:pPr>
        <w:jc w:val="both"/>
        <w:ind w:firstLine="445"/>
        <w:spacing w:after="0" w:line="268" w:lineRule="auto"/>
        <w:rPr>
          <w:sz w:val="20"/>
          <w:szCs w:val="20"/>
          <w:color w:val="auto"/>
        </w:rPr>
      </w:pPr>
      <w:r>
        <w:rPr>
          <w:rFonts w:ascii="Arial" w:cs="Arial" w:eastAsia="Arial" w:hAnsi="Arial"/>
          <w:sz w:val="18"/>
          <w:szCs w:val="18"/>
          <w:color w:val="auto"/>
        </w:rPr>
        <w:t>The Company’s marketable securities at March 31, 2026 have a contractual maturity of less than one year. All of the Company’s available-for-sale securities are available for use in current operations and are categorized as current assets. Refer to “Note 8 - Fair Value Measurements” for additional information.</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recognized accretion on its marketable securities of $2.5 million and $2.0 million in interest income in the unaudited condensed consolidated statement of operations for the quarters ended March 31, 2026 and March 31, 2025, respectively.</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Net gains and losses are determined using the specific identification method. During the quarter ended March 31, 2026, nominal realized gains were recognized in the unaudited condensed consolidated statements of operations from the sales of marketable securities. During the quarter ended March 31, 2025, there were no realized gains and losses related to the sales of marketable securities recognized in the unaudited condensed consolidated statements of operations.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Marketable securities in a continuous loss position for less than 12 months had an estimated fair value of $97.1 million and unrealized losses were $0.1 million at March 31, 2026. There were no marketable securities in a continuous loss position for greater than 12 months at March 31, 2026.</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Company's marketable securities are considered to be of high credit quality and accordingly, there was no allowance for credit losses related to marketable securities at March 31, 2026.</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Assets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Deferred customer contract acquisition costs are included in other assets in the unaudited condensed consolidated balance sheets and totaled $86.7 million and $89.3 million at March 31, 2026 and December 31, 2025, respectively.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2025</w:t>
            </w:r>
          </w:p>
        </w:tc>
      </w:tr>
      <w:tr>
        <w:trPr>
          <w:trHeight w:val="29"/>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39,301</w:t>
            </w:r>
          </w:p>
        </w:tc>
      </w:tr>
      <w:tr>
        <w:trPr>
          <w:trHeight w:val="247"/>
        </w:trPr>
        <w:tc>
          <w:tcPr>
            <w:tcW w:w="8480" w:type="dxa"/>
            <w:vAlign w:val="bottom"/>
          </w:tcPr>
          <w:p>
            <w:pPr>
              <w:ind w:left="20"/>
              <w:spacing w:after="0"/>
              <w:rPr>
                <w:sz w:val="20"/>
                <w:szCs w:val="20"/>
                <w:color w:val="auto"/>
              </w:rPr>
            </w:pPr>
            <w:r>
              <w:rPr>
                <w:rFonts w:ascii="Arial" w:cs="Arial" w:eastAsia="Arial" w:hAnsi="Arial"/>
                <w:sz w:val="18"/>
                <w:szCs w:val="18"/>
                <w:color w:val="auto"/>
              </w:rPr>
              <w:t>Accrued income and other taxes payable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13,764</w:t>
            </w: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47"/>
        </w:trPr>
        <w:tc>
          <w:tcPr>
            <w:tcW w:w="848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19,510</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76,790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The Company uses foreign currency forward contracts with an approximate maturity of one month to mitigate foreign currency exchange rate fluctuations on certain foreign currency-denominated monetary assets.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these transactions are not designated as hedging instruments.</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fair value of the forward contracts, estimated based on prevailing exchange rates of the various hedged currencies at the end of the period, is reported as either prepaid and other current assets or accrued expenses and other current liabilities in the unaudited condensed consolidated balance sheets. At March 31, 2026, the total gross notional amount of forward contracts was $46.5 million. Refer to “Note 8 - Fair Value Measurements” for additional information on the fair value classification of the forward contracts.</w:t>
      </w:r>
    </w:p>
    <w:p>
      <w:pPr>
        <w:spacing w:after="0" w:line="6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For the quarter ended March 31, 2026, the net realized gain from the forward contracts was $1.2 million, which was recorded in general and administrative expenses. This activity was substantially offset by unrealized losses from remeasurements of various hedged currencies.</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Cash flows from the settlement of the forward contracts are classified as operating activities in the unaudited condensed statements of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Note 8 – Fair Value Measurements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by level, within the fair value hierarchy. Financial assets and liabilities are classified in their entirety based on the lowest level of input that is significant to the fair value measurement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March 31, 2026</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15,387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15,387</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118,468</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118,468</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0" w:type="dxa"/>
            <w:vAlign w:val="bottom"/>
          </w:tcPr>
          <w:p>
            <w:pPr>
              <w:spacing w:after="0"/>
              <w:rPr>
                <w:sz w:val="1"/>
                <w:szCs w:val="1"/>
                <w:color w:val="auto"/>
              </w:rPr>
            </w:pPr>
          </w:p>
        </w:tc>
      </w:tr>
      <w:tr>
        <w:trPr>
          <w:trHeight w:val="259"/>
        </w:trPr>
        <w:tc>
          <w:tcPr>
            <w:tcW w:w="5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150,173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153,236</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303,409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173,099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173,099</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205,704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205,704</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152,792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152,792</w:t>
            </w:r>
          </w:p>
        </w:tc>
        <w:tc>
          <w:tcPr>
            <w:tcW w:w="0" w:type="dxa"/>
            <w:vAlign w:val="bottom"/>
          </w:tcPr>
          <w:p>
            <w:pPr>
              <w:spacing w:after="0"/>
              <w:rPr>
                <w:sz w:val="1"/>
                <w:szCs w:val="1"/>
                <w:color w:val="auto"/>
              </w:rPr>
            </w:pPr>
          </w:p>
        </w:tc>
      </w:tr>
      <w:tr>
        <w:trPr>
          <w:trHeight w:val="247"/>
        </w:trPr>
        <w:tc>
          <w:tcPr>
            <w:tcW w:w="56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29,682</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29,682</w:t>
            </w: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378,803</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182,474</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561,277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9"/>
        </w:trPr>
        <w:tc>
          <w:tcPr>
            <w:tcW w:w="5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classified the marketable debt securities as available-for-sale debt securities at the time of purchase and reevaluated such classification at each balance sheet date. The valuation techniques used to measure the fair values of instruments that were classified as Level 1 were derived from quoted market prices for identical instruments in active markets. The valuation techniques used to measure the fair values of Level 2 instruments were derived from broker reports that utilized quoted market prices for similar instruments.</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Foreign currency forward contracts are classified within the Level 2 value hierarchy, as the valuation inputs are not actively traded, and the valuation inputs are based on quoted market prices for similar instruments, including currency spot and forward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9 – Convertible Senior Notes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2029 Notes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March 31, 2026, the Company had $675.0 million aggregate principal amount of the 1.00% 2029 Notes outstanding. The 2029 Notes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162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7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2025</w:t>
            </w: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Principal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3"/>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(8,954)</w:t>
            </w:r>
          </w:p>
        </w:tc>
      </w:tr>
      <w:tr>
        <w:trPr>
          <w:trHeight w:val="240"/>
        </w:trPr>
        <w:tc>
          <w:tcPr>
            <w:tcW w:w="73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666,046</w:t>
            </w:r>
          </w:p>
        </w:tc>
      </w:tr>
      <w:tr>
        <w:trPr>
          <w:trHeight w:val="23"/>
        </w:trPr>
        <w:tc>
          <w:tcPr>
            <w:tcW w:w="7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4"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8"/>
          <w:szCs w:val="18"/>
          <w:color w:val="auto"/>
        </w:rPr>
        <w:t>The effective interest rate of the 2029 Notes, excluding the conversion option, was 1.40% at March 31, 2026.</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carries the 2029 Notes at face value less unamortized debt issuance costs in the unaudited condensed consolidated balance sheets and presents the fair value for disclosure purposes only. The estimated fair value was determined based on the actual bids and offers of the 2029 Notes in an over-the-counter market on the last trading day of the period. The estimated fair value of the 2029 Notes, based on a market approach at March 31, 2026, was approximately $634.1 million, which represents a Level 2 valuation.</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During the quarter ended March 31, 2026, the Company recognized $0.6 million of interest expense related to the amortization of debt issuance costs and $1.7 million of coupon interest expense. During the quarter ended March 31, 2025, the Company recognized $0.6 million of interest expense related to the amortization of debt issuance costs and $1.7 million of coupon interest expense.</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2029 Notes were not convertible at March 31, 2026. It is the Company’s current intent to settle conversions of the 2029 Notes through “combination settlement”, which involves repayment of the principal portion in cash and any excess of the conversion value over the principal amount in shares, cash, or a combination for any further value.</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 connection with the offering of the 2029 Notes, the Company entered into privately-negotiated capped call transactions (the “2029 Capped Calls” and together with the 2026 Capped Calls (as defined below), the “Capped Calls”). There have been no changes to the condition of the 2029 Notes since December 31, 2025, and the 2029 Capped Calls were unchanged and still outstanding at March 31, 2026.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2026 Notes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On March 15, 2026, the scheduled maturity date of the 0.00% 2026 Notes (the “2026 Notes”), the Company repaid the total outstanding $230.2 million aggregate principal amount pursuant to the terms of the 2026 Notes with cash on hand.</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quarters ended March 31, 2026 and 2025, the Company recognized interest expense related to the amortization of debt issuance costs of $0.2 million and $0.2 million, respectively.</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In connection with the offering of the 2026 Notes, the Company entered into privately-negotiated capped call transactions (the “2026 Capped Calls”). All remaining 2026 Capped Calls expired upon the maturity of the 2026 Notes on March 15,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 – Restructuring Costs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2025 Restructuring Programs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2025, the Company initiated a global restructuring program to align resources with strategic priorities and enhance operational efficiency through talent optimization (the “Fiscal 2025 restructuring programs”). The liability for the Fiscal 2025 restructuring programs was included in accrued expenses and other current liabilities in the unaudited condensed consolidated balance sheets. The following table summarizes the related activity for the quarter ended March 31, 2026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balance at December 31, 2025</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and adjustments</w:t>
            </w:r>
          </w:p>
        </w:tc>
        <w:tc>
          <w:tcPr>
            <w:tcW w:w="8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color w:val="auto"/>
              </w:rPr>
              <w:t>Accrual balance at March 31, 2026</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0"/>
        </w:trPr>
        <w:tc>
          <w:tcPr>
            <w:tcW w:w="9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At March 31, 2026, the Company incurred cumulative costs of $16.3 million for one-time termination benefits related to the Fiscal 2025 restructuring programs, which occurred in the U.S. and various international locations. The charges were recorded pursuant to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or Disposal Obligations</w:t>
      </w:r>
      <w:r>
        <w:rPr>
          <w:rFonts w:ascii="Arial" w:cs="Arial" w:eastAsia="Arial" w:hAnsi="Arial"/>
          <w:sz w:val="18"/>
          <w:szCs w:val="18"/>
          <w:color w:val="auto"/>
        </w:rPr>
        <w:t>. The Company does not anticipate incurring material additional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 – Stockholders’ Equity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Under the Company’s stock repurchase program, which authorizes the periodic repurchase of its common stock, the Board of Directors (the “Board”) approved an increase to the stock repurchase program of an additional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7" w:name="page18"/>
    <w:bookmarkEnd w:id="17"/>
    <w:p>
      <w:pPr>
        <w:ind w:right="20"/>
        <w:spacing w:after="0" w:line="287" w:lineRule="auto"/>
        <w:rPr>
          <w:sz w:val="20"/>
          <w:szCs w:val="20"/>
          <w:color w:val="auto"/>
        </w:rPr>
      </w:pPr>
      <w:r>
        <w:rPr>
          <w:rFonts w:ascii="Arial" w:cs="Arial" w:eastAsia="Arial" w:hAnsi="Arial"/>
          <w:sz w:val="18"/>
          <w:szCs w:val="18"/>
          <w:color w:val="auto"/>
        </w:rPr>
        <w:t>$100 million of the Company’s common stock on March 13, 2026. This increased the total authorization for repurchases under the stock repurchase program from $400 million to $500 million.</w:t>
      </w:r>
    </w:p>
    <w:p>
      <w:pPr>
        <w:spacing w:after="0" w:line="4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Company repurchased and retired approximately 1.2 million shares of common stock for $47.1 million during the quarter ended March 31, 2026. At March 31, 2026, $217.4 million remained available for repurchases under this program.</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Quarter Ended March 31,</w:t>
            </w:r>
          </w:p>
        </w:tc>
      </w:tr>
      <w:tr>
        <w:trPr>
          <w:trHeight w:val="218"/>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6,044</w:t>
            </w:r>
          </w:p>
        </w:tc>
      </w:tr>
      <w:tr>
        <w:trPr>
          <w:trHeight w:val="2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6,379</w:t>
            </w:r>
          </w:p>
        </w:tc>
      </w:tr>
      <w:tr>
        <w:trPr>
          <w:trHeight w:val="2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the quarters ended March 31, 2026 and 2025, stock-based compensation capitalized as an asset was $1.1 million and $0.9 million, respectively.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8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Stock options - service-only vesting conditions</w:t>
            </w:r>
          </w:p>
        </w:tc>
        <w:tc>
          <w:tcPr>
            <w:tcW w:w="760" w:type="dxa"/>
            <w:vAlign w:val="bottom"/>
          </w:tcPr>
          <w:p>
            <w:pPr>
              <w:spacing w:after="0"/>
              <w:rPr>
                <w:sz w:val="21"/>
                <w:szCs w:val="21"/>
                <w:color w:val="auto"/>
              </w:rPr>
            </w:pPr>
          </w:p>
        </w:tc>
      </w:tr>
      <w:tr>
        <w:trPr>
          <w:trHeight w:val="316"/>
        </w:trPr>
        <w:tc>
          <w:tcPr>
            <w:tcW w:w="1048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activity for awards that contain service-only vesting conditions (in thousands):</w:t>
            </w:r>
          </w:p>
        </w:tc>
        <w:tc>
          <w:tcPr>
            <w:tcW w:w="760" w:type="dxa"/>
            <w:vAlign w:val="bottom"/>
          </w:tcPr>
          <w:p>
            <w:pPr>
              <w:spacing w:after="0"/>
              <w:rPr>
                <w:sz w:val="24"/>
                <w:szCs w:val="24"/>
                <w:color w:val="auto"/>
              </w:rPr>
            </w:pPr>
          </w:p>
        </w:tc>
      </w:tr>
      <w:tr>
        <w:trPr>
          <w:trHeight w:val="117"/>
        </w:trPr>
        <w:tc>
          <w:tcPr>
            <w:tcW w:w="9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50"/>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47"/>
        </w:trPr>
        <w:tc>
          <w:tcPr>
            <w:tcW w:w="10480" w:type="dxa"/>
            <w:vAlign w:val="bottom"/>
            <w:gridSpan w:val="2"/>
          </w:tcPr>
          <w:p>
            <w:pPr>
              <w:ind w:left="20"/>
              <w:spacing w:after="0"/>
              <w:rPr>
                <w:sz w:val="20"/>
                <w:szCs w:val="20"/>
                <w:color w:val="auto"/>
              </w:rPr>
            </w:pPr>
            <w:r>
              <w:rPr>
                <w:rFonts w:ascii="Arial" w:cs="Arial" w:eastAsia="Arial" w:hAnsi="Arial"/>
                <w:sz w:val="18"/>
                <w:szCs w:val="18"/>
                <w:color w:val="auto"/>
              </w:rPr>
              <w:t>Exercised</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5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404"/>
        </w:trPr>
        <w:tc>
          <w:tcPr>
            <w:tcW w:w="1048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Restricted stock units - service-only vesting conditions</w:t>
            </w:r>
          </w:p>
        </w:tc>
        <w:tc>
          <w:tcPr>
            <w:tcW w:w="760" w:type="dxa"/>
            <w:vAlign w:val="bottom"/>
          </w:tcPr>
          <w:p>
            <w:pPr>
              <w:spacing w:after="0"/>
              <w:rPr>
                <w:sz w:val="24"/>
                <w:szCs w:val="24"/>
                <w:color w:val="auto"/>
              </w:rPr>
            </w:pPr>
          </w:p>
        </w:tc>
      </w:tr>
      <w:tr>
        <w:trPr>
          <w:trHeight w:val="316"/>
        </w:trPr>
        <w:tc>
          <w:tcPr>
            <w:tcW w:w="1048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activity for restricted stock units that contain service-only vesting conditions (in thousands):</w:t>
            </w:r>
          </w:p>
        </w:tc>
        <w:tc>
          <w:tcPr>
            <w:tcW w:w="760" w:type="dxa"/>
            <w:vAlign w:val="bottom"/>
          </w:tcPr>
          <w:p>
            <w:pPr>
              <w:spacing w:after="0"/>
              <w:rPr>
                <w:sz w:val="24"/>
                <w:szCs w:val="24"/>
                <w:color w:val="auto"/>
              </w:rPr>
            </w:pPr>
          </w:p>
        </w:tc>
      </w:tr>
      <w:tr>
        <w:trPr>
          <w:trHeight w:val="104"/>
        </w:trPr>
        <w:tc>
          <w:tcPr>
            <w:tcW w:w="104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r>
      <w:tr>
        <w:trPr>
          <w:trHeight w:val="250"/>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r>
      <w:tr>
        <w:trPr>
          <w:trHeight w:val="247"/>
        </w:trPr>
        <w:tc>
          <w:tcPr>
            <w:tcW w:w="10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
        </w:trPr>
        <w:tc>
          <w:tcPr>
            <w:tcW w:w="10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7"/>
        </w:trPr>
        <w:tc>
          <w:tcPr>
            <w:tcW w:w="10480" w:type="dxa"/>
            <w:vAlign w:val="bottom"/>
            <w:gridSpan w:val="2"/>
          </w:tcPr>
          <w:p>
            <w:pPr>
              <w:ind w:left="20"/>
              <w:spacing w:after="0"/>
              <w:rPr>
                <w:sz w:val="20"/>
                <w:szCs w:val="20"/>
                <w:color w:val="auto"/>
              </w:rPr>
            </w:pPr>
            <w:r>
              <w:rPr>
                <w:rFonts w:ascii="Arial" w:cs="Arial" w:eastAsia="Arial" w:hAnsi="Arial"/>
                <w:sz w:val="18"/>
                <w:szCs w:val="18"/>
                <w:color w:val="auto"/>
              </w:rPr>
              <w:t>Forfeited/canceled</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9"/>
        </w:trPr>
        <w:tc>
          <w:tcPr>
            <w:tcW w:w="10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 - performance and service conditions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performance and service vesting conditions with grant dates established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7"/>
        </w:trPr>
        <w:tc>
          <w:tcPr>
            <w:tcW w:w="9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 adjustment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992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performance and service vesting conditions with no grant dates established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7"/>
        </w:trPr>
        <w:tc>
          <w:tcPr>
            <w:tcW w:w="9920" w:type="dxa"/>
            <w:vAlign w:val="bottom"/>
          </w:tcPr>
          <w:p>
            <w:pPr>
              <w:ind w:left="20"/>
              <w:spacing w:after="0"/>
              <w:rPr>
                <w:sz w:val="20"/>
                <w:szCs w:val="20"/>
                <w:color w:val="auto"/>
              </w:rPr>
            </w:pPr>
            <w:r>
              <w:rPr>
                <w:rFonts w:ascii="Arial" w:cs="Arial" w:eastAsia="Arial" w:hAnsi="Arial"/>
                <w:sz w:val="18"/>
                <w:szCs w:val="18"/>
                <w:color w:val="auto"/>
              </w:rPr>
              <w:t>Granted (accounting grant date established)</w:t>
            </w: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8" w:name="page19"/>
    <w:bookmarkEnd w:id="18"/>
    <w:p>
      <w:pPr>
        <w:ind w:left="460"/>
        <w:spacing w:after="0"/>
        <w:rPr>
          <w:sz w:val="20"/>
          <w:szCs w:val="20"/>
          <w:color w:val="auto"/>
        </w:rPr>
      </w:pPr>
      <w:r>
        <w:rPr>
          <w:rFonts w:ascii="Arial" w:cs="Arial" w:eastAsia="Arial" w:hAnsi="Arial"/>
          <w:sz w:val="18"/>
          <w:szCs w:val="18"/>
          <w:b w:val="1"/>
          <w:bCs w:val="1"/>
          <w:i w:val="1"/>
          <w:iCs w:val="1"/>
          <w:color w:val="auto"/>
        </w:rPr>
        <w:t>Restricted stock units - market and service conditions</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market and service-based conditions with grant dates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7"/>
        </w:trPr>
        <w:tc>
          <w:tcPr>
            <w:tcW w:w="9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market and service-based conditions with no grant dates established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9920" w:type="dxa"/>
            <w:vAlign w:val="bottom"/>
          </w:tcPr>
          <w:p>
            <w:pPr>
              <w:ind w:left="20"/>
              <w:spacing w:after="0"/>
              <w:rPr>
                <w:sz w:val="20"/>
                <w:szCs w:val="20"/>
                <w:color w:val="auto"/>
              </w:rPr>
            </w:pPr>
            <w:r>
              <w:rPr>
                <w:rFonts w:ascii="Arial" w:cs="Arial" w:eastAsia="Arial" w:hAnsi="Arial"/>
                <w:sz w:val="18"/>
                <w:szCs w:val="18"/>
                <w:color w:val="auto"/>
              </w:rPr>
              <w:t>Granted (accounting grant dates established)</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 – Income Taxes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adjusted for discrete items arising in that quarter. The Company’s annual estimated effective tax rate differs from the U.S. federal statutory rate of 21% primarily as a result of non-deductible officer compensation, stock-based compensation shortfalls, foreign taxes, and changes in the Company’s valuation allowance for income taxes.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For the quarters ended March 31, 2026 and 2025, the Company recorded $5.9 million and $ 4.7 million in income tax expense, respectively. The increase in income tax expense for the quarter ended March 31, 2026 compared to the quarter ended March 31, 2025, resulted primarily from non-deductible officer compensation and stock-based compensation shortfalls, along with changes in the mix of profitable foreign jurisdictions.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 – Net Income per Share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18"/>
        </w:trPr>
        <w:tc>
          <w:tcPr>
            <w:tcW w:w="8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attributable to BlackLine,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 attributable to BlackLine, Inc.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Net income attributable to BlackLine,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Arial" w:cs="Arial" w:eastAsia="Arial" w:hAnsi="Arial"/>
                <w:sz w:val="18"/>
                <w:szCs w:val="18"/>
                <w:color w:val="auto"/>
              </w:rPr>
              <w:t>Net income attributable to BlackLine, Inc. for diluted calculation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Weighted average shares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62,822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convertible senior notes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used to calculate diluted net income per share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 net income per share attributable to BlackLine, Inc.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computes basic earnings per share attributable to BlackLine, Inc. using the weighted average number of common shares outstanding. The Company computes diluted earnings per share attributable to</w:t>
      </w:r>
    </w:p>
    <w:p>
      <w:pPr>
        <w:sectPr>
          <w:pgSz w:w="11900" w:h="16838" w:orient="portrait"/>
          <w:cols w:equalWidth="0" w:num="1">
            <w:col w:w="11240"/>
          </w:cols>
          <w:pgMar w:left="320" w:top="1216"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type w:val="continuous"/>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BlackLine, Inc. using the weighted average number of common shares outstanding plus the effect of potentially dilutive shares, which is based on the weighted-average shares of common stock underlying stock options and unvested stock awards using the treasury stock method, and the effect of the convertible senior notes using the if-converted method.</w:t>
      </w:r>
    </w:p>
    <w:p>
      <w:pPr>
        <w:spacing w:after="0" w:line="63"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weighted average impact of potentially dilutive securities that were excluded from the diluted per share calculations because they were anti-dilutive were as follows (in thousands):</w:t>
      </w:r>
    </w:p>
    <w:p>
      <w:pPr>
        <w:spacing w:after="0" w:line="8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2026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2025</w:t>
            </w:r>
          </w:p>
        </w:tc>
      </w:tr>
      <w:tr>
        <w:trPr>
          <w:trHeight w:val="257"/>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 service-only vesting conditions</w:t>
            </w:r>
          </w:p>
        </w:tc>
        <w:tc>
          <w:tcPr>
            <w:tcW w:w="940" w:type="dxa"/>
            <w:vAlign w:val="bottom"/>
            <w:tcBorders>
              <w:top w:val="single" w:sz="8" w:color="auto"/>
            </w:tcBorders>
            <w:shd w:val="clear" w:color="auto" w:fill="CFF0FC"/>
          </w:tcPr>
          <w:p>
            <w:pPr>
              <w:spacing w:after="0"/>
              <w:rPr>
                <w:sz w:val="22"/>
                <w:szCs w:val="2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FF0FC"/>
            </w:tcBorders>
            <w:shd w:val="clear" w:color="auto" w:fill="CFF0FC"/>
          </w:tcPr>
          <w:p>
            <w:pPr>
              <w:spacing w:after="0"/>
              <w:rPr>
                <w:sz w:val="22"/>
                <w:szCs w:val="22"/>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r>
      <w:tr>
        <w:trPr>
          <w:trHeight w:val="270"/>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Restricted stock units - service-only vesting conditions</w:t>
            </w:r>
          </w:p>
        </w:tc>
        <w:tc>
          <w:tcPr>
            <w:tcW w:w="56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0"/>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 - performance and service conditions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Restricted stock units - market and service conditions</w:t>
            </w:r>
          </w:p>
        </w:tc>
        <w:tc>
          <w:tcPr>
            <w:tcW w:w="5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WL contingently returnable common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140"/>
              <w:spacing w:after="0"/>
              <w:rPr>
                <w:sz w:val="20"/>
                <w:szCs w:val="20"/>
                <w:color w:val="auto"/>
              </w:rPr>
            </w:pPr>
            <w:r>
              <w:rPr>
                <w:rFonts w:ascii="Arial" w:cs="Arial" w:eastAsia="Arial" w:hAnsi="Arial"/>
                <w:sz w:val="18"/>
                <w:szCs w:val="18"/>
                <w:color w:val="auto"/>
              </w:rPr>
              <w:t>Total shares excluded from net income per share</w:t>
            </w: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w:t>
            </w:r>
          </w:p>
        </w:tc>
      </w:tr>
      <w:tr>
        <w:trPr>
          <w:trHeight w:val="21"/>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denominator for diluted net income per share attributable to BlackLine, Inc. does not include any effect from the Capped Calls as this effect would be anti-dilutive. In the event of conversion of the 2029 Notes, shares delivered to the Company under the 2029 Capped Calls would offset the dilutive effect of the shares that the Company would issue under the Notes. Refer to “Note 9 - Convertible Senior Notes” for additional information on the Notes and the related Capped Calls.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 – Commitments and Contingencies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the Company may become subject to legal proceedings, claims, and litigation arising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The Company is not currently a party to any legal proceedings, nor is it aware of any pending or threatened litigation that would have a material adverse effect on the Company’s business, operating results, cash flows, or financial condition should such litigation be resolved unfavorably.</w:t>
      </w:r>
    </w:p>
    <w:p>
      <w:pPr>
        <w:spacing w:after="0" w:line="6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—In the ordinary course of business, the Company may provide indemnification of varying scope and terms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March 31, 2026 and December 31, 2025, the Company has not accrued a liability for these indemnification arrangements because the likelihood of incurring a payment obligation, if any, in connection with these indemnification arrangements was not probable or reasonably estimable.</w:t>
      </w:r>
    </w:p>
    <w:p>
      <w:pPr>
        <w:spacing w:after="0" w:line="7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At March 31, 2026, the Company committed $28.2 million for leases signed but not yet commenced.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which are expected to commence within the next twelve months, have lease terms ranging from 10.0 years to 15.5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15 – Unearned Revenue and Performance Obligations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Revenue totaling $151.8 million and $ 138.4 million was recognized during the quarters ended March 31, 2026 and 2025, respectively, that was previously included in the deferred revenue balance at December 31, 2025 and 2024, respectively.</w:t>
      </w:r>
    </w:p>
    <w:p>
      <w:pPr>
        <w:spacing w:after="0" w:line="4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Contracted but unrecognized revenue was $1.1 billion at March 31, 2026, of which the Company expects to recognize approximately 53% over the next 12 months and the remainder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 – Subsequent Events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continued its execution of the stock buyback program authorized by the Board. Refer to “Note 11 – Stockholders’ Equity” for additional information regarding the stock buyback program. For the period from April 1, 2026 through April 27, 2026, the Company repurchased and retired 0.5 million shares of common stock for an aggregate amount of $17.1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0" w:name="page21"/>
    <w:bookmarkEnd w:id="2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that are included elsewhere in this Quarterly Report on Form 10-Q and our Annual Report on Form 10-K for the fiscal year ended December 31, 2025 filed with the U.S. Securities and Exchange Commission (the “SEC”) on February 26, 2026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but not limited to, those discussed in the section entitled “Risk Factors” and elsewhere in this Quarterly Report on Form 10-Q.</w:t>
      </w:r>
    </w:p>
    <w:p>
      <w:pPr>
        <w:spacing w:after="0" w:line="181"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offer a future-ready platform that drives digital finance transformation by empowering organizations with accurate, efficient, and intelligent financial operations. Built on the Studio360 platform, BlackLine unifies data, streamlines processes, and delivers real-time insights through automation and intelligence powered by Verity - a comprehensive suite of embedded, auditable AI capabilities that provides finance and accounting teams with a new digital workforce.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holding company and conduct our operations through our wholly-owned subsidiary, BlackLine Systems, Inc.</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March 31, 2026, we had 4,301 customers, exclusive of on-premise software. Additionally, we continue to build strategic relationships with technology vendors, professional services firms, business process outsourcers, and resellers.</w:t>
      </w:r>
    </w:p>
    <w:p>
      <w:pPr>
        <w:spacing w:after="0" w:line="4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cloud-based solutions, delivered by our BlackLine Studio360 Platform, include Account Reconciliations, Transaction Matching, Task Management, Reporting &amp; Analysis, Journal Entry, Journals Risk Analyser, Account Analysis, Consolidation, Compliance, Smart Close for SAP, Cash Application, Credit &amp; Risk Management, Collections Management, Disputes &amp; Deductions Management, Team &amp; Task Management, AR Intelligence, Electronic Invoicing &amp; Payments, Intercompany Create, Intercompany Balance &amp; Resolve, and Intercompany Net &amp; Settle.</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September 2025, we launched Verity, a comprehensive suite of AI capabilities that provides finance and accounting teams with a digital workforce of embedded and auditable AI. Verity is integrated throughout our solutions and supports a broad range of use cases across our customers’ financial operations, offering flexible capabilities that help deliver best practices across end-to-end record-to-report and invoice-to-cash processes.</w:t>
      </w:r>
    </w:p>
    <w:p>
      <w:pPr>
        <w:spacing w:after="0" w:line="6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derived approximately 95% of our revenue from subscriptions to our cloud-based software platform and approximately 5% from professional services for the quarter ended March 31, 2026. Our subscription contracts have initial non-cancellable terms of one year to three years with renewal options. The majority of new contracts in 2025 and during the quarter ended March 31, 2026 carried an initial non-cancellable term of three years. In 2025, we updated our pricing model to reflect the value of our solutions based on factors such as product mix, organization size, and volumetrics (e.g. number of transactions or entities). We typically invoice subscription fees annually in advance, which are initially recorded as deferred revenue and recognized ratably over the contract term. First-year subscription fees are generally payable within 30 days of contract execution, with subsequent fees due upon renewal.</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Professional services consist primarily of implementation and consulting services. Our products are available for immediate use upon granting customer access. We typically assist customers with implementation and provide consulting services to help them optimize the use of our solutions. We invoice customers for our consulting services on a time-and-materials basis and recognize that revenue as services are performed. A limited number of our customers are provided professional services for a fixed fee, for which we invoice in advance. The fee is initially recorded as deferred revenue and recognized on a proportional-performance basis as the services are rendered.</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Our solutions integrate with SAP’s ERP systems, and SAP resells our product as SAP SolEx, for which we receive a percentage of the related revenues. We also maintain a strategic agreement with Google Cloud through which we jointly engage in selling and go-to-market activities to bring enhanced automation capabilities to customers.</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ability to maximize the lifetime value of our customer relationships depends, in part, on the willingness of customers to purchase additional licenses and products from us. Our sales and customer success teams focus 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maintaining high satisfaction and educating customers on the value of our full product portfolio to support account expansion.</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length of our sales cycle depends on the size of a potential customer and contract, as well as the type of solution or product being purchased. Sales cycles for global enterprise customers are generally longer than those for mid-size customers, and cycle duration increases for larger or more strategic products, such as our Intercompany solutions. As we focus on increasing average contract size and expanding adoption of strategic products, we expect the sales cycle to lengthen and remain less predictable which may contribute to variability in period-to-period results.</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have historically signed a high percentage of agreements with new customers, as well as renewal agreements with existing customers, in the fourth quarter of each year and usually during the last month of the quarter. Because most contracts have annual terms, agreements entered into late in the year typically renew during the same period in subsequent years. While this seasonality is reflected in our billings and bookings, the impact on overall revenue is minimal due to our ratable revenue recognition model.</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For the quarters ended March 31, 2026 and 2025, we had revenues totaling $183.2 million and $166.9 million, respectively. We generated net income attributable to BlackLine, Inc. of $8.1 million and $6.1 million for the quarters ended March 31, 2026 and 2025,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Macroeconomic Factors</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operating results may vary due to the impact of industry or global economic conditions on us or our customers. General macroeconomic conditions, such as political conflicts, recession, inflation or rising interest rates, an economic downturn in the U.S. or internationally, adverse business conditions and liquidity concerns, have and could continue to adversely affect demand for our products and make it difficult to accurately forecast and plan our future business activities. As a result of economic uncertainty, we have seen customers delay and defer purchasing decisions, which has adversely impacted our near-term demand.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and performance, identify trends affecting our business, formulate financial projections, and make strategic decisions.</w:t>
      </w:r>
    </w:p>
    <w:p>
      <w:pPr>
        <w:sectPr>
          <w:pgSz w:w="11900" w:h="16838" w:orient="portrait"/>
          <w:cols w:equalWidth="0" w:num="1">
            <w:col w:w="11240"/>
          </w:cols>
          <w:pgMar w:left="320" w:top="1214" w:right="339" w:bottom="1440" w:gutter="0" w:footer="0" w:header="0"/>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Dollar-based net revenue retention rate</w:t>
      </w:r>
    </w:p>
    <w:p>
      <w:pPr>
        <w:spacing w:after="0" w:line="63" w:lineRule="exact"/>
        <w:rPr>
          <w:sz w:val="20"/>
          <w:szCs w:val="20"/>
          <w:color w:val="auto"/>
        </w:rPr>
      </w:pPr>
    </w:p>
    <w:p>
      <w:pPr>
        <w:ind w:left="20"/>
        <w:spacing w:after="0" w:line="281" w:lineRule="auto"/>
        <w:rPr>
          <w:sz w:val="20"/>
          <w:szCs w:val="20"/>
          <w:color w:val="auto"/>
        </w:rPr>
      </w:pPr>
      <w:r>
        <w:rPr>
          <w:rFonts w:ascii="Arial" w:cs="Arial" w:eastAsia="Arial" w:hAnsi="Arial"/>
          <w:sz w:val="18"/>
          <w:szCs w:val="18"/>
          <w:color w:val="auto"/>
        </w:rPr>
        <w:t>Platform pricing ARR as a percentage of eligible ARR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customers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 31, 2025</w:t>
            </w:r>
          </w:p>
        </w:tc>
        <w:tc>
          <w:tcPr>
            <w:tcW w:w="15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 30, 2025</w:t>
            </w: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 30, 2025</w:t>
            </w: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 2025</w:t>
            </w:r>
          </w:p>
        </w:tc>
        <w:tc>
          <w:tcPr>
            <w:tcW w:w="1420" w:type="dxa"/>
            <w:vAlign w:val="bottom"/>
          </w:tcPr>
          <w:p>
            <w:pPr>
              <w:jc w:val="right"/>
              <w:ind w:right="112"/>
              <w:spacing w:after="0"/>
              <w:rPr>
                <w:sz w:val="20"/>
                <w:szCs w:val="20"/>
                <w:color w:val="auto"/>
              </w:rPr>
            </w:pPr>
            <w:r>
              <w:rPr>
                <w:rFonts w:ascii="Arial" w:cs="Arial" w:eastAsia="Arial" w:hAnsi="Arial"/>
                <w:sz w:val="16"/>
                <w:szCs w:val="16"/>
                <w:b w:val="1"/>
                <w:bCs w:val="1"/>
                <w:color w:val="auto"/>
              </w:rPr>
              <w:t>Mar. 31, 2026</w:t>
            </w:r>
          </w:p>
        </w:tc>
      </w:tr>
      <w:tr>
        <w:trPr>
          <w:trHeight w:val="240"/>
        </w:trPr>
        <w:tc>
          <w:tcPr>
            <w:tcW w:w="14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486"/>
        </w:trPr>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20" w:type="dxa"/>
            <w:vAlign w:val="bottom"/>
          </w:tcPr>
          <w:p>
            <w:pPr>
              <w:ind w:left="940"/>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-661670</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-173355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540"/>
            <w:col w:w="7460"/>
          </w:cols>
          <w:pgMar w:left="320" w:top="1214" w:right="339" w:bottom="1440" w:gutter="0" w:footer="0" w:header="0"/>
          <w:type w:val="continuous"/>
        </w:sectPr>
      </w:pPr>
    </w:p>
    <w:p>
      <w:pPr>
        <w:spacing w:after="0" w:line="7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b w:val="1"/>
          <w:bCs w:val="1"/>
          <w:i w:val="1"/>
          <w:iCs w:val="1"/>
          <w:color w:val="auto"/>
        </w:rPr>
        <w:t xml:space="preserve">Dollar-based net revenue retention rate. </w:t>
      </w:r>
      <w:r>
        <w:rPr>
          <w:rFonts w:ascii="Arial" w:cs="Arial" w:eastAsia="Arial" w:hAnsi="Arial"/>
          <w:sz w:val="18"/>
          <w:szCs w:val="18"/>
          <w:color w:val="auto"/>
        </w:rPr>
        <w:t>We believe that dollar-based net revenue retention rate is an important metric to measure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At March 31, 2026, our dollar-based net revenue retention rate remained consistent from the year ended December 31, 2025, reflecting continued customer engagement and retention, despite the impact of unfavorable foreign exchange rates. Our ability to maximize the lifetime value of our customer relationships will depend, in part, on the willingness of the customer to purchase additional products from us. We rely on our customer success and sales teams to support and grow our existing customers by maintaining high customer satisfaction and educating the customer on the value our products provide.</w:t>
      </w:r>
    </w:p>
    <w:p>
      <w:pPr>
        <w:spacing w:after="0" w:line="7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Platform pricing ARR as a percentage of eligible ARR. </w:t>
      </w:r>
      <w:r>
        <w:rPr>
          <w:rFonts w:ascii="Arial" w:cs="Arial" w:eastAsia="Arial" w:hAnsi="Arial"/>
          <w:sz w:val="18"/>
          <w:szCs w:val="18"/>
          <w:color w:val="auto"/>
        </w:rPr>
        <w:t>Platform pricing ARR as a percentage of eligible ARR is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annual recurring revenue divided by our eligible annual recurring revenue. We define eligible ARR as total annual recurring revenue, excluding revenue from SAP SolEx and the public sector.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Management believes that this metric is useful for tracking the progress of the new pricing strategy launched in 2025.</w:t>
      </w:r>
    </w:p>
    <w:p>
      <w:pPr>
        <w:spacing w:after="0" w:line="22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Number of customers. </w:t>
      </w:r>
      <w:r>
        <w:rPr>
          <w:rFonts w:ascii="Arial" w:cs="Arial" w:eastAsia="Arial" w:hAnsi="Arial"/>
          <w:sz w:val="18"/>
          <w:szCs w:val="18"/>
          <w:color w:val="auto"/>
        </w:rPr>
        <w:t>We believe that our ability to expand our customer base is an indicator of our market penetration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of our business. We define a customer as a company that contributes to our subscription and support revenue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 For the quarters ended March 31, 2026 and 2025, no single customer accounted for more than 10% of our total revenues.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 operations and facilitate comparisons with other peer companies, many of which use similar non-GAAP financial measures to supplement their GAAP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rPr>
              <w:t>Quarter Ended March 31,</w:t>
            </w:r>
          </w:p>
        </w:tc>
      </w:tr>
      <w:tr>
        <w:trPr>
          <w:trHeight w:val="202"/>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(in thousands, except percentages)</w:t>
            </w:r>
          </w:p>
        </w:tc>
      </w:tr>
      <w:tr>
        <w:trPr>
          <w:trHeight w:val="27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139,150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126,007</w:t>
            </w: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6,235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3,575</w:t>
            </w: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GAAP operating margin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 attributable to BlackLine,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8,126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6,055</w:t>
            </w:r>
          </w:p>
        </w:tc>
      </w:tr>
      <w:tr>
        <w:trPr>
          <w:trHeight w:val="274"/>
        </w:trPr>
        <w:tc>
          <w:tcPr>
            <w:tcW w:w="7800" w:type="dxa"/>
            <w:vAlign w:val="bottom"/>
          </w:tcPr>
          <w:p>
            <w:pPr>
              <w:ind w:left="20"/>
              <w:spacing w:after="0"/>
              <w:rPr>
                <w:sz w:val="20"/>
                <w:szCs w:val="20"/>
                <w:color w:val="auto"/>
              </w:rPr>
            </w:pPr>
            <w:r>
              <w:rPr>
                <w:rFonts w:ascii="Arial" w:cs="Arial" w:eastAsia="Arial" w:hAnsi="Arial"/>
                <w:sz w:val="18"/>
                <w:szCs w:val="18"/>
                <w:color w:val="auto"/>
              </w:rPr>
              <w:t>Diluted net income per share attributable to BlackLine,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0.10</w:t>
            </w:r>
          </w:p>
        </w:tc>
      </w:tr>
      <w:tr>
        <w:trPr>
          <w:trHeight w:val="665"/>
        </w:trPr>
        <w:tc>
          <w:tcPr>
            <w:tcW w:w="7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rPr>
              <w:t>Quarter Ended March 31,</w:t>
            </w:r>
          </w:p>
        </w:tc>
      </w:tr>
      <w:tr>
        <w:trPr>
          <w:trHeight w:val="202"/>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(in thousands, except percentages)</w:t>
            </w:r>
          </w:p>
        </w:tc>
      </w:tr>
      <w:tr>
        <w:trPr>
          <w:trHeight w:val="27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146,953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132,834</w:t>
            </w: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39,604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34,953</w:t>
            </w: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attributable to BlackLine,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39,606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36,324</w:t>
            </w:r>
          </w:p>
        </w:tc>
      </w:tr>
      <w:tr>
        <w:trPr>
          <w:trHeight w:val="274"/>
        </w:trPr>
        <w:tc>
          <w:tcPr>
            <w:tcW w:w="7800" w:type="dxa"/>
            <w:vAlign w:val="bottom"/>
          </w:tcPr>
          <w:p>
            <w:pPr>
              <w:ind w:left="20"/>
              <w:spacing w:after="0"/>
              <w:rPr>
                <w:sz w:val="20"/>
                <w:szCs w:val="20"/>
                <w:color w:val="auto"/>
              </w:rPr>
            </w:pPr>
            <w:r>
              <w:rPr>
                <w:rFonts w:ascii="Arial" w:cs="Arial" w:eastAsia="Arial" w:hAnsi="Arial"/>
                <w:sz w:val="18"/>
                <w:szCs w:val="18"/>
                <w:color w:val="auto"/>
              </w:rPr>
              <w:t>Diluted non-GAAP net income per share attributable to BlackLine,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0.49</w:t>
            </w:r>
          </w:p>
        </w:tc>
      </w:tr>
    </w:tbl>
    <w:p>
      <w:pPr>
        <w:spacing w:after="0" w:line="18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 xml:space="preserve">Non-GAAP Gross Profit and Non-GAAP Gross Margin. </w:t>
      </w:r>
      <w:r>
        <w:rPr>
          <w:rFonts w:ascii="Arial" w:cs="Arial" w:eastAsia="Arial" w:hAnsi="Arial"/>
          <w:sz w:val="18"/>
          <w:szCs w:val="18"/>
          <w:color w:val="auto"/>
        </w:rPr>
        <w:t>Non-GAAP gross profit is defined as GAAP revenues less GAAP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adjusted for amortization of acquired developed technology, stock-based compensation, and transaction-related costs (including, but not limited to, accounting, legal, and advisory fees related to the transaction, as well as transaction-related retention bonuses). Non-GAAP gross margin is defined as non-GAAP gross profit divided by GAAP revenues. We believe that presenting non-GAAP gross profit and non-GAAP gross margin is useful to investors as it eliminates the impact of certain non-cash expenses and allows a direct comparison of gross profit between periods.</w:t>
      </w:r>
    </w:p>
    <w:p>
      <w:pPr>
        <w:spacing w:after="0" w:line="7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Non-GAAP Income from Operations and Non-GAAP Operating Margin</w:t>
      </w:r>
      <w:r>
        <w:rPr>
          <w:rFonts w:ascii="Arial" w:cs="Arial" w:eastAsia="Arial" w:hAnsi="Arial"/>
          <w:sz w:val="18"/>
          <w:szCs w:val="18"/>
          <w:color w:val="auto"/>
        </w:rPr>
        <w:t>. Non-GAAP income from operations is defined as GAAP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adjusted for amortization of intangible assets, stock-based compensation, change in fair value of contingent consideration, transaction-related costs, restructuring costs, and legal settlement gains or costs. Non-GAAP operating margin is defined as non-GAAP income from operations divided by GAAP revenues. We believe that presenting non-GAAP income from operations and non-GAAP operating margin is useful to investors as it eliminates the impact of items that have been impacted by our acquisitions and other related costs in order to allow a direct comparison of income from operations between all periods presented.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3" w:name="page24"/>
    <w:bookmarkEnd w:id="23"/>
    <w:p>
      <w:pPr>
        <w:jc w:val="both"/>
        <w:ind w:firstLine="445"/>
        <w:spacing w:after="0" w:line="254" w:lineRule="auto"/>
        <w:rPr>
          <w:sz w:val="20"/>
          <w:szCs w:val="20"/>
          <w:color w:val="auto"/>
        </w:rPr>
      </w:pPr>
      <w:r>
        <w:rPr>
          <w:rFonts w:ascii="Arial" w:cs="Arial" w:eastAsia="Arial" w:hAnsi="Arial"/>
          <w:sz w:val="18"/>
          <w:szCs w:val="18"/>
          <w:i w:val="1"/>
          <w:iCs w:val="1"/>
          <w:color w:val="auto"/>
        </w:rPr>
        <w:t xml:space="preserve">Non-GAAP Net Income Attributable to BlackLine and Diluted Non-GAAP Net Income Per Share Attributable to BlackLine, </w:t>
      </w:r>
      <w:r>
        <w:rPr>
          <w:rFonts w:ascii="Arial" w:cs="Arial" w:eastAsia="Arial" w:hAnsi="Arial"/>
          <w:sz w:val="18"/>
          <w:szCs w:val="18"/>
          <w:color w:val="auto"/>
        </w:rPr>
        <w:t>Inc. Non-GAAP net income attributable to BlackLine is defined as GAAP net income attributable to BlackLine adjusted for the income tax effects of acquisitions, stock-based compensation shortfalls and windfalls, and the discrete tax impact of other non-GAAP adjustments, amortization of intangible assets, stock-based compensation, amortization of debt issuance costs from our 1.00% Convertible Senior Notes due in 2029 (the “2029 Notes”) and 0.00% Convertible Senior Notes which matured and were paid off in 2026 (the “2026 Notes” and, together with the 2029 Notes, the “Notes” or “convertible senior notes”), change in fair value of contingent consideration, transaction-related costs, restructuring costs, legal settlement gains or costs, adjustment to the redeemable non-controlling interest to the redemption amount, and gain on extinguishment of convertible senior notes. Diluted non-GAAP net income per share attributable to BlackLine, Inc. includes the adjustment for shares resulting from the elimination of stock-based compensation. We believe that presenting non-GAAP net income attributable to BlackLine is useful to investors as it eliminates the impact of items that have been impacted by our acquisitions and other related costs to allow a direct comparison of net income between all periods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table presents a reconciliation of gross profit, gross margin, operating income, operating margin, and net income, the most comparable GAAP measures, to non-GAAP gross profit, non-GAAP gross margin, non-GAAP operating income, non-GAAP operating margin, and non-GAAP net income: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01"/>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7"/>
        </w:trPr>
        <w:tc>
          <w:tcPr>
            <w:tcW w:w="7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3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139,150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126,007</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acquired 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4,281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9"/>
        </w:trPr>
        <w:tc>
          <w:tcPr>
            <w:tcW w:w="7800" w:type="dxa"/>
            <w:vAlign w:val="bottom"/>
          </w:tcPr>
          <w:p>
            <w:pPr>
              <w:ind w:left="20"/>
              <w:spacing w:after="0"/>
              <w:rPr>
                <w:sz w:val="20"/>
                <w:szCs w:val="20"/>
                <w:color w:val="auto"/>
              </w:rPr>
            </w:pPr>
            <w:r>
              <w:rPr>
                <w:rFonts w:ascii="Arial" w:cs="Arial" w:eastAsia="Arial" w:hAnsi="Arial"/>
                <w:sz w:val="18"/>
                <w:szCs w:val="18"/>
                <w:color w:val="auto"/>
              </w:rPr>
              <w:t>Total 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146,953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132,834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6,235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24,785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Restructuring and legal settlement costs</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non-GAAP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39,604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34,953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Non-GAAP Net Income Attributable to BlackLine, Inc.:</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BlackLine,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8,126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24,785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19,308</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Transaction-related costs</w:t>
            </w:r>
          </w:p>
        </w:tc>
        <w:tc>
          <w:tcPr>
            <w:tcW w:w="3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2,923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legal settlement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47"/>
        </w:trPr>
        <w:tc>
          <w:tcPr>
            <w:tcW w:w="7800" w:type="dxa"/>
            <w:vAlign w:val="bottom"/>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3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non-GAAP net income attributable to BlackLine,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39,606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36,324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4" w:name="page25"/>
    <w:bookmarkEnd w:id="24"/>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statements of operations information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11"/>
          </w:tcPr>
          <w:p>
            <w:pPr>
              <w:jc w:val="right"/>
              <w:ind w:right="619"/>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01"/>
        </w:trPr>
        <w:tc>
          <w:tcPr>
            <w:tcW w:w="6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gridSpan w:val="7"/>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173,714</w:t>
            </w:r>
          </w:p>
        </w:tc>
        <w:tc>
          <w:tcPr>
            <w:tcW w:w="40" w:type="dxa"/>
            <w:vAlign w:val="bottom"/>
          </w:tcPr>
          <w:p>
            <w:pPr>
              <w:spacing w:after="0"/>
              <w:rPr>
                <w:sz w:val="21"/>
                <w:szCs w:val="21"/>
                <w:color w:val="auto"/>
              </w:rPr>
            </w:pPr>
          </w:p>
        </w:tc>
        <w:tc>
          <w:tcPr>
            <w:tcW w:w="620" w:type="dxa"/>
            <w:vAlign w:val="bottom"/>
            <w:gridSpan w:val="3"/>
          </w:tcPr>
          <w:p>
            <w:pPr>
              <w:jc w:val="right"/>
              <w:ind w:right="388"/>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158,462</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9,441</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41"/>
        </w:trPr>
        <w:tc>
          <w:tcPr>
            <w:tcW w:w="690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8"/>
                <w:szCs w:val="18"/>
                <w:color w:val="auto"/>
              </w:rPr>
              <w:t>183,155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166,931</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90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36,436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34,130</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7,569</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41"/>
        </w:trPr>
        <w:tc>
          <w:tcPr>
            <w:tcW w:w="6900" w:type="dxa"/>
            <w:vAlign w:val="bottom"/>
          </w:tcPr>
          <w:p>
            <w:pPr>
              <w:ind w:left="440"/>
              <w:spacing w:after="0"/>
              <w:rPr>
                <w:sz w:val="20"/>
                <w:szCs w:val="20"/>
                <w:color w:val="auto"/>
              </w:rPr>
            </w:pPr>
            <w:r>
              <w:rPr>
                <w:rFonts w:ascii="Arial" w:cs="Arial" w:eastAsia="Arial" w:hAnsi="Arial"/>
                <w:sz w:val="18"/>
                <w:szCs w:val="18"/>
                <w:color w:val="auto"/>
              </w:rPr>
              <w:t>Total cost of revenues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8"/>
                <w:szCs w:val="18"/>
                <w:color w:val="auto"/>
              </w:rPr>
              <w:t>44,005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139,150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126,007</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67,421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0" w:type="dxa"/>
            <w:vAlign w:val="bottom"/>
          </w:tcPr>
          <w:p>
            <w:pPr>
              <w:spacing w:after="0"/>
              <w:rPr>
                <w:sz w:val="1"/>
                <w:szCs w:val="1"/>
                <w:color w:val="auto"/>
              </w:rPr>
            </w:pPr>
          </w:p>
        </w:tc>
      </w:tr>
      <w:tr>
        <w:trPr>
          <w:trHeight w:val="247"/>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30,560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33,241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0" w:type="dxa"/>
            <w:vAlign w:val="bottom"/>
          </w:tcPr>
          <w:p>
            <w:pPr>
              <w:spacing w:after="0"/>
              <w:rPr>
                <w:sz w:val="1"/>
                <w:szCs w:val="1"/>
                <w:color w:val="auto"/>
              </w:rPr>
            </w:pPr>
          </w:p>
        </w:tc>
      </w:tr>
      <w:tr>
        <w:trPr>
          <w:trHeight w:val="247"/>
        </w:trPr>
        <w:tc>
          <w:tcPr>
            <w:tcW w:w="6900" w:type="dxa"/>
            <w:vAlign w:val="bottom"/>
          </w:tcPr>
          <w:p>
            <w:pPr>
              <w:ind w:left="2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132,915</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122,432</w:t>
            </w:r>
          </w:p>
        </w:tc>
        <w:tc>
          <w:tcPr>
            <w:tcW w:w="0" w:type="dxa"/>
            <w:vAlign w:val="bottom"/>
          </w:tcPr>
          <w:p>
            <w:pPr>
              <w:spacing w:after="0"/>
              <w:rPr>
                <w:sz w:val="1"/>
                <w:szCs w:val="1"/>
                <w:color w:val="auto"/>
              </w:rPr>
            </w:pPr>
          </w:p>
        </w:tc>
      </w:tr>
      <w:tr>
        <w:trPr>
          <w:trHeight w:val="240"/>
        </w:trPr>
        <w:tc>
          <w:tcPr>
            <w:tcW w:w="69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8"/>
                <w:szCs w:val="18"/>
                <w:color w:val="auto"/>
              </w:rPr>
              <w:t>6,235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9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6,058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40"/>
        </w:trPr>
        <w:tc>
          <w:tcPr>
            <w:tcW w:w="69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8"/>
                <w:szCs w:val="18"/>
                <w:color w:val="auto"/>
              </w:rPr>
              <w:t>3,564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9,799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47"/>
        </w:trPr>
        <w:tc>
          <w:tcPr>
            <w:tcW w:w="6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8"/>
              <w:spacing w:after="0"/>
              <w:rPr>
                <w:sz w:val="20"/>
                <w:szCs w:val="20"/>
                <w:color w:val="auto"/>
              </w:rPr>
            </w:pPr>
            <w:r>
              <w:rPr>
                <w:rFonts w:ascii="Arial" w:cs="Arial" w:eastAsia="Arial" w:hAnsi="Arial"/>
                <w:sz w:val="18"/>
                <w:szCs w:val="18"/>
                <w:color w:val="auto"/>
              </w:rPr>
              <w:t>5,908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3,891</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40"/>
        </w:trPr>
        <w:tc>
          <w:tcPr>
            <w:tcW w:w="690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18"/>
                <w:szCs w:val="18"/>
                <w:color w:val="auto"/>
              </w:rPr>
              <w:t>Net income attributable to BlackLine, Inc.</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8,126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Borders>
              <w:top w:val="single" w:sz="8" w:color="auto"/>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7"/>
        </w:trPr>
        <w:tc>
          <w:tcPr>
            <w:tcW w:w="8140" w:type="dxa"/>
            <w:vAlign w:val="bottom"/>
            <w:gridSpan w:val="4"/>
            <w:vMerge w:val="restart"/>
          </w:tcPr>
          <w:p>
            <w:pPr>
              <w:ind w:left="3220"/>
              <w:spacing w:after="0"/>
              <w:rPr>
                <w:sz w:val="20"/>
                <w:szCs w:val="20"/>
                <w:color w:val="auto"/>
              </w:rPr>
            </w:pPr>
            <w:r>
              <w:rPr>
                <w:rFonts w:ascii="Arial" w:cs="Arial" w:eastAsia="Arial" w:hAnsi="Arial"/>
                <w:sz w:val="18"/>
                <w:szCs w:val="18"/>
                <w:b w:val="1"/>
                <w:bCs w:val="1"/>
                <w:i w:val="1"/>
                <w:iCs w:val="1"/>
                <w:color w:val="auto"/>
              </w:rPr>
              <w:t>Comparison of Quarters Ended March 31, 2026 and 2025</w:t>
            </w: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8"/>
        </w:trPr>
        <w:tc>
          <w:tcPr>
            <w:tcW w:w="81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rPr>
              <w:t>Quarter Ended March 31,</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173,714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158,462</w:t>
            </w:r>
          </w:p>
        </w:tc>
        <w:tc>
          <w:tcPr>
            <w:tcW w:w="4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7"/>
        </w:trPr>
        <w:tc>
          <w:tcPr>
            <w:tcW w:w="69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183,155</w:t>
            </w:r>
          </w:p>
        </w:tc>
        <w:tc>
          <w:tcPr>
            <w:tcW w:w="120" w:type="dxa"/>
            <w:vAlign w:val="bottom"/>
            <w:tcBorders>
              <w:right w:val="single" w:sz="8" w:color="CCEEFF"/>
            </w:tcBorders>
            <w:shd w:val="clear" w:color="auto" w:fill="CCEEFF"/>
          </w:tcPr>
          <w:p>
            <w:pPr>
              <w:spacing w:after="0"/>
              <w:rPr>
                <w:sz w:val="24"/>
                <w:szCs w:val="24"/>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166,931</w:t>
            </w:r>
          </w:p>
        </w:tc>
        <w:tc>
          <w:tcPr>
            <w:tcW w:w="4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Dollar-based net revenue retention rate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7"/>
        </w:trPr>
        <w:tc>
          <w:tcPr>
            <w:tcW w:w="6900" w:type="dxa"/>
            <w:vAlign w:val="bottom"/>
          </w:tcPr>
          <w:p>
            <w:pPr>
              <w:ind w:left="20"/>
              <w:spacing w:after="0"/>
              <w:rPr>
                <w:sz w:val="20"/>
                <w:szCs w:val="20"/>
                <w:color w:val="auto"/>
              </w:rPr>
            </w:pPr>
            <w:r>
              <w:rPr>
                <w:rFonts w:ascii="Arial" w:cs="Arial" w:eastAsia="Arial" w:hAnsi="Arial"/>
                <w:sz w:val="18"/>
                <w:szCs w:val="18"/>
                <w:color w:val="auto"/>
              </w:rPr>
              <w:t>Platform pricing ARR as a percentage of eligible ARR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customers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4,301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
        </w:trPr>
        <w:tc>
          <w:tcPr>
            <w:tcW w:w="6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increase in revenues for the quarter ended March 31, 2026, compared to the quarter ended March 31, 2025, was primarily driven by revenue from product expansion from existing customers and bookings from new</w:t>
      </w:r>
    </w:p>
    <w:p>
      <w:pPr>
        <w:sectPr>
          <w:pgSz w:w="11900" w:h="16838" w:orient="portrait"/>
          <w:cols w:equalWidth="0" w:num="1">
            <w:col w:w="11240"/>
          </w:cols>
          <w:pgMar w:left="320" w:top="1322" w:right="339" w:bottom="1107"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107" w:gutter="0" w:footer="0" w:header="0"/>
          <w:type w:val="continuous"/>
        </w:sectPr>
      </w:pPr>
    </w:p>
    <w:bookmarkStart w:id="25" w:name="page26"/>
    <w:bookmarkEnd w:id="25"/>
    <w:p>
      <w:pPr>
        <w:jc w:val="both"/>
        <w:ind w:right="20"/>
        <w:spacing w:after="0" w:line="224" w:lineRule="exact"/>
        <w:rPr>
          <w:sz w:val="20"/>
          <w:szCs w:val="20"/>
          <w:color w:val="auto"/>
        </w:rPr>
      </w:pPr>
      <w:r>
        <w:rPr>
          <w:rFonts w:ascii="Arial" w:cs="Arial" w:eastAsia="Arial" w:hAnsi="Arial"/>
          <w:sz w:val="18"/>
          <w:szCs w:val="18"/>
          <w:color w:val="auto"/>
        </w:rPr>
        <w:t>customers. The total number of customers at March 31, 2026 declined marginally compared to March 31, 2025, primarily due to our strategic prioritization of enterprise and mega</w:t>
      </w:r>
      <w:r>
        <w:rPr>
          <w:rFonts w:ascii="MS PGothic" w:cs="MS PGothic" w:eastAsia="MS PGothic" w:hAnsi="MS PGothic"/>
          <w:sz w:val="18"/>
          <w:szCs w:val="18"/>
          <w:color w:val="auto"/>
        </w:rPr>
        <w:t>‑</w:t>
      </w:r>
      <w:r>
        <w:rPr>
          <w:rFonts w:ascii="Arial" w:cs="Arial" w:eastAsia="Arial" w:hAnsi="Arial"/>
          <w:sz w:val="18"/>
          <w:szCs w:val="18"/>
          <w:color w:val="auto"/>
        </w:rPr>
        <w:t>enterprise customers. Importantly, this shift reflects our focus on higher</w:t>
      </w:r>
      <w:r>
        <w:rPr>
          <w:rFonts w:ascii="MS PGothic" w:cs="MS PGothic" w:eastAsia="MS PGothic" w:hAnsi="MS PGothic"/>
          <w:sz w:val="18"/>
          <w:szCs w:val="18"/>
          <w:color w:val="auto"/>
        </w:rPr>
        <w:t>‑</w:t>
      </w:r>
      <w:r>
        <w:rPr>
          <w:rFonts w:ascii="Arial" w:cs="Arial" w:eastAsia="Arial" w:hAnsi="Arial"/>
          <w:sz w:val="18"/>
          <w:szCs w:val="18"/>
          <w:color w:val="auto"/>
        </w:rPr>
        <w:t>quality revenue and long</w:t>
      </w:r>
      <w:r>
        <w:rPr>
          <w:rFonts w:ascii="MS PGothic" w:cs="MS PGothic" w:eastAsia="MS PGothic" w:hAnsi="MS PGothic"/>
          <w:sz w:val="18"/>
          <w:szCs w:val="18"/>
          <w:color w:val="auto"/>
        </w:rPr>
        <w:t>‑</w:t>
      </w:r>
      <w:r>
        <w:rPr>
          <w:rFonts w:ascii="Arial" w:cs="Arial" w:eastAsia="Arial" w:hAnsi="Arial"/>
          <w:sz w:val="18"/>
          <w:szCs w:val="18"/>
          <w:color w:val="auto"/>
        </w:rPr>
        <w:t>term growth.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280" w:type="dxa"/>
            <w:vAlign w:val="bottom"/>
          </w:tcPr>
          <w:p>
            <w:pPr>
              <w:spacing w:after="0"/>
              <w:rPr>
                <w:sz w:val="17"/>
                <w:szCs w:val="17"/>
                <w:color w:val="auto"/>
              </w:rPr>
            </w:pP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20" w:type="dxa"/>
            <w:vAlign w:val="bottom"/>
            <w:gridSpan w:val="9"/>
          </w:tcPr>
          <w:p>
            <w:pPr>
              <w:ind w:left="80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36,436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7"/>
        </w:trPr>
        <w:tc>
          <w:tcPr>
            <w:tcW w:w="66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7,569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44,005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40,924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total cost of revenues for the quarter ended March 31, 2026, compared to the quarter ended March 31, 2025, was primarily due to the following:</w:t>
      </w:r>
    </w:p>
    <w:p>
      <w:pPr>
        <w:spacing w:after="0" w:line="45" w:lineRule="exact"/>
        <w:rPr>
          <w:sz w:val="20"/>
          <w:szCs w:val="20"/>
          <w:color w:val="auto"/>
        </w:rPr>
      </w:pPr>
    </w:p>
    <w:p>
      <w:pPr>
        <w:ind w:left="1300" w:hanging="56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$3.8 million increase in computer software expenses due to upgrades to support business growth;</w:t>
      </w:r>
    </w:p>
    <w:p>
      <w:pPr>
        <w:spacing w:after="0" w:line="117" w:lineRule="exact"/>
        <w:rPr>
          <w:rFonts w:ascii="Arial" w:cs="Arial" w:eastAsia="Arial" w:hAnsi="Arial"/>
          <w:sz w:val="18"/>
          <w:szCs w:val="18"/>
          <w:color w:val="auto"/>
        </w:rPr>
      </w:pPr>
    </w:p>
    <w:p>
      <w:pPr>
        <w:ind w:left="1300" w:right="20" w:hanging="563"/>
        <w:spacing w:after="0" w:line="28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$0.7 million increase in amortization of developed technology due to net additions to software placed into service; partially offset by</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decrease in employee compensation and benefits;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$0.5 million decrease in professional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280" w:type="dxa"/>
            <w:vAlign w:val="bottom"/>
          </w:tcPr>
          <w:p>
            <w:pPr>
              <w:spacing w:after="0"/>
              <w:rPr>
                <w:sz w:val="17"/>
                <w:szCs w:val="17"/>
                <w:color w:val="auto"/>
              </w:rPr>
            </w:pP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7"/>
                <w:szCs w:val="17"/>
                <w:color w:val="auto"/>
              </w:rPr>
            </w:pPr>
          </w:p>
        </w:tc>
      </w:tr>
      <w:tr>
        <w:trPr>
          <w:trHeight w:val="201"/>
        </w:trPr>
        <w:tc>
          <w:tcPr>
            <w:tcW w:w="6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7"/>
        </w:trPr>
        <w:tc>
          <w:tcPr>
            <w:tcW w:w="6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20" w:type="dxa"/>
            <w:vAlign w:val="bottom"/>
            <w:gridSpan w:val="9"/>
          </w:tcPr>
          <w:p>
            <w:pPr>
              <w:ind w:left="80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2"/>
                <w:szCs w:val="22"/>
                <w:color w:val="auto"/>
              </w:rPr>
            </w:pPr>
          </w:p>
        </w:tc>
      </w:tr>
      <w:tr>
        <w:trPr>
          <w:trHeight w:val="258"/>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67,421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63,063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7"/>
        </w:trPr>
        <w:tc>
          <w:tcPr>
            <w:tcW w:w="66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20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sales and marketing expenses for the quarter ended March 31, 2026, compared to the quarter ended March 31, 2025, was primarily due to the following:</w:t>
      </w:r>
    </w:p>
    <w:p>
      <w:pPr>
        <w:spacing w:after="0" w:line="45" w:lineRule="exact"/>
        <w:rPr>
          <w:sz w:val="20"/>
          <w:szCs w:val="20"/>
          <w:color w:val="auto"/>
        </w:rPr>
      </w:pPr>
    </w:p>
    <w:p>
      <w:pPr>
        <w:ind w:left="1220" w:hanging="48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 million increase in employee compensation and benefits; and</w:t>
      </w:r>
    </w:p>
    <w:p>
      <w:pPr>
        <w:spacing w:after="0" w:line="117" w:lineRule="exact"/>
        <w:rPr>
          <w:rFonts w:ascii="Arial" w:cs="Arial" w:eastAsia="Arial" w:hAnsi="Arial"/>
          <w:sz w:val="18"/>
          <w:szCs w:val="18"/>
          <w:color w:val="auto"/>
        </w:rPr>
      </w:pPr>
    </w:p>
    <w:p>
      <w:pPr>
        <w:ind w:left="1220" w:hanging="48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million increase in travel-related expenses; partially offset by</w:t>
      </w:r>
    </w:p>
    <w:p>
      <w:pPr>
        <w:spacing w:after="0" w:line="117" w:lineRule="exact"/>
        <w:rPr>
          <w:rFonts w:ascii="Arial" w:cs="Arial" w:eastAsia="Arial" w:hAnsi="Arial"/>
          <w:sz w:val="18"/>
          <w:szCs w:val="18"/>
          <w:color w:val="auto"/>
        </w:rPr>
      </w:pPr>
    </w:p>
    <w:p>
      <w:pPr>
        <w:ind w:left="1220" w:hanging="48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 million decrease in professional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240" w:type="dxa"/>
            <w:vAlign w:val="bottom"/>
          </w:tcPr>
          <w:p>
            <w:pPr>
              <w:spacing w:after="0"/>
              <w:rPr>
                <w:sz w:val="17"/>
                <w:szCs w:val="17"/>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gridSpan w:val="9"/>
          </w:tcPr>
          <w:p>
            <w:pPr>
              <w:ind w:left="80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37,607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6680" w:type="dxa"/>
            <w:vAlign w:val="bottom"/>
          </w:tcPr>
          <w:p>
            <w:pPr>
              <w:ind w:left="20"/>
              <w:spacing w:after="0"/>
              <w:rPr>
                <w:sz w:val="20"/>
                <w:szCs w:val="20"/>
                <w:color w:val="auto"/>
              </w:rPr>
            </w:pPr>
            <w:r>
              <w:rPr>
                <w:rFonts w:ascii="Arial" w:cs="Arial" w:eastAsia="Arial" w:hAnsi="Arial"/>
                <w:sz w:val="18"/>
                <w:szCs w:val="18"/>
                <w:color w:val="auto"/>
              </w:rPr>
              <w:t>Capitalized internally developed software costs</w:t>
            </w:r>
          </w:p>
        </w:tc>
        <w:tc>
          <w:tcPr>
            <w:tcW w:w="280" w:type="dxa"/>
            <w:vAlign w:val="bottom"/>
          </w:tcPr>
          <w:p>
            <w:pPr>
              <w:spacing w:after="0"/>
              <w:rPr>
                <w:sz w:val="21"/>
                <w:szCs w:val="21"/>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(7,047)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w w:val="98"/>
              </w:rPr>
              <w:t>(1,017)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30,560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25,725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Percentage of total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research and development expenses for the quarter ended March 31, 2026, compared to the quarter ended March 31, 2025, was primarily due to the following:</w:t>
      </w:r>
    </w:p>
    <w:p>
      <w:pPr>
        <w:spacing w:after="0" w:line="45" w:lineRule="exact"/>
        <w:rPr>
          <w:sz w:val="20"/>
          <w:szCs w:val="20"/>
          <w:color w:val="auto"/>
        </w:rPr>
      </w:pPr>
    </w:p>
    <w:p>
      <w:pPr>
        <w:ind w:left="1300" w:hanging="563"/>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million increase in employee compensation and benefits; and</w:t>
      </w:r>
    </w:p>
    <w:p>
      <w:pPr>
        <w:spacing w:after="0" w:line="117" w:lineRule="exact"/>
        <w:rPr>
          <w:rFonts w:ascii="Arial" w:cs="Arial" w:eastAsia="Arial" w:hAnsi="Arial"/>
          <w:sz w:val="18"/>
          <w:szCs w:val="18"/>
          <w:color w:val="auto"/>
        </w:rPr>
      </w:pPr>
    </w:p>
    <w:p>
      <w:pPr>
        <w:ind w:left="1300" w:hanging="563"/>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$0.9 million increase in computer software expenses due to new investments in automation and higher spend on cloud hosting services; partially offset by</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6" w:name="page27"/>
    <w:bookmarkEnd w:id="26"/>
    <w:p>
      <w:pPr>
        <w:ind w:left="1300" w:hanging="563"/>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million increase in capitalized software costs primarily due to the continued development of new solution offerings. Collectively, these increases resulted in a decrease in net expenses; and</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decrease in professional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280" w:type="dxa"/>
            <w:vAlign w:val="bottom"/>
          </w:tcPr>
          <w:p>
            <w:pPr>
              <w:spacing w:after="0"/>
              <w:rPr>
                <w:sz w:val="17"/>
                <w:szCs w:val="17"/>
                <w:color w:val="auto"/>
              </w:rPr>
            </w:pP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7"/>
                <w:szCs w:val="17"/>
                <w:color w:val="auto"/>
              </w:rPr>
            </w:pPr>
          </w:p>
        </w:tc>
      </w:tr>
      <w:tr>
        <w:trPr>
          <w:trHeight w:val="201"/>
        </w:trPr>
        <w:tc>
          <w:tcPr>
            <w:tcW w:w="6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37"/>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gridSpan w:val="9"/>
          </w:tcPr>
          <w:p>
            <w:pPr>
              <w:ind w:left="80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0"/>
                <w:szCs w:val="20"/>
                <w:color w:val="auto"/>
              </w:rPr>
            </w:pPr>
          </w:p>
        </w:tc>
      </w:tr>
      <w:tr>
        <w:trPr>
          <w:trHeight w:val="251"/>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33,241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28,345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66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9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general and administrative expenses for the quarter ended March 31, 2026, compared to the quarter ended March 31, 2025, was primarily due to the following:</w:t>
      </w:r>
    </w:p>
    <w:p>
      <w:pPr>
        <w:spacing w:after="0" w:line="45" w:lineRule="exact"/>
        <w:rPr>
          <w:sz w:val="20"/>
          <w:szCs w:val="20"/>
          <w:color w:val="auto"/>
        </w:rPr>
      </w:pPr>
    </w:p>
    <w:p>
      <w:pPr>
        <w:ind w:left="1300" w:hanging="56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 million increase in employee compensation and benefits;</w:t>
      </w:r>
    </w:p>
    <w:p>
      <w:pPr>
        <w:spacing w:after="0" w:line="117" w:lineRule="exact"/>
        <w:rPr>
          <w:rFonts w:ascii="Arial" w:cs="Arial" w:eastAsia="Arial" w:hAnsi="Arial"/>
          <w:sz w:val="18"/>
          <w:szCs w:val="18"/>
          <w:color w:val="auto"/>
        </w:rPr>
      </w:pPr>
    </w:p>
    <w:p>
      <w:pPr>
        <w:ind w:left="1300" w:hanging="563"/>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$1.9 million increase primarily due to an unfavorable change in foreign currency, net of the impact of foreign currency forward contracts;</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$0.4 million increase in professional fees;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increase in advisory and legal-related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March 31,</w:t>
            </w:r>
          </w:p>
        </w:tc>
        <w:tc>
          <w:tcPr>
            <w:tcW w:w="300" w:type="dxa"/>
            <w:vAlign w:val="bottom"/>
          </w:tcPr>
          <w:p>
            <w:pPr>
              <w:spacing w:after="0"/>
              <w:rPr>
                <w:sz w:val="18"/>
                <w:szCs w:val="18"/>
                <w:color w:val="auto"/>
              </w:rPr>
            </w:pPr>
          </w:p>
        </w:tc>
        <w:tc>
          <w:tcPr>
            <w:tcW w:w="122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8"/>
                <w:szCs w:val="18"/>
                <w:color w:val="auto"/>
              </w:rPr>
            </w:pPr>
          </w:p>
        </w:tc>
      </w:tr>
      <w:tr>
        <w:trPr>
          <w:trHeight w:val="196"/>
        </w:trPr>
        <w:tc>
          <w:tcPr>
            <w:tcW w:w="6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237"/>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20"/>
                <w:szCs w:val="20"/>
                <w:color w:val="auto"/>
              </w:rPr>
            </w:pPr>
          </w:p>
        </w:tc>
      </w:tr>
      <w:tr>
        <w:trPr>
          <w:trHeight w:val="24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
        </w:trPr>
        <w:tc>
          <w:tcPr>
            <w:tcW w:w="6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decrease in restructuring costs during the quarter ended March 31, 2026, compared to the quarter ended March 31, 2025, was primarily due to lower additional one-time termination benefits under the Fiscal 2025 restructuring programs. Refer to “Note 10 - Restructuring Costs” in our unaudited condensed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March 31,</w:t>
            </w:r>
          </w:p>
        </w:tc>
        <w:tc>
          <w:tcPr>
            <w:tcW w:w="300" w:type="dxa"/>
            <w:vAlign w:val="bottom"/>
          </w:tcPr>
          <w:p>
            <w:pPr>
              <w:spacing w:after="0"/>
              <w:rPr>
                <w:sz w:val="17"/>
                <w:szCs w:val="17"/>
                <w:color w:val="auto"/>
              </w:rPr>
            </w:pPr>
          </w:p>
        </w:tc>
        <w:tc>
          <w:tcPr>
            <w:tcW w:w="122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7"/>
                <w:szCs w:val="17"/>
                <w:color w:val="auto"/>
              </w:rPr>
            </w:pPr>
          </w:p>
        </w:tc>
      </w:tr>
      <w:tr>
        <w:trPr>
          <w:trHeight w:val="201"/>
        </w:trPr>
        <w:tc>
          <w:tcPr>
            <w:tcW w:w="6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237"/>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20"/>
                <w:szCs w:val="20"/>
                <w:color w:val="auto"/>
              </w:rPr>
            </w:pPr>
          </w:p>
        </w:tc>
      </w:tr>
      <w:tr>
        <w:trPr>
          <w:trHeight w:val="24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6,058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
        </w:trPr>
        <w:tc>
          <w:tcPr>
            <w:tcW w:w="6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decrease in interest income during the quarter ended March 31, 2026, compared to the quarter ended March 31, 2025, was primarily due to decreased average balances on our investments and cash balances, and to a lesser extent, a decrease in average interest rates on our investments and cash balances.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660" w:type="dxa"/>
            <w:vAlign w:val="bottom"/>
          </w:tcPr>
          <w:p>
            <w:pPr>
              <w:spacing w:after="0"/>
              <w:rPr>
                <w:sz w:val="17"/>
                <w:szCs w:val="17"/>
                <w:color w:val="auto"/>
              </w:rPr>
            </w:pP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7"/>
                <w:szCs w:val="17"/>
                <w:color w:val="auto"/>
              </w:rPr>
            </w:pPr>
          </w:p>
        </w:tc>
      </w:tr>
      <w:tr>
        <w:trPr>
          <w:trHeight w:val="202"/>
        </w:trPr>
        <w:tc>
          <w:tcPr>
            <w:tcW w:w="6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236"/>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2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20"/>
                <w:szCs w:val="20"/>
                <w:color w:val="auto"/>
              </w:rPr>
            </w:pPr>
          </w:p>
        </w:tc>
      </w:tr>
      <w:tr>
        <w:trPr>
          <w:trHeight w:val="24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6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Interest expense for the quarter ended March 31, 2026, compared to the quarter ended March 31, 2025, decreased slightly due to the repayment of our 2026 Notes in March 2026. Refer to “Note 9 - Convertible Senior Notes” in our unaudited condensed consolidated financial statements for additional information.</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March 31,</w:t>
            </w:r>
          </w:p>
        </w:tc>
        <w:tc>
          <w:tcPr>
            <w:tcW w:w="280" w:type="dxa"/>
            <w:vAlign w:val="bottom"/>
          </w:tcPr>
          <w:p>
            <w:pPr>
              <w:spacing w:after="0"/>
              <w:rPr>
                <w:sz w:val="17"/>
                <w:szCs w:val="17"/>
                <w:color w:val="auto"/>
              </w:rPr>
            </w:pPr>
          </w:p>
        </w:tc>
        <w:tc>
          <w:tcPr>
            <w:tcW w:w="104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7"/>
                <w:szCs w:val="17"/>
                <w:color w:val="auto"/>
              </w:rPr>
            </w:pPr>
          </w:p>
        </w:tc>
      </w:tr>
      <w:tr>
        <w:trPr>
          <w:trHeight w:val="201"/>
        </w:trPr>
        <w:tc>
          <w:tcPr>
            <w:tcW w:w="69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37"/>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gridSpan w:val="9"/>
          </w:tcPr>
          <w:p>
            <w:pPr>
              <w:ind w:left="74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20"/>
                <w:szCs w:val="20"/>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5,908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
        </w:trPr>
        <w:tc>
          <w:tcPr>
            <w:tcW w:w="6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are subject to federal and state income taxes in the U.S. and taxes in foreign jurisdictions. For the quarter ended March 31, 2026, our annual estimated effective tax rate differed from the U.S. federal statutory rate of 21% primarily as a result of non-deductible officer compensation, stock-based compensation shortfalls, foreign taxes, and changes in our valuation allowance for income taxes.</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For the quarters ended March 31, 2026 and 2025, we recorded $5.9 million and $4.7 million in income tax expense, respectively. The increase in income tax expense for the quarter ended March 31, 2026 compared to the quarter ended March 31, 2025, resulted primarily from non-deductible officer compensation and stock-based compensation shortfalls, along with changes in the mix of profitable foreign jurisdictions.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March 31, 2026, our principal sources of liquidity were an aggregate of $525.1 million of cash and cash equivalents and marketable securities, which primarily consist of short-term, money market mutual funds, U.S. treasury securities, commercial paper, and corporate bonds.</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believe our existing cash and cash equivalents, investments in marketable securities, and cash from operations will be sufficient to meet our working capital needs, capital expenditures, financing obligations, and share repurchases for at least the next 12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senior notes and capped calls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March 31, 2026, we had $675.0 million aggregate principal amount of 2029 Notes outstanding, following the repayment of the total outstanding $230.2 million aggregate principal amount of our 2026 Notes on March 15, 2026. We plan to, and believe we are able to, make all expected interest payments on the 2029 Notes in the next 12 months.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the offering of the 2029 Notes, we entered into privately-negotiated capped call transactions (the “2029 Capped Calls” and together with the 2026 Capped Calls (as defined below), the “Capped Calls”) with certain counterparties covering, subject to anti-dilution adjustments, approximately 9.9 million shares of our common stock, and are generally expected to offset the potential economic dilution of our common stock upon any conversions of the 2029 Notes up to the initial cap price. The 2029 Capped Calls have an initial strike price of $68.47 per share subject to certain adjustments, which corresponds to the initial conversion price of the 2029 Notes and an initial cap price of $92.17 per share, subject to certain adjustments. At March 31, 2026, all of the 2029 Capped Calls remained outstanding.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Liabilities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March 31, 2026, we have obligations totaling $20.6 million related to existing property and equipment leases. As of March 31, 2026, we committed $28.2 million for leases signed but not yet commenced. These leases, which are expected to commence within the next twelve months, have lease terms ranging from 10.0 years to 15.5 years.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Obligations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Purchase obligations represent our most significant contractual obligations in the ordinary course of business for which we have not received the related goods or services, in whole or in part. At March 31, 2026, we had $156 million of contractual obligations, with approximately $53 million payable within 12 months, and have additional contractual obligations with other vendors that are individually immaterial and which we can readily settle given our liquidity position and capital resources.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i w:val="1"/>
          <w:iCs w:val="1"/>
          <w:color w:val="auto"/>
        </w:rPr>
        <w:t>Unrecognized Tax Liabilities</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At March 31, 2026, while we have liabilities for unrecognized tax benefits of $22.3 million, due to their nature, there is a high degree of uncertainty regarding the timing of future cash outflows and other events that extinguish these liabilities.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Letters of Credit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Commitments under letters of credit at March 31, 2026 were scheduled to expire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7"/>
                <w:szCs w:val="17"/>
                <w:color w:val="auto"/>
              </w:rPr>
            </w:pPr>
          </w:p>
        </w:tc>
        <w:tc>
          <w:tcPr>
            <w:tcW w:w="132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3-5 Years</w:t>
            </w:r>
          </w:p>
        </w:tc>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3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Letters of credit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Letters of credit are maintained pursuant to certain of our lease arrangements. The letters of credit remain in effect at varying levels through the terms of the related agreements.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Repurchase Program</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Under our stock repurchase program, which authorizes the periodic repurchase of our common stock, the Board of Directors (the “Board”) approved an increase to the stock repurchase program of an additional $100 million of common stock on March 13, 2026. This increased the total authorization for repurchases under our stock repurchase program from $400 million to $ 500 million. Repurchases may be made from time to time through open market repurchases or through privately-negotiated transactions subject to market conditions, applicable legal requirements and other relevant factors. Open market repurchases may be structured to occur in accordance with the requirements of Rule 10b-18 of the Securities Exchange Act of 1934, as amended. We may also, from time to time, enter into Rule 10b5-1 plans to facilitate repurchases of its shares under this authorization. The repurchase program does not obligate us to acquire any particular amount of our common stock, and it may be suspended at any time in our discretion. The timing and actual number of shares repurchased may depend on a variety of factors, including price, general business and market conditions, and alternative investment opportunities.</w:t>
      </w:r>
    </w:p>
    <w:p>
      <w:pPr>
        <w:spacing w:after="0" w:line="7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repurchased and retired approximately 1.2 million shares of common stock for $47.1 million during the quarter ended March 31, 2026. At March 31, 2026, $217.4 million remained available for repurchases under this program.</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Capital Requirements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future capital requirements will depend on many factors, including our growth rate, strategic relationships and international operations, the timing and extent of spending to support research and development efforts, future merger and acquisition activities, repurchase or refinancing of our existing indebtedness, repurchases of our common stock, and the continuing market acceptance of our solutions. From time to time, we have required, and may in the future require or opportunistically raise, additional equity or debt financing. Sales of additional equity or equity-linked securities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would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Quarter Ended March 31,</w:t>
            </w:r>
          </w:p>
        </w:tc>
      </w:tr>
      <w:tr>
        <w:trPr>
          <w:trHeight w:val="202"/>
        </w:trPr>
        <w:tc>
          <w:tcPr>
            <w:tcW w:w="4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r>
      <w:tr>
        <w:trPr>
          <w:trHeight w:val="237"/>
        </w:trPr>
        <w:tc>
          <w:tcPr>
            <w:tcW w:w="4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0"/>
                <w:szCs w:val="20"/>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96,880</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(399,041)</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w:t>
            </w:r>
          </w:p>
        </w:tc>
      </w:tr>
      <w:tr>
        <w:trPr>
          <w:trHeight w:val="868"/>
        </w:trPr>
        <w:tc>
          <w:tcPr>
            <w:tcW w:w="4740" w:type="dxa"/>
            <w:vAlign w:val="bottom"/>
          </w:tcPr>
          <w:p>
            <w:pPr>
              <w:spacing w:after="0"/>
              <w:rPr>
                <w:sz w:val="24"/>
                <w:szCs w:val="24"/>
                <w:color w:val="auto"/>
              </w:rPr>
            </w:pPr>
          </w:p>
        </w:tc>
        <w:tc>
          <w:tcPr>
            <w:tcW w:w="3380" w:type="dxa"/>
            <w:vAlign w:val="bottom"/>
          </w:tcPr>
          <w:p>
            <w:pPr>
              <w:jc w:val="right"/>
              <w:ind w:right="231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1"/>
        </w:trPr>
        <w:tc>
          <w:tcPr>
            <w:tcW w:w="47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cash flows provided by operating activities are primarily driven by net income, and cash generated from collections in accordance with our subscription-based revenue model wherein billings occur in advance of revenue recognition, adjusted for significant non-cash activity. Non-cash activity primarily includes depreciation and amortization, stock-based compensation, non-cash lease expense, amortization of debt issuance costs, accretion of premiums on marketable securities, and deferred taxes.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For the quarter ended March 31, 2026, cash provided by operating activities was $46.3 million, resulting from net non-cash expenses of approximately $36.8 million, net cash flows provided as a result of changes in operating assets and liabilities of $5.6 million, and net income of $3.9 million. The $5.6 million of net cash flows provided as a result of changes in our operating assets and liabilities reflected primarily the following:</w:t>
      </w:r>
    </w:p>
    <w:p>
      <w:pPr>
        <w:spacing w:after="0" w:line="68" w:lineRule="exact"/>
        <w:rPr>
          <w:sz w:val="20"/>
          <w:szCs w:val="20"/>
          <w:color w:val="auto"/>
        </w:rPr>
      </w:pPr>
    </w:p>
    <w:p>
      <w:pPr>
        <w:ind w:left="1300" w:hanging="56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$41.9 million decrease in accounts receivable primarily due to increased collections; and</w:t>
      </w:r>
    </w:p>
    <w:p>
      <w:pPr>
        <w:spacing w:after="0" w:line="117" w:lineRule="exact"/>
        <w:rPr>
          <w:rFonts w:ascii="Arial" w:cs="Arial" w:eastAsia="Arial" w:hAnsi="Arial"/>
          <w:sz w:val="18"/>
          <w:szCs w:val="18"/>
          <w:color w:val="auto"/>
        </w:rPr>
      </w:pPr>
    </w:p>
    <w:p>
      <w:pPr>
        <w:ind w:left="460" w:right="2340" w:firstLine="277"/>
        <w:spacing w:after="0" w:line="397" w:lineRule="auto"/>
        <w:tabs>
          <w:tab w:leader="none" w:pos="13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$3.1 million decrease in other assets primarily due to a net decrease in prepaid commissions. These increases in the changes to our operating assets and liabilities were partially offset by the following:</w:t>
      </w:r>
    </w:p>
    <w:p>
      <w:pPr>
        <w:spacing w:after="0" w:line="1" w:lineRule="exact"/>
        <w:rPr>
          <w:rFonts w:ascii="Arial" w:cs="Arial" w:eastAsia="Arial" w:hAnsi="Arial"/>
          <w:sz w:val="17"/>
          <w:szCs w:val="17"/>
          <w:color w:val="auto"/>
        </w:rPr>
      </w:pPr>
    </w:p>
    <w:p>
      <w:pPr>
        <w:jc w:val="both"/>
        <w:ind w:left="1300" w:hanging="563"/>
        <w:spacing w:after="0" w:line="26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$17.5 million decrease in accrued expenses and other current liabilities primarily due to annual bonus payments and payments related to our Fiscal 2025 restructuring programs, partially offset by timing of payments for salaries and employee benefits;</w:t>
      </w:r>
    </w:p>
    <w:p>
      <w:pPr>
        <w:spacing w:after="0" w:line="62" w:lineRule="exact"/>
        <w:rPr>
          <w:rFonts w:ascii="Arial" w:cs="Arial" w:eastAsia="Arial" w:hAnsi="Arial"/>
          <w:sz w:val="18"/>
          <w:szCs w:val="18"/>
          <w:color w:val="auto"/>
        </w:rPr>
      </w:pPr>
    </w:p>
    <w:p>
      <w:pPr>
        <w:ind w:left="1300" w:hanging="563"/>
        <w:spacing w:after="0" w:line="28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$9.5 million decrease in deferred revenue primarily due to seasonality in the sales cycle, which led to lower billings and higher revenue recognition;</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$7.7 million decrease in accounts payable due to timing of payments;</w:t>
      </w:r>
    </w:p>
    <w:p>
      <w:pPr>
        <w:spacing w:after="0" w:line="117" w:lineRule="exact"/>
        <w:rPr>
          <w:rFonts w:ascii="Arial" w:cs="Arial" w:eastAsia="Arial" w:hAnsi="Arial"/>
          <w:sz w:val="18"/>
          <w:szCs w:val="18"/>
          <w:color w:val="auto"/>
        </w:rPr>
      </w:pPr>
    </w:p>
    <w:p>
      <w:pPr>
        <w:ind w:left="1300" w:right="20" w:hanging="563"/>
        <w:spacing w:after="0" w:line="28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 million increase in prepaid expenses and other current assets primarily due to timing of payments for license renewals; and</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 million decrease in operating lease liabilities.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For the quarter ended March 31, 2025, cash provided by operating activities was $ 46.7 million, resulting from net non-cash expenses of approximately $28.9 million, net cash flows provided as a result of changes in operating assets and liabilities of $12.6 million, and net income of $5.3 million. The $12.6 million of net cash flows provided as a result of changes in our operating assets and liabilities reflected primarily the following:</w:t>
      </w:r>
    </w:p>
    <w:p>
      <w:pPr>
        <w:spacing w:after="0" w:line="68" w:lineRule="exact"/>
        <w:rPr>
          <w:sz w:val="20"/>
          <w:szCs w:val="20"/>
          <w:color w:val="auto"/>
        </w:rPr>
      </w:pPr>
    </w:p>
    <w:p>
      <w:pPr>
        <w:ind w:left="1300" w:hanging="56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$32.7 million decrease in accounts receivable primarily due to increased collections.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in the changes to our operating assets and liabilities were partially offset by the following:</w:t>
      </w:r>
    </w:p>
    <w:p>
      <w:pPr>
        <w:spacing w:after="0" w:line="117" w:lineRule="exact"/>
        <w:rPr>
          <w:sz w:val="20"/>
          <w:szCs w:val="20"/>
          <w:color w:val="auto"/>
        </w:rPr>
      </w:pPr>
    </w:p>
    <w:p>
      <w:pPr>
        <w:ind w:left="1300" w:hanging="563"/>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 million decrease in deferred revenue primarily due to seasonality in the sales cycle, which led to lower billings and higher revenue recognition;</w:t>
      </w:r>
    </w:p>
    <w:p>
      <w:pPr>
        <w:spacing w:after="0" w:line="44" w:lineRule="exact"/>
        <w:rPr>
          <w:rFonts w:ascii="Arial" w:cs="Arial" w:eastAsia="Arial" w:hAnsi="Arial"/>
          <w:sz w:val="18"/>
          <w:szCs w:val="18"/>
          <w:color w:val="auto"/>
        </w:rPr>
      </w:pPr>
    </w:p>
    <w:p>
      <w:pPr>
        <w:ind w:left="1300" w:right="20" w:hanging="563"/>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$6.6 million decrease in accrued expenses and other current liabilities primarily due to annual bonus payments, partially offset by severance benefit accruals related to the Fiscal 2025 restructuring programs; and</w:t>
      </w:r>
    </w:p>
    <w:p>
      <w:pPr>
        <w:spacing w:after="0" w:line="44" w:lineRule="exact"/>
        <w:rPr>
          <w:rFonts w:ascii="Arial" w:cs="Arial" w:eastAsia="Arial" w:hAnsi="Arial"/>
          <w:sz w:val="18"/>
          <w:szCs w:val="18"/>
          <w:color w:val="auto"/>
        </w:rPr>
      </w:pPr>
    </w:p>
    <w:p>
      <w:pPr>
        <w:ind w:left="1300" w:hanging="563"/>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$3.6 million decrease in accounts payable due to timing of payments.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Our investing activities consist primarily of investments in, and maturities and sales of marketable securities, capitalized software development costs, and capital expenditures for property and equipment.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March 31, 2026, cash provided by investing activities was $96.9 million primarily as a result of the following:</w:t>
      </w:r>
    </w:p>
    <w:p>
      <w:pPr>
        <w:spacing w:after="0" w:line="117" w:lineRule="exact"/>
        <w:rPr>
          <w:sz w:val="20"/>
          <w:szCs w:val="20"/>
          <w:color w:val="auto"/>
        </w:rPr>
      </w:pPr>
    </w:p>
    <w:p>
      <w:pPr>
        <w:ind w:left="1300" w:hanging="563"/>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$107.4 million of proceeds from maturities and sales of marketable securities, net of purchases; partially offset by</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$8.4 million for capitalized software development costs;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 million in purchases of 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quarter ended March 31, 2025, cash used in investing activities was $399.0 million primarily as a result of the following:</w:t>
      </w:r>
    </w:p>
    <w:p>
      <w:pPr>
        <w:spacing w:after="0" w:line="117" w:lineRule="exact"/>
        <w:rPr>
          <w:sz w:val="20"/>
          <w:szCs w:val="20"/>
          <w:color w:val="auto"/>
        </w:rPr>
      </w:pPr>
    </w:p>
    <w:p>
      <w:pPr>
        <w:ind w:left="1300" w:hanging="56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$384.9 million of purchases of marketable securities;</w:t>
      </w:r>
    </w:p>
    <w:p>
      <w:pPr>
        <w:sectPr>
          <w:pgSz w:w="11900" w:h="16838" w:orient="portrait"/>
          <w:cols w:equalWidth="0" w:num="1">
            <w:col w:w="11240"/>
          </w:cols>
          <w:pgMar w:left="320" w:top="13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type w:val="continuous"/>
        </w:sectPr>
      </w:pPr>
    </w:p>
    <w:bookmarkStart w:id="30" w:name="page31"/>
    <w:bookmarkEnd w:id="30"/>
    <w:p>
      <w:pPr>
        <w:ind w:left="1300" w:hanging="563"/>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$8.2 million for capitalized software development costs;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$6.0 million in purchases of property and equipment.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quarter ended March 31, 2026, cash used in financing activities was $291.0 million primarily as a result of the following:</w:t>
      </w:r>
    </w:p>
    <w:p>
      <w:pPr>
        <w:spacing w:after="0" w:line="117" w:lineRule="exact"/>
        <w:rPr>
          <w:sz w:val="20"/>
          <w:szCs w:val="20"/>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$230.2 million for the repayment of the 2026 Notes with cash on hand;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$46.0 million for repurchases of common stock;</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$11.8 million for acquisitions of common stock for tax withholding obligations; and</w:t>
      </w:r>
    </w:p>
    <w:p>
      <w:pPr>
        <w:spacing w:after="0" w:line="117" w:lineRule="exact"/>
        <w:rPr>
          <w:rFonts w:ascii="Arial" w:cs="Arial" w:eastAsia="Arial" w:hAnsi="Arial"/>
          <w:sz w:val="18"/>
          <w:szCs w:val="18"/>
          <w:color w:val="auto"/>
        </w:rPr>
      </w:pPr>
    </w:p>
    <w:p>
      <w:pPr>
        <w:ind w:left="1300" w:right="20" w:hanging="563"/>
        <w:spacing w:after="0" w:line="28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 million for the purchase of additional shares of common stock in BlackLine K.K., resulting in a decrease in the redeemable non-controlling interest.</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quarter ended March 31, 2025, cash used in financing activities was $54.3 million primarily as a result of the following:</w:t>
      </w:r>
    </w:p>
    <w:p>
      <w:pPr>
        <w:spacing w:after="0" w:line="117" w:lineRule="exact"/>
        <w:rPr>
          <w:sz w:val="20"/>
          <w:szCs w:val="20"/>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$45.5 million of repurchases of common stock;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$10.9 million for acquisitions of common stock for tax withholding obligations; partially offset by</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 million of proceeds from exercises of stock options.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consolidated financial statements are prepared in accordance with GAAP, which requires us to make estimates and assumptions about future events that affect the amounts reported in our unaudited condensed consolidated financial statements and the accompanying notes included elsewhere in this Quarterly Report on Form 10-Q. During the quarter ended March 31, 2026, there were no significant changes to our critical estimates as detailed in Item 7 of our Annual Report on Form 10-K for the year ended December 31,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ind w:right="20" w:firstLine="445"/>
        <w:spacing w:after="0" w:line="262" w:lineRule="auto"/>
        <w:rPr>
          <w:sz w:val="20"/>
          <w:szCs w:val="20"/>
          <w:color w:val="auto"/>
        </w:rPr>
      </w:pPr>
      <w:r>
        <w:rPr>
          <w:rFonts w:ascii="Arial" w:cs="Arial" w:eastAsia="Arial" w:hAnsi="Arial"/>
          <w:sz w:val="18"/>
          <w:szCs w:val="18"/>
          <w:color w:val="auto"/>
        </w:rPr>
        <w:t>See Note 2 - “Basis of Presentation, Significant Accounting Policies, and Recently-Issued Accounting Pronouncements” contained in the “Notes to Unaudited Condensed Consolidated Financial Statements” in Part I, Item 1 of this Quarterly Report on Form 10-Q for a full description of the recent accounting pronouncements, and our expectation of their impact, if any, on our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Risks</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customers and limit credit exposure by collecting in advance and setting credit limits as we deem appropriate. In addition, our investment strategy is focused on financial instruments that are highly liquid and readily convertible into cash for use in our operations. We use foreign currency forward contracts to mitigate exposure to foreign currency exchange rate fluctuations associated with certain foreign currency-denominated monetary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May 2024, we issued $675.0 million aggregate principal amount of the 2029 Notes. The 2029 Notes have a fixed annual interest rate of 1.00%; therefore, we do not have economic interest rate exposure with respect to the 2029 Notes. However, the fair value of the 2029 Notes is exposed to interest rate risk. Generally, the fair market value of the Notes will increase as interest rates fall and decrease as interest rates rise. In addition, the fair value of the Notes is affected by our common stock price. The fair value of the Notes will generally increase as our common stock price increases and will generally decrease as our common stock price declines. Additionally, we carry the Notes at face value less unamortized issuance costs on our consolidated balance sheet, and we present the fair value for required disclosure purposes only.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1" w:name="page32"/>
    <w:bookmarkEnd w:id="31"/>
    <w:p>
      <w:pPr>
        <w:jc w:val="both"/>
        <w:ind w:firstLine="445"/>
        <w:spacing w:after="0" w:line="287" w:lineRule="auto"/>
        <w:rPr>
          <w:sz w:val="20"/>
          <w:szCs w:val="20"/>
          <w:color w:val="auto"/>
        </w:rPr>
      </w:pPr>
      <w:r>
        <w:rPr>
          <w:rFonts w:ascii="Arial" w:cs="Arial" w:eastAsia="Arial" w:hAnsi="Arial"/>
          <w:sz w:val="18"/>
          <w:szCs w:val="18"/>
          <w:color w:val="auto"/>
        </w:rPr>
        <w:t>We had cash and cash equivalents and marketable securities of $525.1 million at March 31, 2026. Our cash equivalents and marketable securities consist of highly liquid money market mutual funds, U.S. treasury securities, commercial paper, and corporate bonds.</w:t>
      </w:r>
    </w:p>
    <w:p>
      <w:pPr>
        <w:spacing w:after="0" w:line="4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 carrying amount of our cash equivalents and marketable securities reasonably approximates fair value due to the highly liquid nature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 We cannot be assured that we will not experience losses on these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While we primarily transact with customers in the U.S. Dollar, we are exposed to foreign currency exchange rate risk arising from our international operations denominated in the Australian Dollar, British Pound, Canadian Dollar, Euro, Indian Rupee, Japanese Yen, Mexican Peso, Romanian Leu, and Singapore Dollar. We expect to continue to expand our international operations and customer sales. Our international subsidiaries maintain certain asset and liability balances that are denominated in currencies other than the functional currencies of these subsidiaries, which is the U.S. Dollar for all international subsidiaries, with the exception of our Japanese subsidiary, for which the Japanese Yen is the functional currency. Changes in the value of foreign currencies relative to the U.S. Dollar can result in fluctuations in our total assets, liabilities, revenue, operating expenses, and cash flows, and may increase the costs of international expansion. The effect of a hypothetical 10% increase or decrease in the value of the U.S. Dollar relative to foreign-denominated currencies applicable to our business would have reduced by approximately $6.7 million or increased by approximately $6.7 million, respectively, our cash balances at March 31, 2026.</w:t>
      </w:r>
    </w:p>
    <w:p>
      <w:pPr>
        <w:spacing w:after="0" w:line="7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In 2025, we initiated a program to hedge exposures to cash fluctuations in the British Pound and the Euro using foreign currency forward contracts. The forward contracts are not designated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do not enter into derivative financial contracts for speculative or trading purposes.</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hedging program aims to reduce, but does not entirely eliminate, the impact of currency exchange rate movements. We consider the counterparty to the foreign currency forward contracts to be a creditworthy multinational commercial bank, and therefore, the risk of counterparty non-performance is not material. While we strive to mitigate foreign currency exchange rate risks, there is no assurance that our hedging activities will fully protect us against the risks associated with foreign currency fluctuations. We believe a substantial portion of any fluctuation would be offset by monetary assets maintained in local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Inflationary pressures may affect our customers’ purchasing power and budget allocations, particularly for discretionary technology spending. If our customers experience increased costs in other areas of their operations, they may delay or reduce their investment in software solutions, which could impact our sales cycle and overall demand. Furthermore, if our own costs were to become subject to significant inflationary pressures, we may not be able to fully offset such higher costs through price increases, and this could also adversely affect our financial condition or results of operations. While we have not experienced a material inflationary impact on customer engagement or our own operations, we continue to monitor macroeconomic conditions closely.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as amended, or “the Exchange Act” means controls and other procedures of a company that are designed to provide reasonable assurance that information required to be disclosed by a company in the reports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March 31, 2026, the last day of the period covered by this Quarterly Report. Based on this evaluation, our principal executive officer and principal financial officer have concluded that, at March 31, 2026, our disclosure controls and procedures were effective at a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is also based, in part, upon certain assumptions about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under the Exchange Act that occurred during the quarter ended March 31, 2026 that have materially affected, or are reasonably likely to materially affect, our internal control over financial reporting.</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From time to time, we may be subject to legal proceedings, including claims, litigation, investigations, and inquiries arising in the ordinary course of business. In addition, from time to time, third parties may assert intellectual property infringement claims against us in the form of letters and other forms of communication. As of the date of this Quarterly Report on Form 10-Q for the quarter ended March 31, 2026,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Quarterly Report on Form 10-Q, including “Management’s Discussion and Analysis of Financial Condition and Results of Operations” and our unaudited condensed consolidated financial statements and related notes, before making a decision to invest in our common stock. The risks and uncertainties described below are not the only ones we face. Additional risks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affected.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BlackLine, as fully described below. The principal factors and uncertainties that make investing in BlackLine risky include, among others:</w:t>
      </w:r>
    </w:p>
    <w:p>
      <w:pPr>
        <w:spacing w:after="0" w:line="45" w:lineRule="exact"/>
        <w:rPr>
          <w:sz w:val="20"/>
          <w:szCs w:val="20"/>
          <w:color w:val="auto"/>
        </w:rPr>
      </w:pPr>
    </w:p>
    <w:p>
      <w:pPr>
        <w:ind w:left="980" w:hanging="648"/>
        <w:spacing w:after="0" w:line="28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attract new customers and expand sales to existing customers, our growth could be slower than we expect and our business may be harmed.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3" w:name="page34"/>
    <w:bookmarkEnd w:id="33"/>
    <w:p>
      <w:pPr>
        <w:ind w:left="980" w:right="2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and growth depend substantially on customers renewing their subscription agreements with us, and any decline in our customer renewals could adversely affect our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uncertainty and other unfavorable conditions in our industry or the global economy could limit our ability to grow our business and negatively affect our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manage growth in our operations and organizational change effectively, we may be unable to execute our business plan.</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not able to provide successful enhancements, new features or modifications to our software solutions, our business could be adversely affected.</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derive substantially all of our revenues from a limited number of software solutions, and our growth is dependent on their success.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relationships with technology vendors and business process outsourcers are not successful, our business and growth may be harmed.</w:t>
      </w:r>
    </w:p>
    <w:p>
      <w:pPr>
        <w:spacing w:after="0" w:line="44"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security controls are breached or if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62"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and rely upon Software as a Service (“SaaS”) applications from third parties to operate our business and provide our software solutions, and interruptions, outages, or performance problems with these technologies may adversely affect our business and operating results.</w:t>
      </w:r>
    </w:p>
    <w:p>
      <w:pPr>
        <w:spacing w:after="0" w:line="62"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increased focus on the development and use of agentic, generative, and other artificial intelligence and machine learning technologies (“AI/ML”) in our platform and our business, or any potential failure to effectively implement, use, and market these technologies, may result in reputational harm or liability, or could otherwise adversely affect our business.</w:t>
      </w:r>
    </w:p>
    <w:p>
      <w:pPr>
        <w:spacing w:after="0" w:line="62"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software solutions, platform and technology may adversely affect our business and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software contains serious errors or defects, we may lose revenue and market acceptance and may incur costs to defend or settle product liability claims.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in which we participate is intensely competitive, and if we do not compete effectively, our business and operating results could be harmed.</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results may fluctuate, and if we fail to meet the expectations of analysts or investors, our stock price and the value of your investment could decline substantially.</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sustain or increase profitability in the future.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and you could lose all or part of your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attract new customers and expand sales to existing customers, our growth could be slower than we expect and our business may be harmed.</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growth depends in part upon increasing our customer base, which will depend, in large part, upon the effectiveness of our sales and marketing efforts, both domestically and internationally. We may have difficulty attracting potential customers that rely on widely-available and inexpensive software tools, or that have already invested substantial personnel and financial resources to integrate internally-developed or other software solutions into their businesses, as such organizations may be reluctant or unwilling to invest in a new product. If we fail to attract new customers or maintain and expand those customer relationships, our revenues will grow more slowly than expected and our business will be harmed.</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we move to a platform model, our growth depends upon our ability to sell additional products and increase usage from our existing customers. It is important for the growth of our business that our existing customers make additional significant purchases of our products through our platform. Although our revenue has continued to grow, the rate of growth has slowed in recent periods, and we have experienced a decline in the number of our customers and users. The decline in revenue growth is attributable, in part, to strategic business decisions made in response</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to the maturation of the market for our financial close products. Specifically, our refined commercial focus on enterprise and large mid-market customers has resulted in an increased rate of churn among smaller customers. In addition, our shift to a platform pricing model that is not based on the number of users may increase our user attrition rate as customers migrate to the platform pricing model. In addition, our growth rates may be impacted by changing customer preferences, such as customer preference for solutions that unify upstream and downstream activities versus less broadly-focused solutions, increased competition across many of our product offerings, customer insourcing of functionality, and diversion of IT budgets toward other technologies and priorities. Our sales and marketing efforts have been and may continue to be impacted by geopolitical developments and other events beyond our control, including economic volatility and macroeconomic trends. Such events have resulted in increased price sensitivity on the part of certain current and prospective customers, and could negatively impact sales for certain of our premium-priced offerings.</w:t>
      </w:r>
    </w:p>
    <w:p>
      <w:pPr>
        <w:spacing w:after="0" w:line="7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cannot provide assurance that our strategies will be successful or that we will reverse these trends and we may not be able to increase our customers or revenue, and despite our efforts, our business may grow more slowly than we expect, may not grow at all, or may decline. Our business also depends on retaining existing customers. If we do not retain customers, including due to the acquisition of our customers by other companies, or our customers downgrade or fail to renew their agreements with us, or move to our competitors, or if our customers do not purchase additional products, our revenues may grow more slowly than expected, may not grow at all or may decline. Additionally, increasing incremental sales to our current customer base may require additional sales efforts that are targeted at senior management of such customers, which efforts are often associated with complex customer requirements and additional time to evaluate and test our products, and can lead to long and unpredictable sales cycles. There can be no assurance that our efforts will result in increased sales to existing customers or additional revenues. Failure to grow our business or to grow more slowly than we have anticipated could result in negative perceptions in the market and declines in our stock price.</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and growth depend substantially on customers renewing their subscription agreements with us, and any decline in our customer renewals could adversely affect our operating results.</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initial subscription period for the majority of our customers is one to three years. In order for us to continue to increase our revenue, it is important that our existing customers renew their subscription agreements when the contract term expires. Although our agreements typically include automatic renewal language, our customers may cancel their agreements at the expiration of the term. In addition, our customers may renew for fewer users, renew for shorter contract lengths or renew for fewer products or solutions. Renewal rates may decline or fluctuate as a result of a variety of factors, including satisfaction or dissatisfaction with our software or professional services, our pricing or pricing model or changes in pricing models, the pricing or capabilities of products or services offered by our competitors, strategic shifts in our focus on particular markets and customers, the effects of economic conditions, or reductions in our customers’ budgets and spending levels. For example, macroeconomic trends and changing customer preferences of our customers have impacted and may continue to impact our renewal rate. Any prolonged downturn in the global economy in general, or in particular sectors, such as technology or financial services, would adversely affect the industries in which our customers operate, which could adversely affect our customers’ ability or willingness to renew their subscription agreements or could cause our customers to downgrade the terms of their subscription agreements. Even in the absence of unfavorable macroeconomic trends, changes in the size and mix of IT spend, such as favoring newer technologies like AI/ML at the expense of digital transformation, could negatively impact customers’ ability or willingness to renew their subscription agreements or could cause our customers to downgrade the terms of their subscription agreements.</w:t>
      </w:r>
    </w:p>
    <w:p>
      <w:pPr>
        <w:spacing w:after="0" w:line="7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Further,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As a result, we may in the future be required to change our pricing model, reduce our prices or accept other unfavorable contract terms, any of which could affect our revenue. For example, we have shifted to a platform pricing model, which is no longer tied to the amount of users and is instead driven by the size and complexity of the customer. We are uncertain as to how this new model will be received by our customers and certain customers may view this model unfavorably and decline to renew their agreements. If our customers do not renew their agreements with us or renew on terms less favorable to us, our revenues may decline.</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i w:val="1"/>
          <w:iCs w:val="1"/>
          <w:color w:val="auto"/>
        </w:rPr>
        <w:t>Economic uncertainty and other unfavorable conditions in our industry or the glob</w:t>
      </w:r>
      <w:r>
        <w:rPr>
          <w:rFonts w:ascii="Arial" w:cs="Arial" w:eastAsia="Arial" w:hAnsi="Arial"/>
          <w:sz w:val="18"/>
          <w:szCs w:val="18"/>
          <w:color w:val="auto"/>
        </w:rPr>
        <w:t>a</w:t>
      </w:r>
      <w:r>
        <w:rPr>
          <w:rFonts w:ascii="Arial" w:cs="Arial" w:eastAsia="Arial" w:hAnsi="Arial"/>
          <w:sz w:val="18"/>
          <w:szCs w:val="18"/>
          <w:b w:val="1"/>
          <w:bCs w:val="1"/>
          <w:i w:val="1"/>
          <w:iCs w:val="1"/>
          <w:color w:val="auto"/>
        </w:rPr>
        <w:t>l economy could limit our ability to grow our business and negatively affect our operating results.</w:t>
      </w:r>
    </w:p>
    <w:p>
      <w:pPr>
        <w:spacing w:after="0" w:line="2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operating results may vary based on the impact of changes in our industry or the global economy on us or our customers. The revenue growth and potential profitability of our business depend on demand for business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5" w:name="page36"/>
    <w:bookmarkEnd w:id="35"/>
    <w:p>
      <w:pPr>
        <w:jc w:val="both"/>
        <w:spacing w:after="0" w:line="252" w:lineRule="auto"/>
        <w:rPr>
          <w:sz w:val="20"/>
          <w:szCs w:val="20"/>
          <w:color w:val="auto"/>
        </w:rPr>
      </w:pPr>
      <w:r>
        <w:rPr>
          <w:rFonts w:ascii="Arial" w:cs="Arial" w:eastAsia="Arial" w:hAnsi="Arial"/>
          <w:sz w:val="18"/>
          <w:szCs w:val="18"/>
          <w:color w:val="auto"/>
        </w:rPr>
        <w:t>software applications and services generally, and for accounting and finance systems in particular. We have been operating in a period of economic uncertainty and cannot predict the timing, strength, or duration of any economic recovery. The global economy has been, and may in the future be adversely affected by concerns of inflation and fluctuating interest rates, the imposition of tariffs and non-tariff trade barriers, as well as reciprocal actions, adverse business conditions and liquidity concerns, along with macroeconomic volatility and uncertainty, including increased energy and commodity price volatility. Such general macroeconomic conditions have contributed to a more restrained and selective IT spending environment that could adversely affect demand for our products and make it difficult to accurately forecast and plan our future business activities. If we are unable to maintain pipeline growth or if our win rates decline, our ability to grow our revenue and profitability could be adversely affected. A failure to continue our shift toward platform-priced solutions could also negatively impact our future financial performance. In addition, professional services revenue may decrease as new implementation projects are delayed. To the extent that there are unfavorable conditions in the national and global economy, our business could be negatively impacted. Current and potential customers may reduce their budgets for accounting, finance, and technology, or they may postpone or decide not to purchase or renew subscriptions to our products, which they might view as discretionary. This would limit our ability to grow and negatively affect our operating results. Additionally, corporate cost-cutting and tighter budgets could reduce the rate of spending on accounting, finance, and information technology. This could affect our customers’ ability or willingness to purchase our cloud platform, delay purchasing decisions, reduce the value or duration of their subscription contracts, or increase attrition rates, all of which would adversely affect our operating results. The occurrence of a natural disaster, global public health crisis, geopolitical uncertainty or war has caused, and in the future may cause, customers to request concessions, including extended payment terms, free modules or better pricing. Uncertain economic conditions may also adversely affect third parties with which we have entered into relationships and upon which we depend in order to grow our business, such as technology vendors and public cloud providers. Prolonged economic uncertainties relating to macroeconomic trends could limit our ability to grow our business and negatively affect our operating results.</w:t>
      </w:r>
    </w:p>
    <w:p>
      <w:pPr>
        <w:spacing w:after="0" w:line="8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addition, our customers may be affected by changes in trade policies, treaties, government regulations and tariffs, as well as geopolitical volatility. For example, the current U.S. administration has imposed significant new tariffs on imports from numerous trading partners; such tariffs and retaliatory measures by those trading partners may adversely impact trade relations, increase costs, and reduce our customers’ purchasing power. These could also increase pressure on supply chains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manage growth in our operations and organizational change effectively, we may be unable to execute our business plan.</w:t>
      </w:r>
    </w:p>
    <w:p>
      <w:pPr>
        <w:spacing w:after="0" w:line="3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Growth in our customer base and operations has placed, and may continue to place, a significant strain on our managerial, administrative, operational, financial and other resources, particularly as we focus on cost discipline and efficiency. We anticipate that additional investments in our infrastructure will be necessary to support the growth of our operations both domestically and internationally. These additional investments will increase our costs, with no assurance that our business or revenue will grow sufficiently to cover these additional costs. Labor shortages and increased employee mobility may make it more difficult to hire and retain certain types of employees. For example, labor shortages have, at times, created greater competition for engineering talent, and we have had to expend additional resources to address the retention of such employees. Additionally, our workforce continues to be partially remote, and we expect that it will remain partially remote for the near term. We may experience difficulties onboarding new employees remotely, and maintaining a global organization and managing a geographically dispersed workforce requires substantial management effort, the allocation of valuable management resources, and significant additional investment in our infrastructure. We may be unable to improve our operational, financial and management controls and our reporting procedures to effectively manage our operations and growth, which could negatively affect our results of operations and overall business. In addition, we may be unable to manage our expenses effectively in the future, which may negatively impact our gross margins or operating expenses and cause us to realign resources in order to improve operational efficiency, which may include a slowdown in hiring or reduction in force, such as workforce reductions we have undertaken from time to time. Moreover, if we fail to manage our anticipated growth or any realignment of resources, such as a restructuring or reduction in force, in a manner that preserves the key aspects of our corporate culture, employee morale, productivity and the quality of our software solutions may suffer, which could negatively affect our brand and reputation and harm our ability to retain and attract customers.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6" w:name="page37"/>
    <w:bookmarkEnd w:id="36"/>
    <w:p>
      <w:pPr>
        <w:jc w:val="both"/>
        <w:spacing w:after="0" w:line="294" w:lineRule="auto"/>
        <w:rPr>
          <w:sz w:val="20"/>
          <w:szCs w:val="20"/>
          <w:color w:val="auto"/>
        </w:rPr>
      </w:pPr>
      <w:r>
        <w:rPr>
          <w:rFonts w:ascii="Arial" w:cs="Arial" w:eastAsia="Arial" w:hAnsi="Arial"/>
          <w:sz w:val="18"/>
          <w:szCs w:val="18"/>
          <w:b w:val="1"/>
          <w:bCs w:val="1"/>
          <w:i w:val="1"/>
          <w:iCs w:val="1"/>
          <w:color w:val="auto"/>
        </w:rPr>
        <w:t>If we are not able to provide successful enhancements, new features or modifications to our software solutions, our business could be adversely affected.</w:t>
      </w:r>
    </w:p>
    <w:p>
      <w:pPr>
        <w:spacing w:after="0" w:line="3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If we are unable to provide enhancements and new features for our existing solutions or new solutions that achieve market acceptance or that keep pace with rapid technological developments, our business could be adversely affected. For example, advancements in technology and the introduction of products by our competitors or others incorporating new technologies, such as AI/ML, the emergence of new industry standards, or changes in customer requirements, may alter the market for our products, and businesses that are slow to adopt or fail to adopt these new technologies may face a competitive disadvantage.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need to continuously modify and enhance our solutions to keep pace with changes in internet-related hardware, AI/ML advancements, and other software, communication, browser and database technologies. Customers may increasingly expect greater control over their data, including specific requirements for data residency and cloud sovereignty, and limitations on data sharing, portability, and cross-border transfers. If we fail to meet these evolving expectations, which may be more restrictive than current legal obligations, customers may be unwilling to use our services. Adapting our platform to meet these demands could require significant investment, limit the functionality of our services, and impact our ability to operate and compete in certain markets. Our platform is also designed to integrate with existing Enterprise Resource Planning (“ERP”) systems such as Microsoft Dynamics, Oracle, and SAP,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derive substantially all of our revenues from a limited number of software solutions, and our growth is dependent on their success.</w:t>
      </w:r>
    </w:p>
    <w:p>
      <w:pPr>
        <w:spacing w:after="0" w:line="3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currently derive, and expect to continue to derive, a majority of our revenue from our Financial Close &amp; Consolidation solutions. As a result, the continued growth in market demand for these solutions is critical to our continued success. We cannot be certain that any new software solutions or products we introduce will generate significant revenues. Accordingly, our business and financial results have been and will be substantially dependent on a limited number of solutions.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our security controls are breached or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5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Use of our platform involves the storage, transmission and processing of our customers’ proprietary data, including highly confidential financial information regarding their business and personal or identifying information of their customers or employees. Additionally, we maintain our own proprietary, confidential and otherwise sensitive information. Our platform is at risk for security breaches and incidents as a result of third-party action, employee, vendor or contractor error or malfeasance, cyberattacks (including from nation states and affiliated actors) and other forms of hacking, denial of service attacks, malfeasance, ransomware, viruses and other malicious software, or other factors. The risk of a cybersecurity incident occurring has increased as more companies and individuals work remotely, potentially exposing us to new, complex threats and increasing the potential for security breaches or incidents relating to phishing and other social engineering attacks, use of personal devices, and employee, vendor, or service provider error or malfeasance. Additionally, geopolitical events and an uncertain political climate, including war and political and social upheaval in certain regions of the world, including the recent escalation of hostilities in Iran and surrounding nations, may create heightened risks of cybersecurity incidents for us and our service providers, and we and they may be unable to defend against any such attacks. If any unauthorized or inadvertent access to, or a security breach or incident impacting our platform or other systems or networks used in our business occurs, such event could result in significant interruptions or other disruptions to our software solutions, platform and technology, the loss, alteration, or unavailability of data, unauthorized access to, or use, disclosure, or unauthorized processing of data, including proprietary, personal, or confidential data, and any such event, or the belief or perception that it has occurred, could result in a loss of business, severe reputational damage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8"/>
          <w:szCs w:val="18"/>
          <w:color w:val="auto"/>
        </w:rPr>
        <w:t>adversely affecting customer or investor confidence, regulatory investigations and orders, litigation, indemnity obligations, and damages for contract breach or penalties for violation of applicable laws or regulations. Additionally, service providers who store or otherwise process data on our behalf, including third-party and public-cloud infrastructure, also face security risks. As we rely more on third-party and public-cloud infrastructure, we are increasingly dependent on third-party security measures to protect against unauthorized access, cyberattacks, and the mishandling of customer, employee and other confidential data, and we may be required to expend significant time and resources to address any incidents related to the failure of those third-party security measures to prevent, detect, remediate, and otherwise address security breaches or incidents. Our ability to monitor our third-party service providers' security measures is limited, and in any event, attackers may be able to circumvent our third-party service providers' security measures. There have been and may continue to be significant attacks on certain third-party service providers, and we cannot guarantee that our or our third-party service providers' systems and networks have not been compromised, or that they do not contain exploitable defects or bugs that could result in a compromise of or disruption to our systems and networks or the systems and networks of third parties that support us and our platform. We have experienced incidents targeting our internal systems, and we may also in the future suffer breaches of, or incidents impacting, our internal systems. Security breaches or incidents impacting our platform or our internal systems could create significant interruptions or other disruptions of our software solutions, platform and technology, and may result in significant costs incurred in order to remediate or otherwise respond to a breach or incident, which may include liability for stolen assets or information, repair of system damage, incentives offered to customers or other business partners in an effort to maintain business relationships after a breach, and other costs, expenses and liabilities. We may be required to or find it appropriate to expend substantial capital and other resources to alleviate problems caused by any actual or perceived security breaches or incidents. Further, while we have expended, and will continue to expend, significant resources to enhance and improve our cybersecurity posture and capabilities, these efforts, and any other efforts we may make, may not prevent or significantly mitigate risk in the way we expect, and may require us to incur substantial costs and may require significant resources.</w:t>
      </w:r>
    </w:p>
    <w:p>
      <w:pPr>
        <w:spacing w:after="0" w:line="81"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7"/>
          <w:szCs w:val="17"/>
          <w:color w:val="auto"/>
        </w:rPr>
        <w:t>We have incorporated and may continue to incorporate AI/ML solutions and features, such as agentic AI, into our platform and otherwise within our business, which may create additional cybersecurity risks or increase cybersecurity risks, including risks of security breaches and incidents. Further, AI/ML technologies, including agentic AI, may be used to identify vulnerabilities and build exploitations for certain cybersecurity attacks, and may increase their frequency and intensity, resulting in heightened risks of security breaches and incidents.</w:t>
      </w:r>
    </w:p>
    <w:p>
      <w:pPr>
        <w:spacing w:after="0" w:line="5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Additionally, many jurisdictions have enacted or may enact laws and regulations requiring companies to notify individuals of data security breaches involving certain types of personal data or critical infrastructure. These or other disclosures regarding a security breach or incident could result in negative publicity to us, which may cause our customers to lose confidence in the effectiveness of our data security measures, which could impact our operating results.</w:t>
      </w:r>
    </w:p>
    <w:p>
      <w:pPr>
        <w:spacing w:after="0" w:line="6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incur significant expenses in our efforts to minimize the risks presented by security breaches and incidents, including deploying additional personnel and protection technologies, training employees annually, engaging in phishing simulation exercises, and engaging third-party experts and contractors. We continually increase our investments in cybersecurity to counter emerging risks and threats and to address certain other identified matters, and we anticipate being required to make substantial additional investments in our cybersecurity measures. If a publicized security breach or incident occurs with respect to another SaaS provider or other technology company, our current and potential customers may lose trust in the security of our platform or in the SaaS business model generally, which could adversely impact our ability to retain existing customers or attract new ones. Such a breach or incident, or series of breaches or incidents, could also result in regulatory or contractual security requirements that could make compliance challenging. Even in the absence of any actual or perceived security breach or incident, customer concerns about privacy, security, or data protection may deter them from using our platform for activities that involve personal or other sensitive information.</w:t>
      </w:r>
    </w:p>
    <w:p>
      <w:pPr>
        <w:spacing w:after="0" w:line="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Because the techniques used to obtain unauthorized access or to sabotage systems change frequently, and often are not identified until they are launched against a target, we may be unable to anticipate these techniques or to implement adequate preventative measures. We may also experience security breaches and incidents that may remain undetected for an extended period of time. Periodically, we experience phishing attacks targeting our employees, web application and infrastructure attacks, and other information technology incidents. These threats continue to evolve in sophistication and volume and are difficult to detect and predict due to advances in electronic warfare techniques, advances in cryptography and other technologies including AI/ML, and new and sophisticated methods used by criminals including phishing, social engineering or other illicit acts. We have and may in the future experience security breaches or incidents introduced through the tools and services we use. We continuously monitor our infrastructure, adjust our intrusion detection capabilities, and practice security-by-design principles 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18"/>
          <w:szCs w:val="18"/>
          <w:color w:val="auto"/>
        </w:rPr>
        <w:t>our software development lifecycle to help prevent and detect security breaches and incidents, including those relating to tools and services provided by third parties. However, there can be no assurance that our defensive measures will prevent cyber attacks or other security breaches or incidents, or allow us to identify, remediate, or otherwise respond to them in a timely or effective manner. Any such attacks, breaches or incidents, or perception that any have occurred, could damage our brand and reputation and negatively impact our business.</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customers upload sensitive data to our platform, and data security is therefore a critical competitive factor in our industry. We make numerous statements in our privacy policy and customer agreements, through our certifications to standards and in our marketing materials, providing assurances about the security of our platform, including descriptions of security measures we employ. Should any of these statements be untrue, be perceived to be untrue, or become untrue, even through circumstances beyond our reasonable control, we may face claims of misrepresentation or deceptiveness by the U.S. Federal Trade Commission, state and foreign regulators and private litigants.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increased focus on the development and use of generative artificial intelligence and machine learning technologies in our platform and our business, or any failure to effectively implement, use, and market these technologies, may result in reputational harm or liability, or could otherwise adversely affect our business.</w:t>
      </w:r>
    </w:p>
    <w:p>
      <w:pPr>
        <w:spacing w:after="0" w:line="5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have incorporated and may continue to incorporate AI/ML solutions and features into our platform, such as agentic AI, and otherwise within our business, and these solutions and features may become more important to our operations or to our future growth over time. There can be no assurance that we will realize the desired or anticipated benefits from AI/ML, or at all, and we may fail to effectively implement or market our AI/ML solutions and features. Our competitors or other third parties may incorporate AI/ML into their products, offerings, and solutions more quickly or more successfully than we do, which could impair our ability to compete effectively, and adversely affect our results of operations. We may also face greater competition from non-specialist solutions relying on generic large language models (“LLMs”), generative AI and general-purpose agents to address a broad range of business needs. We must effectively demonstrate to customers and prospects that our solutions and features are superior to other solutions available to their organizations, including generic LLMs, software created using natural language prompts and generative AI, and other emerging technologies. If we are unable to continue to innovate and demonstrate a compelling value proposition that exceeds what customers believe they can create on their own with AI/ML tools, and/or what ERPs are able to integrate directly in their offerings, our ability to attract and retain customers could be diminished, which would adversely affect our business. In addition, if our current and potential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7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Additionally, our AI/ML solutions and features, including agentic AI, may expose us to additional claims, demands, and proceedings by private parties and regulatory authorities and subject us to legal liability as well as brand and reputational harm. For example, the AI/ML models that we use are trained using various data sets, and if our models are incorrectly designed, the data we use to train them is incomplete or inadequate, or we do not have sufficient rights to use the data on which our models rely, the performance of our AI/ML solutions and features, as well as our reputation, could suffer or we could incur liability through the violation of contractual or regulatory obligations. Agentic AI introduces risks that are distinct from other types of AI, including the potential for agentic AI to operate unpredictably, exceed their prescribed authorizations, or fail to align with internal policies or legal obligations. Errors or unintended actions taken by this agentic AI could lead to significant financial loss, data breaches, contractual breaches, or regulatory non-compliance. Moreover, the use of AI/ML capabilities, including agentic AI or tools to improve internal functions and operations, may also introduce other legal, financial, and strategic risks. We may overestimate the ability of such capabilities and tools to yield these benefits, and we may be required to make additional investments in technology and systems. We may also need to make changes to our business and operating model in light of changes in our industry, which could cause disruptions to our business. We have implemented policies, guidelines, and procedures specifically directed at the use of AI/ML tools in the workplace to address these risks, but the use of AI/ML tools by our workforce may nonetheless result in exposure of our proprietary information to unauthorized recipients, exposure to or misuse by unauthorized recipients of our or third-party data or intellectual property, or failure to comply with open source software requirements. Our efforts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mitigate these risks, including through training, monitoring, and enforcement of our policies, guidelines, and procedures governing the use of AI/ML tools may not be successful.</w:t>
      </w:r>
    </w:p>
    <w:p>
      <w:pPr>
        <w:spacing w:after="0" w:line="4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Furthermore, the legal, regulatory, and policy environments around AI/ML are evolving rapidly. For example, the EU AI Act (“AI Act”), which was approved by the European Council on February 2, 2024, and the European Parliament on March 13, 2024, imposes obligations on providers and users of artificial intelligence technologies. The AI Act may impact the development and adoption of our AI/ML solutions in Europe. Additionally, several U.S. states have proposed, and in certain cases have enacted, legislation imposing obligations in connection with the development or use of, or otherwise regulating, AI/ML technologies. Other countries also are contemplating laws regulating AI/ML technologies. We may become subject to new legal and other obligations in connection with our use of AI/ML, which could require us to make significant changes to our policies and practices, necessitating expenditure of significant time, expense, and other resources.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Interruptions or performance problems associated with our software solutions, platform and technology may adversely affect our business and operating results.</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continued growth depends in part on the ability of our current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will be harmed.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our software contains serious errors or defects, we may lose revenue and market acceptance and may incur costs to defend or settle product liability claims.</w:t>
      </w:r>
    </w:p>
    <w:p>
      <w:pPr>
        <w:spacing w:after="0" w:line="3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Since our customers use our platform for critical business functions such as assisting in the financial close or account reconciliation process, errors, defects or other performance problems could result in damage to our customers. 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highly-skilled employees could adversely affect our business.</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some of whom are new, in the areas of research and development, operations, security, marketing, sales and general and administrative functions. Changes in our executive management team resulting from the hiring or departure of executives, or our leadership structure, could disrupt our business, and could impact our ability to preserve our culture, which could negatively affect our ability to recruit and retain personnel. For example, we recently announced that our founder, Therese Tucker will retire from full-time executive employment at the Company in June 2026. Our executive officers and other key personnel are at-will employees and, therefore, they could terminate their employment with us at any time. Any such departure could be particularly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8"/>
          <w:szCs w:val="18"/>
          <w:color w:val="auto"/>
        </w:rPr>
        <w:t>disruptive in light of the leadership transition. Competition for executive management is high, and it may take months to find a candidate that meets our requirements. Such recruiting efforts could divert the attention of our existing management team. Accordingly, the loss of one or more of our executive officers or key employees could have an adverse effect on our business.</w:t>
      </w:r>
    </w:p>
    <w:p>
      <w:pPr>
        <w:spacing w:after="0" w:line="6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In addition, to execute our growth plan, we must attract and retain highly-skilled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and this difficulty may be heightened by labor shortages, higher employee turnover and slower hiring rates associated with hybrid work. In addition, we may need to increase our employee compensation levels in response to competition, rising inflation or labor shortages, which would increase our operating costs and reduce our profitability.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Likewise, if competitors hire our employees, we may divert time and resources to deter any breach by our former employees or their new employers of their respective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due to volatile market conditions, stock price fluctuations or otherwise, it may adversely affect our ability to recruit and retain highly-skilled employees. Further, if we fail to attract new personnel or fail to retain and motivate our current personnel, our business and growth prospects could be adversely affected.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our industry does not continue to develop as we anticipate or if potential customers do not continue to adopt our platform, our sales will not grow as quickly as expected, or at all, and our business and operating results and financial condition would be adversely affected.</w:t>
      </w:r>
    </w:p>
    <w:p>
      <w:pPr>
        <w:spacing w:after="0" w:line="5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We operate in a rapidly evolving industry focused on modernizing financial and accounting operations. Some of our solutions are relatively new and have been developed to respond to an increasingly global and complex business environment with more rigorous regulatory standards. Additionally, some of our solutions now incorporate AI-enabled features, such as AI agents. While the use of AI/ML is leading to advancements in technology, if our new solutions are not widely adopted and accepted, or fail to operate as expected, our business and reputation may be harmed. Additionally, as AI/ML capabilities continue to evolve, our customers and potential customers may leverage AI/ML to develop their own solutions, including AI agents, that could reduce or eliminate the need for our solutions. If organizations do not allocate their budgets to financial automation software as we expect or if we do not succeed in convincing potential customers that our platform should be an integral part of their overall approach to their accounting processes, our sales may not grow to the extent or on the timing we anticipate, or at all. Our business is substantially dependent on enterprises recognizing that accounting errors and inefficiencies are pervasive and are not effectively addressed by legacy solutions. Our ability to accelerate or grow sales is dependent on customers continuing to invest in work transformation. Deterioration in general economic conditions in the U.S. or worldwide, including as a result of uncertainty in the financial markets, fluctuating inflation or interest rates, the imposition of tariffs and non-tariff trade barriers, increased energy and commodity price volatility, or uncertainty in the financial services markets associated with geopolitical events and political uncertainty, such as war and political and social upheaval in certain regions of the world, including the recent escalation of hostilities in Iran and surrounding nations, may also cause our customers to reduce their overall information technology spending, and such reductions may disproportionately affect software solutions like ours to the extent customers view our solutions as discretionary. If our sales and revenue do not increase for any of these reasons, or any other reason, our business, financial condition and operating results may be materially adversely affected.</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operating results could be harmed.</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and we also compete with large, well-established, enterprise application software vendors whose software contains components that compete with our platform. In the future, a competitor offering ERP software could include a free service similar to ours as part of its standard offerings, may offer a free standalone version of a service similar to ours, or may limit our ability to access the data housed within the ERP that is necessary for our customers to realize the full benefits of our platform. Further, other established software vendors not currently focused on accounting and finance software and services, including some of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partners, resellers, and other parties with which we have relationships, may expand their services to compete with us.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Some of our competitors have greater name recognition, longer operating histories, more established customer and marketing relationships, larger marketing budgets and significantly greater resources than we do. They may be able to 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spacing w:after="0" w:line="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Market acceptance of our products may also be affected by customer confusion associated with the introduction of new and emerging technologies by us and our competitors, or changes in technological trends, such as the increase in the use of AI/ML, including agentic AI, particularly to the extent that our potential customers are more easily able to develop their own solutions with AI/ML technologies. 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organize and motivate our sales resources could harm our ability to increase our customer base.</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Increasing our customer base and sales will depend, to a significant extent, on our ability to effectively organize and drive our sales and marketing operations and activities. As we have grown and scaled our operations, we have aligned our sales team to help streamline the customer experience. We rely on our direct sales force to obtain new customers and to maximize the lifetime value of our customer relationships through retention and upsell efforts. Our success will depend, in part, on our ability to support new and existing customer growth and maintain customer satisfaction. As we and many of our customers have transitioned to a hybrid or fully remote workplace</w:t>
      </w:r>
      <w:r>
        <w:rPr>
          <w:rFonts w:ascii="Arial" w:cs="Arial" w:eastAsia="Arial" w:hAnsi="Arial"/>
          <w:sz w:val="18"/>
          <w:szCs w:val="18"/>
          <w:color w:val="212529"/>
        </w:rPr>
        <w:t>, our sales</w:t>
      </w:r>
      <w:r>
        <w:rPr>
          <w:rFonts w:ascii="Arial" w:cs="Arial" w:eastAsia="Arial" w:hAnsi="Arial"/>
          <w:sz w:val="18"/>
          <w:szCs w:val="18"/>
          <w:color w:val="auto"/>
        </w:rPr>
        <w:t xml:space="preserve"> and marketing teams have continued to primarily engage with customers online and through other communication channels, including virtual meetings. There is no guarantee that our sales and marketing teams will be as successful or effective using these other communication channels as they try to build relationships. If we cannot provide our teams with the tools and training to enable them to do their jobs efficiently and satisfy customer demands, we may not be able to achieve anticipated revenue growth as quickly as expected.</w:t>
      </w:r>
    </w:p>
    <w:p>
      <w:pPr>
        <w:spacing w:after="0" w:line="73"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addition, we believe that there is significant competition for experienced sales professionals with the sales skills and technical knowledge that we require. Our ability to achieve significant revenue growth will depend, in part, on our success in recruiting, training, and retaining a sufficient number of experienced sales professionals. New hires require significant training and time before they achieve full productivity, particularly in new sales segments and territories. Sales professionals that we hire may not become as productive as quickly as we expect, or they may not achieve the levels of productivity we anticipate, and we may be unable to hire or retain sufficient numbers of qualified individuals in the markets where we do business. Our business will be harmed if our sales professionals are not as successful as we anticipate at driving and completing sales.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not able to maintain and enhance our brand, our business, operating results and financial condition may be adversely affected.</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 independent industry analysts provide reviews of our platform, as well as products and services offered by our competitors, and perception of our platform in the marketplace may be significantly influenced by these reviews. If these reviews are negative, or less positive as compared to those of our competitors’ products and services, our brand may be adversely affected.</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achieve the expected benefits of these transactions and other strategic transactions.</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regularly evaluate and consider potential strategic transactions, including acquisitions of, or investments in, businesses, technologies, services, products, and other assets. We also may enter into relationships with other businesses to expand our products and services, which could involve preferred or exclusive licenses, additional channels of distribution or discount pricing.</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be subject to approvals and conditions that are beyond our control. Consequently, these transactions, even if announced, may not be completed. In connection with a strategic transaction, we may:</w:t>
      </w:r>
    </w:p>
    <w:p>
      <w:pPr>
        <w:spacing w:after="0" w:line="63"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additional equity or equity-linked securities that would dilute our existing stockholders;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become subject to new or conflicting laws, regulations or legal requirements; or</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and amortization, or deferred compensation charges.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and incur significant costs assimilating or integrating the businesses, technologies, products, policies,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 which may lead to additional expenses, impairment charges or write-offs, restructuring charges, or other adverse impacts to our business, results of operations, or financial condition.</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Incorrect or improper implementation or use of our solutions could result in customer dissatisfaction and negatively affect our business, results of operations, financial condition, and growth prospects.</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spacing w:after="0" w:line="74"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use our platform efficiently and effectively, or our failure to provide adequate product support to our customers, may result in negative publicity or legal claims against us. Also, as we continue to expand our customer base, any failure by us to properly provide these services will likely result in lost opportunities for additional subscriptions to our platform.</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and our financial results.</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w:t>
      </w:r>
    </w:p>
    <w:p>
      <w:pPr>
        <w:sectPr>
          <w:pgSz w:w="11900" w:h="16838" w:orient="portrait"/>
          <w:cols w:equalWidth="0" w:num="1">
            <w:col w:w="11240"/>
          </w:cols>
          <w:pgMar w:left="320" w:top="132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type w:val="continuous"/>
        </w:sectPr>
      </w:pPr>
    </w:p>
    <w:bookmarkStart w:id="43" w:name="page44"/>
    <w:bookmarkEnd w:id="43"/>
    <w:p>
      <w:pPr>
        <w:jc w:val="both"/>
        <w:ind w:right="20"/>
        <w:spacing w:after="0" w:line="262" w:lineRule="auto"/>
        <w:rPr>
          <w:sz w:val="20"/>
          <w:szCs w:val="20"/>
          <w:color w:val="auto"/>
        </w:rPr>
      </w:pPr>
      <w:r>
        <w:rPr>
          <w:rFonts w:ascii="Arial" w:cs="Arial" w:eastAsia="Arial" w:hAnsi="Arial"/>
          <w:sz w:val="18"/>
          <w:szCs w:val="18"/>
          <w:color w:val="auto"/>
        </w:rPr>
        <w:t>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condition.</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and if we fail to meet these contractual commitments, our revenues could be adversely affected.</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customer agreements typically provide service level commitments. If we are unable to meet the stated service level commitments or suffer extended periods of unavailability for our applications, for example, due to a cybersecurity incident or human error, we may be contractually obligated to provide these customers with service credits, refunds for prepaid amounts related to unused subscription services, or we could face contract terminations. Our revenues could be significantly affected if we suffer unscheduled downtime that exceeds the allowed downtimes under our agreements with our customers. Any extended service outages could adversely affect our reputation, revenues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or increase profitability in the future.</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may not maintain profitability in future periods, or if we are profitable, we may not fully achieve our profitability targets. We may incur net losses attributable to BlackLine, Inc. Our reported GAAP profitability can fluctuate, and while we have generated positive free cash flow in recent periods, this metric may not be indicative of our future GAAP profitability. We had an accumulated deficit of $21.3 million at March 31, 2026. We expect our costs to increase in future periods as we continue to expend substantial financial and other resources on:</w:t>
      </w:r>
    </w:p>
    <w:p>
      <w:pPr>
        <w:spacing w:after="0" w:line="68" w:lineRule="exact"/>
        <w:rPr>
          <w:sz w:val="20"/>
          <w:szCs w:val="20"/>
          <w:color w:val="auto"/>
        </w:rPr>
      </w:pPr>
    </w:p>
    <w:p>
      <w:pPr>
        <w:jc w:val="both"/>
        <w:ind w:left="980" w:hanging="648"/>
        <w:spacing w:after="0" w:line="26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our cloud-based platform, including investments in research and development, product innovation, including AI/ML technologies, to expand the features and functionality of our software solutions and improvements to the scalability and security of our platform;</w:t>
      </w:r>
    </w:p>
    <w:p>
      <w:pPr>
        <w:spacing w:after="0" w:line="62" w:lineRule="exact"/>
        <w:rPr>
          <w:rFonts w:ascii="Arial" w:cs="Arial" w:eastAsia="Arial" w:hAnsi="Arial"/>
          <w:sz w:val="18"/>
          <w:szCs w:val="18"/>
          <w:color w:val="auto"/>
        </w:rPr>
      </w:pPr>
    </w:p>
    <w:p>
      <w:pPr>
        <w:jc w:val="both"/>
        <w:ind w:left="980" w:hanging="648"/>
        <w:spacing w:after="0" w:line="28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including expansion of our direct sales force and enabling the selling of a wider breadth of specialized products and our relationships with technology vendors, professional services firms, business process outsourcers and resellers;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Furthermore, our reported net income is impacted by factors beyond our operational spending, including fluctuations in interest income and our provision for income taxes.</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the expectations of analysts or investors, our stock price and the value of your investment could decline substantially.</w:t>
      </w:r>
    </w:p>
    <w:p>
      <w:pPr>
        <w:spacing w:after="0" w:line="3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spacing w:after="0" w:line="68"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increase sales to existing customers;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new employees added;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 of sales cycles and the timing of large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features or functionalities introduced by us and our competitors;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security breaches, technical difficulties or interruptions to our platform;</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44" w:name="page45"/>
    <w:bookmarkEnd w:id="44"/>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customer payments and payment defaults by customers;</w:t>
      </w:r>
    </w:p>
    <w:p>
      <w:pPr>
        <w:spacing w:after="0" w:line="117" w:lineRule="exact"/>
        <w:rPr>
          <w:rFonts w:ascii="Arial" w:cs="Arial" w:eastAsia="Arial" w:hAnsi="Arial"/>
          <w:sz w:val="18"/>
          <w:szCs w:val="18"/>
          <w:color w:val="auto"/>
        </w:rPr>
      </w:pPr>
    </w:p>
    <w:p>
      <w:pPr>
        <w:jc w:val="both"/>
        <w:ind w:left="980" w:hanging="648"/>
        <w:spacing w:after="0" w:line="262"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that may adversely affect either our customers’ ability or willingness to purchase additional products or services, delay a prospective customer’s purchasing decision or affect customer retention, including the macroeconomic environment, increased energy and commodity price volatility, uncertainty in the financial services market, inflation, fluctuating interest rates, tariffs and other non-tariff trade barriers, or geopolitical events;</w:t>
      </w:r>
    </w:p>
    <w:p>
      <w:pPr>
        <w:spacing w:after="0" w:line="68"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and timing of expenses related to restructuring actions or other employee terminations that may result in severance expense;</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and timing of taxes or changes in tax law;</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the amount of grants or vesting of equity awards to employees;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of our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 budgets and buying patterns.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in different periods will cause fluctuations in our financial metrics and, to a lesser extent, revenues. Those changes and fluctuations in our expenses will affect our results on a quarterly basis, and will make forecasting our operating results and financial metrics difficult.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due to our long and increasingly variable sales cycle.</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mid-size customers. In addition, the length of the sales cycle tends to increase for larger contracts and for more complex, strategic products like our Intercompany solutions. As we continue to focus on increasing our average contract size and selling more strategic products, we expect our sales cycle to lengthen and become less predictable. This could cause variability in our operating results for any particular period.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other factors that may influence the length and variability of our sales cycle include:</w:t>
      </w:r>
    </w:p>
    <w:p>
      <w:pPr>
        <w:spacing w:after="0" w:line="117" w:lineRule="exact"/>
        <w:rPr>
          <w:sz w:val="20"/>
          <w:szCs w:val="20"/>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educate potential customers about the uses and benefits of our software solutions;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educate potential customers on the differences between traditional, on-premise software and SaaS solutions;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relatively long duration of the commitment customers make in their agreements with us;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discretionary nature and timing of potential customers’ purchasing and budget cycles and decisions;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competitive nature of potential customers’ evaluation and purchasing processes;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by us or our competitors;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lengthy purchasing approval processes of potential customers, including due to increased scrutiny of spending.</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 organizations may demand more features and integration services and have increased purchasing power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8"/>
          <w:szCs w:val="18"/>
          <w:color w:val="auto"/>
        </w:rPr>
        <w:t>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transactions would otherwise have been recognized, may be adversely affected.</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Uncertainty around general macroeconomic conditions has in the past and may in the future cause customers to delay and defer purchasing decisions, which has and may lead to a deterioration in near-term demand. In addition, we may devote greater research and development, sales, product support, and professional services resources to potential customers that do not result in actual sales or revenue, resulting in increased costs and reduced profitability, and which could strain our resources.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recognize subscription revenue over the term of our customer contracts and, consequently, downturns or upturns in new sales may not be immediately reflected in our operating results and may be difficult to discern.</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recognize subscription revenue from our platform ratably over the terms of our customers’ agreements, most of which have one-year terms but an increasing number of which have up to three-year terms. As a result, most of the revenue we report in each quarter is derived from the recognition of deferred revenue related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that agreement. As a result, growth in the number of our customers could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 that could harm our results of operations.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implemented a program to hedge exposures to fluctuations in foreign currencies, including the use of foreign currency forward contracts. We may also use other derivative instruments, such as option contracts, to hedge exposures to fluctuations in foreign currency exchange rates. However,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Goodwill is required to be tested for impairment at least annually. At March 31, 2026, we had goodwill and intangible assets with a net book value of $511.3 million primarily related to acquisitions. An adverse change in market conditions, particularly if such change has the effect of changing one of our critical assumptions or estimates, could result in a change to the estimation of fair value that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8"/>
          <w:szCs w:val="18"/>
          <w:color w:val="auto"/>
        </w:rPr>
        <w:t>could result in an impairment charge to our goodwill or intangible assets. Any such charges may have a material negative impact on our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limitations.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At December 31, 2025, we had federal and state net operating loss carryforwards (“NOLs”) of $81.4 million and $82.9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taxable income. For example, California enacted legislation which suspends the use of NOLs for taxable years 2024, 2025, and 2026. For these reasons, we may not be able to realize a tax benefit from the use of our NOLs, whether or not we attain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relationships with technology vendors and business process outsourcers are not successful, our business and growth will be harmed.</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depend on, and anticipate that we will continue to depend on, various strategic relationships in order to sustain and grow our business. We have established strong relationships with technology vendors, such as SAP and other providers to offer our solutions to users of their ERP solutions. We engage global professional services firms and business process outsourcers to expand market reach and customer advocacy, as well as supplement delivery and implementation of our applications. We believe these relationships enable us to effectively market our solutions by offering a complementary suite of services. In particular, our solution integrates with SAP’s ERP solutions. SAP is part of the reseller channel that we use in the ordinary course of business, and accounts for a material portion of our total revenue. SAP has the ability to resell our solutions as SAP SolEx, for which we receive a percentage of the revenues. If we are unsuccessful in maintaining our relationship with SAP, if our reseller arrangement with SAP is less successful than we anticipate, or if we are unsuccessful in supporting or expanding our relationships with other companies, our business would be adversely affected. Also, resellers, such as SAP, may impose unfavorable terms on us that they pass down from their own agreements with the end customer. Additionally, while we continue to build relationships with a variety of third-party partners and will continue to support all ERP solutions, to the extent that our partnership with SAP continues to expand, this partnership may be a deterrent to other potential partners.</w:t>
      </w:r>
    </w:p>
    <w:p>
      <w:pPr>
        <w:spacing w:after="0" w:line="8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our solution is no longer resold by SAP as a solution extension, our business would be adversely affected. Our competitors may be effective in providing incentives to third parties to favor their products or services or to prevent or reduce subscriptions to our platform. If we are unsuccessful in establishing or maintaining our relationships, or if the counterparties to our relationships offer competing solutions, our ability to compete in the marketplace or to grow our revenue could be impaired and our operating results could suffer. Even if we are successful, we cannot assure you that these relationships will result in improved operating results.</w:t>
      </w:r>
    </w:p>
    <w:p>
      <w:pPr>
        <w:spacing w:after="0" w:line="18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rely on third-party computer hardware and software that may cause errors or failure of our software solutions, or may be difficult to replace.</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rely on computer hardware purchased or leased and software licensed from third parties, including third-party SaaS applications, in order to deliver our software solutions. Errors or defects in third-party hardware or software used in our software solutions could result in errors or a failure, which could damage our reputation, impede our ability to provide our platform or process information, and adversely affect our business. Furthermore, certain third-party hardware and software may not continue to be available on commercially reasonable terms, if at all. Any loss of the right to use any of this hardware or software could result in delaying or preventing our ability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provide our software solutions until equivalent technology is either developed by us or, if available, identified, obtained and integrated.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Google Cloud Platform (“GCP”), Microsoft Azure (“Azure”), Amazon Web Services (“AWS”), Snowflake, and third-party data centers (collectively, “public cloud providers”) to deliver our cloud-based software solutions, and any disruption of our use of public cloud providers could negatively impact our operations and harm our business.</w:t>
      </w:r>
    </w:p>
    <w:p>
      <w:pPr>
        <w:spacing w:after="0" w:line="5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manage our software solutions and serve most of our customers using a multi-cloud infrastructure hosted across GCP, Azure, and AWS, with regions and availability zones in North America, Europe, Asia-Pacific, and the Middle East. We recently migrated all Financial Close &amp; Consolidation clients from our third-party data centers to GCP, increasing our reliance on this cloud provider. Additionally, we rely on Azure to serve Invoice-to-Cash customers, and we rely on AWS to serve our intercompany customers. With the transition to GCP, we have experienced, and may continue to experience, occasional planned or unplanned downtime for our cloud-based software solutions and potential service delays, all of which has impacted, and may in the future impact, our customers’ ability to use our solutions. In addition, the transition to GCP creates a risk that data could be unintentionally lost or corrupted during the migration process, which, if it were to occur, could expose us to liability, harm our reputation, and result in customer loss. Our Customer Data Platform is built on Snowflake for Financial Close &amp; Consolidation, Invoice-to-Cash, and Intercompany solutions, allowing customers to access their data, reports, and integrations. We may also need to divert resources away from other important business operations, which could harm our business and growth.</w:t>
      </w:r>
    </w:p>
    <w:p>
      <w:pPr>
        <w:spacing w:after="0" w:line="7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do not control the operation of our public cloud providers. Any changes in third-party service levels or any disruptions or delays from errors, defects, hacking incidents, security breaches, computer viruses, denial of service attacks, bad acts or performance problems could harm our reputation, damage our customers’ businesses, and adversely affect our business and operating results. Our public cloud providers are also vulnerable to damage or interruption from earthquakes, hurricanes, floods, fires, war, public health crises, terrorist attacks, power losses, hardware failures, systems failures, telecommunications failures and similar events. We may have limited remedies against third-party providers in the event of any service disruptions. If our third-party public cloud providers are compromised or unavailable or our customers are unable to access our solutions for any reason, our business would be materially and adversely affected.</w:t>
      </w:r>
    </w:p>
    <w:p>
      <w:pPr>
        <w:spacing w:after="0" w:line="7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customers have experienced minor disruptions and outages in accessing our solutions in the past, and may experience disruptions, outages, and other performance problems. Although we expend considerable effort to ensure that our platform performance is capable of handling existing and increased traffic levels, the ability of our cloud-based solutions to effectively manage any increased capacity requirements depends on our public cloud providers. Our public cloud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w:t>
      </w:r>
    </w:p>
    <w:p>
      <w:pPr>
        <w:spacing w:after="0" w:line="7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we do not accurately predict our infrastructure capacity requirements, our customers could experience service shortfalls. The provisioning of additional cloud hosting capacity requires lead time. As we continue to restructure our data management plans, and increase our cloud hosting capacity,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Our public cloud providers have no obligations to renew their agreements with us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with respect to us, we may be required to transfer to other providers. If we are required to transfer to other providers, we would incur significant costs and experience possible service interruption in connection with doing so.</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depend and rely upon SaaS applications from third parties to operate our business and provide our software solutions, and interruptions, outages, or performance problems with these technologies may adversely affect our business and operating results.</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rely heavily upon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8"/>
          <w:szCs w:val="18"/>
          <w:color w:val="auto"/>
        </w:rPr>
        <w:t>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resellers, our business, operating results and financial condition could be adversely affected.</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believe that continued growth in our business is dependent upon identifying, developing, and maintaining strategic relationships with companies that resell our solutions. We continue to strengthen our relationships with our existing network of resellers to help grow our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 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long-term success depends, in part, on our ability to expand the sales of our solutions to customers located outside of the U.S., and thus our business is susceptible to risks associated with international sales and operations.</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currently maintain offices and/or have personnel outside the U.S., including, without limitation, in Australia, Canada, France, Germany, India, Japan, Mexico, the Netherlands, Poland, Romania, Singapore, and the United Kingdom, and we intend to build out our international operations. In addition to our organic growth, we have also executed acquisitions and strategic transactions outside the U.S. as part of our ongoing international expansion strategy. We derived approximately 32% and 30% of our revenues from sales outside the U.S. during the quarters ended March 31, 2026 and 2025, respectively. Any international expansion efforts that we may undertake, including acquisitions of businesses outside the U.S., may not be successful.</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international operations, particularly in new markets, subjects us to additional risks. These risks include:</w:t>
      </w:r>
    </w:p>
    <w:p>
      <w:pPr>
        <w:spacing w:after="0" w:line="117" w:lineRule="exact"/>
        <w:rPr>
          <w:sz w:val="20"/>
          <w:szCs w:val="20"/>
          <w:color w:val="auto"/>
        </w:rPr>
      </w:pPr>
    </w:p>
    <w:p>
      <w:pPr>
        <w:ind w:left="980" w:hanging="648"/>
        <w:spacing w:after="0" w:line="28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adaptation for local practices and regulatory requirements, including, without limitation, data residency and cloud sovereignty requirements;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familiarity and burdens of complying with foreign laws, legal standards, regulatory requirements, tariffs and other barriers;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legal and regulatory requirements, taxes, trade laws, tariffs, export quotas, custom duties or other trade restrictions;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exchange rates that may increase the volatility of our foreign-based revenue;</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value-added tax (or other tax) systems and restrictions on the repatriation of earnings;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 political and economic climates, including the significant volatility in the global financial markets and increasing inflation;</w:t>
      </w:r>
    </w:p>
    <w:p>
      <w:pPr>
        <w:spacing w:after="0" w:line="44"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natural disasters, climate change, geopolitical events and political uncertainty, including war and political and social upheaval in certain regions in the world, such as the recent escalation of hostilities in Iran and surrounding nations, and public health pandemics, on employees, customers, partners, third-party contractors, travel and the global economy;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Privacy and cybersecurity concerns, customer expectations, and evolving domestic or foreign laws and regulations, including increased regulation of cloud offerings and restrictions of cross-border data transfers, may limit or reduce the adoption of our services, result in significant costs and compliance challenges, and adversely affect our business.</w:t>
      </w:r>
    </w:p>
    <w:p>
      <w:pPr>
        <w:spacing w:after="0" w:line="5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Global legal and regulatory requirements related to collecting, storing, handling, transferring, and otherwise processing personal data are rapidly evolving in ways that require our business to adapt to support our compliance and our customers’ compliance. As the regulatory focus on privacy, data protection, cybersecurity, and cloud offerings generally intensifies worldwide, and jurisdictions increasingly consider and adopt laws and regulations relating to these matters, the potential risks related to processing personal data by our business may grow. In addition, possible adverse interpretations of existing laws and regulations by governments in countries where we or our customers operate, as well as the potential implementation of new legislation, could impose significant obligations in areas affecting our business or prevent us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offering certain services in jurisdictions where we operate. Any failure or perceived failure to comply with applicable laws or regulations relating to privacy, data protection, or cybersecurity may harm our reputation and inhibit competitiveness or otherwise adversely affect our business.</w:t>
      </w:r>
    </w:p>
    <w:p>
      <w:pPr>
        <w:spacing w:after="0" w:line="6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Privacy, data protection, and cybersecurity have become significant issues in the U.S., Europe, and in many other jurisdictions where we offer our products. Following the European Union’s passage of the General Data Protection Regulation (“GDPR”), which became effective in May 2018, the global regulatory landscape relating to privacy, data protection, and cybersecurity has grown increasingly complex and fragmented and is rapidly evolving. As a result, our business faces current and prospective risks related to increased regulatory compliance costs, reputational harm, negative effects on our existing business and on our ability to attract and retain new customers, and increased potential exposure to regulatory enforcement, litigation, and/or financial penalties for non-compliance. For example, in July 2020, the Court of Justice of the European Union (“CJEU”) invalidated the Privacy Shield framework, which enabled companies to legally transfer data from the European Economic Area (“EEA”) to the U.S. This ruling from the CJEU and recent rulings from various European Union (“EU”) member state data protection authorities have created complexity and uncertainty regarding processing and transfers of personal data from the EEA to the U.S. and certain other countries outside the EEA.</w:t>
      </w:r>
    </w:p>
    <w:p>
      <w:pPr>
        <w:spacing w:after="0" w:line="7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Moreover, on June 4, 2021, the European Commission adopted new Standard Contractual Clauses (“SCCs”), which impose additional obligations relating to personal data transfers out of the EEA. The new SCCs, and similar standard contractual clauses adopted in the UK, may increase the legal risks and liabilities associated with cross-border data transfers, and result in material increased compliance and operational costs.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use to legitimize personal data transfers to the U.S. from the EEA,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The European Commission's adequacy decision regarding the DPF also provides that the DPF will be subject to future reviews and may be subject to suspension, amendment, repeal, or limitations in scope by the European Commission. More generally, uncertainty may continue about the legal requirements for transferring customer personal data to and from the EEA, UK, Switzerland, and other regions, a process integral to our business. Countries have passed, or are considering passing, laws imposing varying degrees of restrictive data residency or cloud sovereignty requirements, which have created or could create additional costs and complexity, and any new requirements may result in additional costs and complexity.</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the UK has established its own domestic regime with the UK GDPR and amendments to the Data Protection Act. While the UK GDPR imposes obligations and penalties similar to the GDPR, the UK government enacted the UK Data (Use and Access) Act 2025 on June 19, 2025, which made targeted amendments to the UK GDPR and the Data Protection Act. This has introduced additional compliance complexity. Further, if UK regulation of data protection diverges further from the EU, new obligations and data flow issues could emerge, creating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8"/>
          <w:szCs w:val="18"/>
          <w:color w:val="auto"/>
        </w:rPr>
        <w:t>and complexity. Actual or alleged failure to comply with the GDPR or the UK GDPR can result in private lawsuits, reputational damage, loss of customers, and regulatory enforcement actions, which can result in significant fines, including, under the GDPR, fines of up to EUR 20 million (or GBP 17.5 million under the UK GDPR) or four percent (4%) of global revenue, whichever is greater.</w:t>
      </w:r>
    </w:p>
    <w:p>
      <w:pPr>
        <w:spacing w:after="0" w:line="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Further, cybersecurity laws and regulations continue to evolve worldwide. For example, the EU’s Digital Operational Resilience Act (“DORA”) creates an information and communication technology (“ICT”) risk management framework for financial institutions and their critical ICT service providers. DORA introduces obligations regarding risk assessments, technical standards, mandatory penetration testing, staff training, and incident notification. It also requires due diligence on third -party ICT service providers and the inclusion of specific provisions in ICT service agreements. DORA took effect on January 17, 2025, and compliance with the regulation may require changes in our services and related policies and practices and may require us to incur significant costs. Further, the EU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 management measures, with top management potentially held liable for noncompliance.</w:t>
      </w:r>
    </w:p>
    <w:p>
      <w:pPr>
        <w:spacing w:after="0" w:line="7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Regulatory developments in the U.S. present additional risks. For example, the California Consumer Privacy Act, as amended by the California Privacy Rights Act, gives California consumers, including employees, certain rights similar to those provided by the GDPR, and also provides for statutory damages or fines on a per violation basis that could be very large depending on the severity of the violation. Numerous other states have also enacted or are in the process of enacting or considering state-level data privacy and security laws, rules and regulations. Furthermore, the U.S. Federal Trade Commission continues to use its enforcement authority under Section 5 of the FTC Act against companies for privacy and cybersecurity practices alleged to be unfair or deceptive.</w:t>
      </w:r>
    </w:p>
    <w:p>
      <w:pPr>
        <w:spacing w:after="0" w:line="7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Globally, virtually every jurisdiction in which we operate has established its own frameworks governing privacy, data protection, cybersecurity, and cloud offerings generally with which we, and/or our customers, must comply. These laws and regulations often are more restrictive than those in the U.S. Regulatory developments in these countries may require us to modify our policies, procedures, and data processing measures in order to address requirements under these or other applicable privacy, data protection, or cybersecurity regimes, and we may face claims, litigation, investigations, or other proceedings regarding them, initiated by private parties and governmental authorities, and may incur related liabilities, expenses, costs, and operational losses. Our compliance efforts are further complicated by the fact that laws and regulations relating to privacy, data protection, cybersecurity, and cloud offerings generally around the world are rapidly evolving, may be subject to uncertain or inconsistent interpretations and enforcement, and may conflict among various jurisdictions. For example, the European Union’s Data Act (“EU Data Act”), which became applicable on September 12, 2025, imposes certain data and cloud service interoperability and switching obligations to enable users to switch between providers without undue delay or cost, as well as certain requirements concerning cross-border international transfers of, and government access to, non-personal data outside the European Economic Area. Depending on how the EU Data Act is implemented and interpreted, we may be required to adjust contract terms and technical measures for data portability in order to comply. These changes may result in additional compliance and operational costs, which may affect our business.</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various new, additional, or different self-regulatory standards that may place additional burdens on us. Our customers may require us, or we may find it advisable, to meet voluntary certifications or adhere to other standards established by them or third parties, such as the SSAE 18, SOC1, and SOC2 audit processes. If we are unable to maintain such certifications, comply with such standards, or meet such customer requests, it could reduce demand for our services and adversely affect our business.</w:t>
      </w:r>
    </w:p>
    <w:p>
      <w:pPr>
        <w:spacing w:after="0" w:line="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Compliance with applicable laws and regulations relating to privacy, data protection, cybersecurity, and cloud offerings generally may require changes in our services, practices, or internal systems that result in increased costs, lower revenue, reduced efficiency, or negative effects on our ability to attract and retain customers in certain industries and foreign countries, which could adversely affect our business. The costs of compliance with, and other obligations imposed by, these laws and regulations may require modification of our services, limit use and adoption of our services, reduce overall demand for our services, lead to significant fines, penalties, or liabilities for actual or alleged noncompliance, or slow the pace at which we close sales transactions, any of which could harm our business. Privacy, data protection, and cybersecurity concerns, whether valid or not valid, may inhibit the market adoption, effectiveness, or use of our services, particularly in certain industries and foreign countries.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1" w:name="page52"/>
    <w:bookmarkEnd w:id="51"/>
    <w:p>
      <w:pPr>
        <w:jc w:val="both"/>
        <w:spacing w:after="0" w:line="294"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full compliance with applicable laws.</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solutions are subject to export controls, including the Commerce Department’s Export Administration Regulations and various economic and trade sanctions regulations established by the Treasury Department’s Office of Foreign Assets Control.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regions, governments and persons. Even though we take precautions to prevent our solutions from being provided to U.S. sanctions targets, our solutions could be sold by resellers or could be used by persons in sanctioned regions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various countries could enact laws that could limit our ability to distribute our solutions or could limit our customers’ ability to implement or access our solutions in those countries. Changes in our solutions or changes in export and import regulations may create delays in the introduction and sale of our solutions in international markets, prevent our customers with international operations from accessing our solutions or, in some cases, prevent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current or potential customers with international operations. Any decreased use of our solutions or limitation on our ability to export or sell our solutions would likely adversely affect our business, financial condition and results of operations.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laws and regulations related to the internet and cloud computing or changes to internet infrastructure may diminish the demand for our solutions and could have a negative impact on our business.</w:t>
      </w:r>
    </w:p>
    <w:p>
      <w:pPr>
        <w:spacing w:after="0" w:line="3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The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 imposed guidelines for the use of cloud computing services that mandate specific controls or require financial services enterprises to obtain regulatory approval prior to utilizing such software. The EU Data Act includes certain data and cloud service interoperability and switching obligations to enable users to switch between providers without undue delay or cost. Changes in these laws or regulations and to their interpretation by courts, regulators, and market participants could require us to modify our solutions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spacing w:after="0" w:line="8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Furthermore, favorable laws may change, including for example, in the U.S. where net neutrality regulations were recently repealed. Given uncertainty around these rules, including changing interpretations, amendments, or repeal, coupled with potentially significant political and economic power of local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52" w:name="page53"/>
    <w:bookmarkEnd w:id="52"/>
    <w:p>
      <w:pPr>
        <w:jc w:val="both"/>
        <w:spacing w:after="0" w:line="287" w:lineRule="auto"/>
        <w:rPr>
          <w:sz w:val="20"/>
          <w:szCs w:val="20"/>
          <w:color w:val="auto"/>
        </w:rPr>
      </w:pPr>
      <w:r>
        <w:rPr>
          <w:rFonts w:ascii="Arial" w:cs="Arial" w:eastAsia="Arial" w:hAnsi="Arial"/>
          <w:sz w:val="18"/>
          <w:szCs w:val="18"/>
          <w:color w:val="auto"/>
        </w:rPr>
        <w:t>network operators, we could experience discriminatory or anti-competitive practices that could impede our growth, cause us to incur additional expense, or otherwise negatively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potentially adverse tax consequences.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and global taxation of international business activities or the adoption of other tax reform policies could materially impact our financial position and results of operations.</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Any changes in the U.S. or global taxation of our activities may increase our worldwide effective tax rate and adversely affect our financial position and results of operations. For example, the Inflation Reduction Act includes, among other provisions, an alternative minimum tax on adjusted financial statement income and a 1% excise tax on stock buybacks. On July 4, 2025, H.R. 1, also known as the “One Big Beautiful Bill Act,” was enacted into law, making a number of changes to U.S. federal income tax law, including permanently suspending the requirement to capitalize and amortize domestic research and development expenditures and permitting such deductions on a current basis. In addition, the Organization for Economic Cooperation and Development has proposed a global minimum tax of 15% (“Pillar 2”), which has been adopted by or is being considered by EU member states and certain other jurisdictions. On January 5, 2026, the OECD announced a “side-by-side” elective safe harbor that exempts U.S.-parented multinational entities from certain provisions of Pillar 2 for fiscal years beginning on or after January 1, 2026. These and other proposed or implemented changes in the U.S. and global taxation could adversely impact our financial position and results of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spacing w:after="0" w:line="5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Sales and use, value-added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success and ability to compete depend, in part, upon our intellectual property. We currently have two patents and primarily rely on copyright, trade secret and trademark laws, trade secret protection, and confidentiality or license agreements with our employees, customers, partners and others to protect our intellectual property rights. However, the steps we take to protect our intellectual property rights may be inadequate.</w:t>
      </w:r>
    </w:p>
    <w:p>
      <w:pPr>
        <w:spacing w:after="0" w:line="6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3" w:name="page54"/>
    <w:bookmarkEnd w:id="53"/>
    <w:p>
      <w:pPr>
        <w:jc w:val="both"/>
        <w:spacing w:after="0" w:line="294" w:lineRule="auto"/>
        <w:rPr>
          <w:sz w:val="20"/>
          <w:szCs w:val="20"/>
          <w:color w:val="auto"/>
        </w:rPr>
      </w:pPr>
      <w:r>
        <w:rPr>
          <w:rFonts w:ascii="Arial" w:cs="Arial" w:eastAsia="Arial" w:hAnsi="Arial"/>
          <w:sz w:val="18"/>
          <w:szCs w:val="18"/>
          <w:b w:val="1"/>
          <w:bCs w:val="1"/>
          <w:i w:val="1"/>
          <w:iCs w:val="1"/>
          <w:color w:val="auto"/>
        </w:rPr>
        <w:t>Lawsuits or other claims by third parties for alleged infringement of their proprietary rights could cause us to incur significant expenses or liabilities.</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market price of our common stock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spacing w:after="0" w:line="63"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estimates by any securities analysts who follow BlackLine or our failure to meet the estimates or expectations of analysts and investors;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ratings changes by any securities analysts who follow BlackLine or failure of such analysts to initiate or maintain coverage of BlackLine;</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relationships, joint ventures, or capital commitments;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perceived privacy, security, data protection, or cybersecurity incidents;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54" w:name="page55"/>
    <w:bookmarkEnd w:id="54"/>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products or third-party proprietary rights;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of Directors (the “Board”) or management;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issuances of shares of our common stock, including in connection with an acquisition or upon conversion of some or all of our outstanding Notes (as defined below);</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rumored stockholder activism; and</w:t>
      </w:r>
    </w:p>
    <w:p>
      <w:pPr>
        <w:spacing w:after="0" w:line="117"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macroeconomic uncertainty, instability or uncertainty in the banking and financial services sector, geopolitical events and political uncertainty, including war and political and social upheaval, incidents of terrorism, outbreaks of pandemic diseases, presidential elections, civil unrest, or responses to these events.</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the stock markets have experienced significant price and volume fluctuations. Stock prices of many companies, and technology companies in particular, have fluctuated in a manner unrelated or disproportionate to the operating performance of those companies. Stockholders have instituted securities class action litigation following periods of market volatility. If we were to become the target of this type of litigation in the future, it could subject us to substantial costs, divert resources and the attention of management, and adversely affect our business, results of operations, financial condition and cash flows.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BlackLine more difficult and may impede attempts by our stockholders to replace or remove our current management, even if beneficial to our stockholders.</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third-party to acquire us or prevent a change in our management, even if doing so might be beneficial to our stockholders. Among other things:</w:t>
      </w:r>
    </w:p>
    <w:p>
      <w:pPr>
        <w:spacing w:after="0" w:line="63" w:lineRule="exact"/>
        <w:rPr>
          <w:sz w:val="20"/>
          <w:szCs w:val="20"/>
          <w:color w:val="auto"/>
        </w:rPr>
      </w:pPr>
    </w:p>
    <w:p>
      <w:pPr>
        <w:jc w:val="both"/>
        <w:ind w:left="980" w:hanging="648"/>
        <w:spacing w:after="0" w:line="26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w:t>
      </w:r>
    </w:p>
    <w:p>
      <w:pPr>
        <w:spacing w:after="0" w:line="117"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alteration, rescission or repeal of our amended and restated bylaws or of certain provisions of our amended and restated certificate of incorporation by our stockholders requires the affirmative vote of the holders of at least 75% of the voting power of our stock entitled to vote thereon, voting together as a single class outstanding; and</w:t>
      </w:r>
    </w:p>
    <w:p>
      <w:pPr>
        <w:spacing w:after="0" w:line="62"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are required to comply with advance notice requirements for nominations for elections to our Board or for proposing matters that can be acted upon by stockholders at stockholder meetings.</w:t>
      </w:r>
    </w:p>
    <w:p>
      <w:pPr>
        <w:spacing w:after="0" w:line="4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our company and stockholders; however, these groups could make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recommendations to our stockholders against our practices or our Board members if they disagree with our positions. 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BlackLine, including actions that our stockholders may deem advantageous, or negatively affect the trading price of our common stock.</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changes in the value of our common stock.</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have never declared or paid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and provided that this exclusive forum provision will not apply to suits brought to enforce any liability or duty created by the Securities Exchange Act of 1934, as amended (the “Exchange Act”).</w:t>
      </w:r>
    </w:p>
    <w:p>
      <w:pPr>
        <w:spacing w:after="0" w:line="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 However,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w:t>
      </w:r>
    </w:p>
    <w:p>
      <w:pPr>
        <w:spacing w:after="0" w:line="7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this provision. This exclusive forum provision in our amended and restated bylaws may limit a stockholder's ability to bring a claim in a judicial forum of its choosing for disputes with us or any of our directors, officers, or other employees, which may discourage lawsuits against us and our directors, officers, and other employees. If a court were to find the exclusive forum provision in our amended and restated bylaws to be inapplicable or unenforceable in an action, we could incur additional costs associated with resolving such action in other jurisdictions, which could harm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Convertible Senior Notes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Servicing our Notes may require a significant amount of cash and we may not have sufficient cash to settle conversions of the Notes in cash, to repurchase the Notes upon a fundamental change, or to repay the principal amount of the Notes in cash at their maturity, and our future debt may contain limitations on our ability to pay cash upon conversion or repurchase of the Notes.</w:t>
      </w:r>
    </w:p>
    <w:p>
      <w:pPr>
        <w:spacing w:after="0" w:line="5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March 31, 2026, we had $675.0 million aggregate principal amount of our 1.00% Convertible Senior Notes due in 2029 (the “2029 Notes”) outstanding.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6" w:name="page57"/>
    <w:bookmarkEnd w:id="56"/>
    <w:p>
      <w:pPr>
        <w:jc w:val="both"/>
        <w:ind w:firstLine="445"/>
        <w:spacing w:after="0" w:line="254" w:lineRule="auto"/>
        <w:rPr>
          <w:sz w:val="20"/>
          <w:szCs w:val="20"/>
          <w:color w:val="auto"/>
        </w:rPr>
      </w:pPr>
      <w:r>
        <w:rPr>
          <w:rFonts w:ascii="Arial" w:cs="Arial" w:eastAsia="Arial" w:hAnsi="Arial"/>
          <w:sz w:val="18"/>
          <w:szCs w:val="18"/>
          <w:color w:val="auto"/>
        </w:rPr>
        <w:t>Holders of the 2029 Notes will have the right to require us to repurchase all or a portion of the 2029 Notes upon the occurrence of a fundamental change before the maturity date at a repurchase price equal to 100% of the principal amount of the 2029 Notes to be repurchased, plus accrued and unpaid interest or special interest, if any, as described in the indenture governing the 2029 Notes. In addition, upon conversion of the 2029 Notes, unless we elect to deliver solely shares of our common stock to settle such conversion (other than paying cash in lieu of delivering any fractional share), we will be required to make cash payments in respect of the 2029 Notes being converted, as described in the indenture governing the 2029 Notes. Moreover, we will be required to repay the 2029 Notes in cash at maturity unless earlier converted, redeemed, or repurchased. However, we may not have enough available cash on hand or be able to obtain financing at the time we are required to make repurchases of the 2029 Notes surrendered therefor or pay cash with respect to the 2029 Notes being converted or at their respective maturity. Our ability to repay or refinance the 2029 Notes will depend on market conditions and our future performance, which is subject to economic, financial, competitive, and other factors beyond our control. Further, if the 2029 Notes convert and we elect to issue common stock in lieu of cash upon conversion, our existing stockholders could suffer significant dilution.</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our ability to repurchase the 2029 Notes or to pay cash upon conversions of the 2029 Notes or at maturity may be limited by law, regulatory authority, or agreements governing our future indebtedness. Our failure to repurchase the 2029 Notes at a time when the repurchase is required by the indenture governing the 2029 Notes or to pay cash upon conversion of the 2029 Notes or at maturity as required by the indenture governing the 2029 Notes would constitute a default under the indenture. A default under the indenture or the fundamental change itself could also lead to a default under agreements governing our existing and future indebtedness. Moreover, the occurrence of a fundamental change under the indenture governing the 2029 Notes could constitute an event of default under any such agreement. If the payment of the related indebtedness were to be accelerated after any applicable notice or grace periods, we may not have sufficient funds to repay such indebtedness and repurchase the 2029 Notes or pay cash with respect to the 2029 Notes being converted or at maturity of the 2029 Notes, which could harm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indebtedness may limit our operating flexibility or otherwise affect our business.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existing and future indebtedness could have important consequences to our stockholders and significant effects on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example, it could:</w:t>
      </w:r>
    </w:p>
    <w:p>
      <w:pPr>
        <w:spacing w:after="0" w:line="99"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 including the 2029 Notes;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flows from operations to payments on our indebtedness, thereby reducing the availability of our cash flows to fund working capital and other general corporate purposes;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us from exploiting business opportunities;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 and</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purposes.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results of operations or financial condition.</w:t>
      </w:r>
    </w:p>
    <w:p>
      <w:pPr>
        <w:spacing w:after="0" w:line="2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conditional conversion feature of the 2029 Notes, if triggered, may adversely affect our financial condition and operating results.</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the event the conditional conversion feature of the 2029 Notes is triggered, holders of the 2029 Notes will be entitled under the indenture governing the 2029 Notes to convert the 2029 Notes at any time during the specified periods at their option. At March 31, 2026, the conditional conversion feature of the 2029 Notes was not triggered. If the conditional conversion feature of the 2029 Notes is triggered and one or more holders elects to convert their 2029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in certain circumstances, such as conversions by holders or redemption, we could be required under applicable accounting rules to reclassify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7" w:name="page58"/>
    <w:bookmarkEnd w:id="57"/>
    <w:p>
      <w:pPr>
        <w:jc w:val="both"/>
        <w:spacing w:after="0" w:line="287" w:lineRule="auto"/>
        <w:rPr>
          <w:sz w:val="20"/>
          <w:szCs w:val="20"/>
          <w:color w:val="auto"/>
        </w:rPr>
      </w:pPr>
      <w:r>
        <w:rPr>
          <w:rFonts w:ascii="Arial" w:cs="Arial" w:eastAsia="Arial" w:hAnsi="Arial"/>
          <w:sz w:val="18"/>
          <w:szCs w:val="18"/>
          <w:color w:val="auto"/>
        </w:rPr>
        <w:t>all or certain of the outstanding principal of such series of 2029 Notes as a current rather than long-term liability, which would result in a material reduction of our net working capital.</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2029 Capped Calls may affect the value of our common stock and we are subject to counterparty risk with respect to the 2029 Capped Calls.</w:t>
      </w:r>
    </w:p>
    <w:p>
      <w:pPr>
        <w:spacing w:after="0" w:line="3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In connection with the issuance of the 2029 Notes, we entered into the 2029 Capped Calls with the counterparties with respect to the 2029 Notes.</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at any time prior to the maturity of the 2029 Notes (and are likely to do so on each exercise date of the 2029 Capped Calls). This activity could also cause or prevent an increase or a decrease in the market price of our common stock.</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global economic conditions have in the past resulted in the actual or perceived failure or financial difficulties of many financial institutions. The counterparties to the 2029 Capped Calls are financial institutions and we will be subject to the risk that one or more of the counterparties may default or otherwise fail to perform, or may exercise certain rights to terminate, their obligations under the 2029 Capped Calls. If a counterparty to one or more 2029 Capped Calls becomes subject to insolvency proceedings, we will become an unsecured creditor in those proceedings with a claim equal to our exposure at the time under such transaction. Our exposure will depend on many factors but, generally, it will increase if the market price or the volatility of our common stock increases. Upon a default or other failure to perform, or a termination of obligations, by a counterparty, we may suffer adverse tax consequences and more dilution than we currently anticipate with respect to our common stock. We can provide no assurances as to the financial stability or viability of the counterparties.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may not be available on acceptable terms, if at all.</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such as refinancing needs, the need to develop new features or enhance our existing solutions, or to improve our operating infrastructure or acquire complementary businesses and technologies. Accordingly, from time to time we have engaged in, and we may in the future need to engage in, equity or debt financing to secure additional funds, or we may opportunistically decide to raise capital.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or refinancing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the Dodd-Frank Wall Street Reform and Consumer Protection Act of 2010, the listing requirements of Nasdaq, and other applicable securities rules and regulations. Compliance with these rules and regulations increases our legal and financial compliance costs, makes some activities more difficult, time-consuming, or costly, and increases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on an annual basis. Additionally, our independent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registered public accounting firm is required to attest to the effectiveness of our internal control over financial reporting pursuant to Section</w:t>
      </w:r>
    </w:p>
    <w:p>
      <w:pPr>
        <w:spacing w:after="0" w:line="27" w:lineRule="exact"/>
        <w:rPr>
          <w:sz w:val="20"/>
          <w:szCs w:val="20"/>
          <w:color w:val="auto"/>
        </w:rPr>
      </w:pPr>
    </w:p>
    <w:p>
      <w:pPr>
        <w:jc w:val="both"/>
        <w:ind w:firstLine="8"/>
        <w:spacing w:after="0" w:line="255" w:lineRule="auto"/>
        <w:tabs>
          <w:tab w:leader="none" w:pos="4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result of the complexity involved in complying with the rules and regulations applicable to public companies, our management’s attention may be diverted from other business concerns, which could adversely affect our business and operating results. Although we have hired additional employees to assist us in complying with these requirements, we may need to hire more employees or engage outside consultants, which will increase our operating expenses.</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as a public company we have been targeted by activist stockholders from time to time. Responding to actions by activist stockholders could be costly and time-consuming and could disrupt our operations and divert the attention of management and our employees. Additionally, perceived uncertainties as to our future direction as a result of stockholder activism, or changes to the composition of our Board,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spacing w:after="0" w:line="7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Furthermore,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conditions, and operating results may be adversely affected.</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spacing w:after="0" w:line="5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w:t>
      </w:r>
    </w:p>
    <w:p>
      <w:pPr>
        <w:spacing w:after="0" w:line="6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Section 404 of the Sarbanes-Oxley Act has been and will continue to be time-consuming,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9" w:name="page60"/>
    <w:bookmarkEnd w:id="59"/>
    <w:p>
      <w:pPr>
        <w:jc w:val="both"/>
        <w:spacing w:after="0" w:line="268" w:lineRule="auto"/>
        <w:rPr>
          <w:sz w:val="20"/>
          <w:szCs w:val="20"/>
          <w:color w:val="auto"/>
        </w:rPr>
      </w:pPr>
      <w:r>
        <w:rPr>
          <w:rFonts w:ascii="Arial" w:cs="Arial" w:eastAsia="Arial" w:hAnsi="Arial"/>
          <w:sz w:val="18"/>
          <w:szCs w:val="18"/>
          <w:color w:val="auto"/>
        </w:rPr>
        <w:t>to stockholder lawsuits, litigation or investigations by the stock exchange on which our securities are listed, the SEC, or other regulatory authorities, which could require additional financial and management resources, and cause investor perceptions to be adversely affected and potentially resulting in restatement of our financial statements for prior periods and a decline in the market price of our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climate change, and other events beyond our control could harm our business.</w:t>
      </w:r>
    </w:p>
    <w:p>
      <w:pPr>
        <w:spacing w:after="0" w:line="11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Natural disasters, climate change, political instability, or other catastrophic events may cause damage or disruption to our operations, international commerce, and the global economy, and thus could have a strong negative effect on us. Our business operations are subject to interruption by natural disasters, climate-related events, pandemics, terrorism, political unrest, geopolitical instability, war, including the recent escalation of hostilities in Iran and surrounding nations, and other events beyond our control. As we increasingly locate our business operations in countries outside of the U.S., our exposure to these risks may be heightened. Although we maintain crisis management and disaster response plans, such events could make it difficult or impossible for us to deliver our solutions to our customers, could decrease demand for our solutions, and could cause us to incur substantial expense. A significant portion of our research and development activities, corporate headquarters, information technology systems and other critical business operations are located in California, which has experienced, and is projected to continue to experience, major earthquakes, floods, droughts, heat waves, wildfires, and power shutoffs associated with wildfire prevention. Significant recovery time could be required to resume operations and our business could be harmed in the event of a major earthquake or other catastrophic event. Our insurance may not be sufficient to cover related losses or additional expenses that we may sustain. In addition, we may be subject to increased regulations, reporting requirements, standards, or expectations regarding the environmental impacts of our business, and failure to comply with such regulations, requirements, standards or expectations could adversely affect our reputation, business or financial performance.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0" w:name="page61"/>
    <w:bookmarkEnd w:id="6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jc w:val="center"/>
        <w:ind w:right="98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5"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following table presents information with respect to our repurchases of common stock during the quarter ended March 31, 2026 (in thousands, except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Shares 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jc w:val="center"/>
              <w:ind w:right="100"/>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2"/>
                <w:szCs w:val="12"/>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24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 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Purchased Under Publicly</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Purchased and Retired</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100"/>
              <w:spacing w:after="0" w:line="189" w:lineRule="exact"/>
              <w:rPr>
                <w:sz w:val="20"/>
                <w:szCs w:val="20"/>
                <w:color w:val="auto"/>
              </w:rPr>
            </w:pPr>
            <w:r>
              <w:rPr>
                <w:rFonts w:ascii="Arial" w:cs="Arial" w:eastAsia="Arial" w:hAnsi="Arial"/>
                <w:sz w:val="14"/>
                <w:szCs w:val="14"/>
                <w:b w:val="1"/>
                <w:bCs w:val="1"/>
                <w:color w:val="auto"/>
                <w:w w:val="99"/>
              </w:rPr>
              <w:t>Announced Program</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1 - 31, 2026</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153,794</w:t>
            </w:r>
          </w:p>
        </w:tc>
        <w:tc>
          <w:tcPr>
            <w:tcW w:w="0" w:type="dxa"/>
            <w:vAlign w:val="bottom"/>
          </w:tcPr>
          <w:p>
            <w:pPr>
              <w:spacing w:after="0"/>
              <w:rPr>
                <w:sz w:val="1"/>
                <w:szCs w:val="1"/>
                <w:color w:val="auto"/>
              </w:rPr>
            </w:pPr>
          </w:p>
        </w:tc>
      </w:tr>
      <w:tr>
        <w:trPr>
          <w:trHeight w:val="247"/>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February 1 - 28, 2026</w:t>
            </w:r>
          </w:p>
        </w:tc>
        <w:tc>
          <w:tcPr>
            <w:tcW w:w="1740" w:type="dxa"/>
            <w:vAlign w:val="bottom"/>
          </w:tcPr>
          <w:p>
            <w:pPr>
              <w:jc w:val="right"/>
              <w:spacing w:after="0"/>
              <w:rPr>
                <w:sz w:val="20"/>
                <w:szCs w:val="20"/>
                <w:color w:val="auto"/>
              </w:rPr>
            </w:pPr>
            <w:r>
              <w:rPr>
                <w:rFonts w:ascii="Arial" w:cs="Arial" w:eastAsia="Arial" w:hAnsi="Arial"/>
                <w:sz w:val="18"/>
                <w:szCs w:val="18"/>
                <w:color w:val="auto"/>
              </w:rPr>
              <w:t>320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141,912</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1 - 31, 2026</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217,354</w:t>
            </w:r>
          </w:p>
        </w:tc>
        <w:tc>
          <w:tcPr>
            <w:tcW w:w="0" w:type="dxa"/>
            <w:vAlign w:val="bottom"/>
          </w:tcPr>
          <w:p>
            <w:pPr>
              <w:spacing w:after="0"/>
              <w:rPr>
                <w:sz w:val="1"/>
                <w:szCs w:val="1"/>
                <w:color w:val="auto"/>
              </w:rPr>
            </w:pPr>
          </w:p>
        </w:tc>
      </w:tr>
      <w:tr>
        <w:trPr>
          <w:trHeight w:val="25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80" w:hanging="172"/>
        <w:spacing w:after="0"/>
        <w:tabs>
          <w:tab w:leader="none" w:pos="207"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Under the Company’s stock repurchase program, which authorizes the periodic repurchase of its common stock, the Board of Directors (the “Board”) approved an increase to the stock repurchase program of an additional $100 million of common stock on March 13, 2026. This increased the total authorization for repurchases under the stock repurchase program from $400 million to $500 million. The repurchase program has no expiration date and may be suspended or discontinued at any time.</w:t>
      </w:r>
    </w:p>
    <w:p>
      <w:pPr>
        <w:spacing w:after="0" w:line="7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excludes cash paid for commissions.</w:t>
      </w:r>
    </w:p>
    <w:p>
      <w:pPr>
        <w:spacing w:after="0" w:line="71" w:lineRule="exact"/>
        <w:rPr>
          <w:rFonts w:ascii="Arial" w:cs="Arial" w:eastAsia="Arial" w:hAnsi="Arial"/>
          <w:sz w:val="21"/>
          <w:szCs w:val="21"/>
          <w:color w:val="auto"/>
          <w:vertAlign w:val="superscript"/>
        </w:rPr>
      </w:pPr>
    </w:p>
    <w:p>
      <w:pPr>
        <w:jc w:val="both"/>
        <w:ind w:left="180"/>
        <w:spacing w:after="0" w:line="256" w:lineRule="auto"/>
        <w:rPr>
          <w:rFonts w:ascii="Arial" w:cs="Arial" w:eastAsia="Arial" w:hAnsi="Arial"/>
          <w:sz w:val="21"/>
          <w:szCs w:val="21"/>
          <w:color w:val="auto"/>
          <w:vertAlign w:val="superscript"/>
        </w:rPr>
      </w:pPr>
      <w:r>
        <w:rPr>
          <w:rFonts w:ascii="Arial" w:cs="Arial" w:eastAsia="Arial" w:hAnsi="Arial"/>
          <w:sz w:val="18"/>
          <w:szCs w:val="18"/>
          <w:color w:val="auto"/>
        </w:rPr>
        <w:t xml:space="preserve">Repurchases may be made from time to time through open market repurchases or through privately-negotiated transactions subject to market conditions, applicable legal requirements, and other relevant factors. Open market </w:t>
      </w:r>
      <w:r>
        <w:rPr>
          <w:rFonts w:ascii="Arial" w:cs="Arial" w:eastAsia="Arial" w:hAnsi="Arial"/>
          <w:sz w:val="18"/>
          <w:szCs w:val="18"/>
          <w:b w:val="1"/>
          <w:bCs w:val="1"/>
          <w:color w:val="auto"/>
        </w:rPr>
        <w:t>repurchases</w:t>
      </w:r>
      <w:r>
        <w:rPr>
          <w:rFonts w:ascii="Arial" w:cs="Arial" w:eastAsia="Arial" w:hAnsi="Arial"/>
          <w:sz w:val="18"/>
          <w:szCs w:val="18"/>
          <w:color w:val="auto"/>
        </w:rPr>
        <w:t xml:space="preserve"> may be structured to occur in accordance with the requirements of Rule 10b-18 of the Securities Exchange Act of 1934, as amended. We may also, from time to time, enter into Rule 10b5-1 plans to facilitate repurchases of our shares under this authorization. The repurchase program does not obligate us to acquire any particular amount of our common stock, and it may be suspended at any time in our discretion. The timing and actual number of shares repurchased may depend on a variety of factors, including price, general business and market conditions, and alternative investment opportunities.</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On February 19, 2026, Greg Hughes, a member of our Board of Directors, adopted a “Rule 10b5-1 trading arrangement”, as defined in Regulation S-K Item 408. The trading arrangement provides for the sale, from time to time, of an aggregate of up to 1,637 shares of our common stock, and is intended to satisfy the affirmative defense in Rule 10b5-1(c). The duration of the trading arrangement is until February 22, 2027 or earlier if all transactions under the trading arrangement have been completed.</w:t>
      </w:r>
    </w:p>
    <w:p>
      <w:pPr>
        <w:spacing w:after="0" w:line="6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No other officers or directors, as defined in Rule 16a -1(f), adopted, modified, or terminated a Rule10b5-1 trading arrangement or non-Rule 10b5-1 trading arrangement, as defined in Regulation S-K Item 408, during the quarter ended March 31, 2026.</w:t>
      </w:r>
    </w:p>
    <w:p>
      <w:pPr>
        <w:spacing w:after="0" w:line="15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documents listed in the Exhibit Index of this Quarterly Report on Form 10-Q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61" w:name="page62"/>
    <w:bookmarkEnd w:id="61"/>
    <w:tbl>
      <w:tblPr>
        <w:tblLayout w:type="fixed"/>
        <w:tblInd w:w="660" w:type="dxa"/>
        <w:tblCellMar>
          <w:top w:w="0" w:type="dxa"/>
          <w:left w:w="0" w:type="dxa"/>
          <w:bottom w:w="0" w:type="dxa"/>
          <w:right w:w="0" w:type="dxa"/>
        </w:tblCellMar>
      </w:tblPr>
      <w:tr>
        <w:trPr>
          <w:trHeight w:val="247"/>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10"/>
          </w:tcPr>
          <w:p>
            <w:pPr>
              <w:ind w:left="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2"/>
        </w:trPr>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3"/>
                <w:szCs w:val="23"/>
                <w:color w:val="auto"/>
              </w:rPr>
            </w:pPr>
          </w:p>
        </w:tc>
        <w:tc>
          <w:tcPr>
            <w:tcW w:w="4660" w:type="dxa"/>
            <w:vAlign w:val="bottom"/>
            <w:gridSpan w:val="12"/>
            <w:vMerge w:val="restart"/>
          </w:tcPr>
          <w:p>
            <w:pPr>
              <w:ind w:left="18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466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60" w:type="dxa"/>
            <w:vAlign w:val="bottom"/>
            <w:tcBorders>
              <w:top w:val="single" w:sz="8" w:color="auto"/>
            </w:tcBorders>
            <w:gridSpan w:val="12"/>
          </w:tcPr>
          <w:p>
            <w:pPr>
              <w:spacing w:after="0"/>
              <w:rPr>
                <w:rFonts w:ascii="Arial" w:cs="Arial" w:eastAsia="Arial" w:hAnsi="Arial"/>
                <w:sz w:val="16"/>
                <w:szCs w:val="16"/>
                <w:color w:val="0000FF"/>
              </w:rPr>
            </w:pPr>
            <w:hyperlink r:id="rId80">
              <w:r>
                <w:rPr>
                  <w:rFonts w:ascii="Arial" w:cs="Arial" w:eastAsia="Arial" w:hAnsi="Arial"/>
                  <w:sz w:val="16"/>
                  <w:szCs w:val="16"/>
                  <w:color w:val="0000FF"/>
                </w:rPr>
                <w:t>Cooperation Letter Agreement, dated March 9, 2026,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the Company, Engaged Capital, LLC and certain other parties</w:t>
              </w:r>
            </w:hyperlink>
          </w:p>
        </w:tc>
        <w:tc>
          <w:tcPr>
            <w:tcW w:w="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6"/>
                <w:szCs w:val="16"/>
                <w:color w:val="auto"/>
                <w:w w:val="9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0000FF"/>
              </w:rPr>
              <w:t>Employment Agreement Amendment between the Company and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Owen Ryan, signed May 6, 2026</w:t>
            </w:r>
          </w:p>
        </w:tc>
        <w:tc>
          <w:tcPr>
            <w:tcW w:w="22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Exchange Act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Rules 13a-14(a) and 15d-14(a), as adopted pursuant to Section</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17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0000FF"/>
              </w:rPr>
              <w:t>Certification of Chief Financial Officer pursuant to Exchange Act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Rules 13a-14(a) and 15d-14(a), as adopted pursuant to Section</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176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Certifications of Chief Executive Officer and Chief Financial</w:t>
            </w:r>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gridSpan w:val="12"/>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to Section 906 of the Sarbanes-Oxley Act of 2002</w:t>
            </w:r>
          </w:p>
        </w:tc>
        <w:tc>
          <w:tcPr>
            <w:tcW w:w="1040" w:type="dxa"/>
            <w:vAlign w:val="bottom"/>
            <w:tcBorders>
              <w:top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20" w:type="dxa"/>
            <w:vAlign w:val="bottom"/>
            <w:gridSpan w:val="2"/>
          </w:tcPr>
          <w:p>
            <w:pPr>
              <w:ind w:left="16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2"/>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431"/>
        </w:trPr>
        <w:tc>
          <w:tcPr>
            <w:tcW w:w="1020" w:type="dxa"/>
            <w:vAlign w:val="bottom"/>
            <w:gridSpan w:val="2"/>
          </w:tcPr>
          <w:p>
            <w:pPr>
              <w:ind w:left="1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80"/>
        </w:trPr>
        <w:tc>
          <w:tcPr>
            <w:tcW w:w="1020" w:type="dxa"/>
            <w:vAlign w:val="bottom"/>
            <w:gridSpan w:val="2"/>
          </w:tcPr>
          <w:p>
            <w:pPr>
              <w:ind w:left="1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431"/>
        </w:trPr>
        <w:tc>
          <w:tcPr>
            <w:tcW w:w="1020" w:type="dxa"/>
            <w:vAlign w:val="bottom"/>
            <w:gridSpan w:val="2"/>
          </w:tcPr>
          <w:p>
            <w:pPr>
              <w:ind w:left="1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ind w:left="1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380"/>
        </w:trPr>
        <w:tc>
          <w:tcPr>
            <w:tcW w:w="1020" w:type="dxa"/>
            <w:vAlign w:val="bottom"/>
            <w:gridSpan w:val="2"/>
          </w:tcPr>
          <w:p>
            <w:pPr>
              <w:ind w:left="1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700" w:right="100" w:hanging="720"/>
        <w:spacing w:after="0" w:line="251" w:lineRule="auto"/>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r>
      <w:tr>
        <w:trPr>
          <w:trHeight w:val="383"/>
        </w:trPr>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001-37924</w:t>
            </w:r>
          </w:p>
        </w:tc>
        <w:tc>
          <w:tcPr>
            <w:tcW w:w="12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rPr>
              <w:t>March 10, 2025</w:t>
            </w:r>
          </w:p>
        </w:tc>
      </w:tr>
    </w:tbl>
    <w:p>
      <w:pPr>
        <w:spacing w:after="0" w:line="6553" w:lineRule="exact"/>
        <w:rPr>
          <w:sz w:val="20"/>
          <w:szCs w:val="20"/>
          <w:color w:val="auto"/>
        </w:rPr>
      </w:pPr>
    </w:p>
    <w:p>
      <w:pPr>
        <w:sectPr>
          <w:pgSz w:w="11900" w:h="16838" w:orient="portrait"/>
          <w:cols w:equalWidth="0" w:num="2">
            <w:col w:w="6360" w:space="120"/>
            <w:col w:w="4760"/>
          </w:cols>
          <w:pgMar w:left="320" w:top="1106" w:right="339" w:bottom="1440" w:gutter="0" w:footer="0" w:header="0"/>
        </w:sectPr>
      </w:pPr>
    </w:p>
    <w:p>
      <w:pPr>
        <w:spacing w:after="0" w:line="72" w:lineRule="exact"/>
        <w:rPr>
          <w:sz w:val="20"/>
          <w:szCs w:val="20"/>
          <w:color w:val="auto"/>
        </w:rPr>
      </w:pPr>
    </w:p>
    <w:p>
      <w:pPr>
        <w:jc w:val="both"/>
        <w:ind w:left="980" w:hanging="972"/>
        <w:spacing w:after="0" w:line="262" w:lineRule="auto"/>
        <w:tabs>
          <w:tab w:leader="none" w:pos="9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55" w:lineRule="exact"/>
        <w:rPr>
          <w:sz w:val="20"/>
          <w:szCs w:val="20"/>
          <w:color w:val="auto"/>
        </w:rPr>
      </w:pPr>
    </w:p>
    <w:p>
      <w:pPr>
        <w:ind w:left="980" w:right="20" w:hanging="972"/>
        <w:spacing w:after="0" w:line="271" w:lineRule="auto"/>
        <w:tabs>
          <w:tab w:leader="none" w:pos="3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personally identifiable information of this exhibit has been omitted pursuant to Item 601(a)(6) of Regulation S-K. *** indicates that information has been redacted.</w:t>
      </w:r>
    </w:p>
    <w:p>
      <w:pPr>
        <w:spacing w:after="0" w:line="46"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BlackLine, Inc.</w:t>
      </w:r>
    </w:p>
    <w:p>
      <w:pPr>
        <w:spacing w:after="0" w:line="29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By: /s/ Owen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17780</wp:posOffset>
            </wp:positionV>
            <wp:extent cx="22459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Owen Ryan</w:t>
      </w:r>
    </w:p>
    <w:p>
      <w:pPr>
        <w:spacing w:after="0" w:line="3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2026</w:t>
      </w:r>
    </w:p>
    <w:p>
      <w:pPr>
        <w:spacing w:after="0" w:line="200" w:lineRule="exact"/>
        <w:rPr>
          <w:sz w:val="20"/>
          <w:szCs w:val="20"/>
          <w:color w:val="auto"/>
        </w:rPr>
      </w:pPr>
    </w:p>
    <w:p>
      <w:pPr>
        <w:spacing w:after="0" w:line="25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By: /s/ Patrick Villanova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17780</wp:posOffset>
            </wp:positionV>
            <wp:extent cx="22459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Patrick Villanova</w:t>
      </w:r>
    </w:p>
    <w:p>
      <w:pPr>
        <w:spacing w:after="0" w:line="3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0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6,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Owen:</w:t>
      </w:r>
    </w:p>
    <w:p>
      <w:pPr>
        <w:spacing w:after="0" w:line="2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As we’ve discussed, this letter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amends your Employment Agreement (the “</w:t>
      </w:r>
      <w:r>
        <w:rPr>
          <w:rFonts w:ascii="Arial" w:cs="Arial" w:eastAsia="Arial" w:hAnsi="Arial"/>
          <w:sz w:val="18"/>
          <w:szCs w:val="18"/>
          <w:b w:val="1"/>
          <w:bCs w:val="1"/>
          <w:color w:val="auto"/>
        </w:rPr>
        <w:t>Original 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Blackline, Inc. (the “</w:t>
      </w:r>
      <w:r>
        <w:rPr>
          <w:rFonts w:ascii="Arial" w:cs="Arial" w:eastAsia="Arial" w:hAnsi="Arial"/>
          <w:sz w:val="18"/>
          <w:szCs w:val="18"/>
          <w:b w:val="1"/>
          <w:bCs w:val="1"/>
          <w:color w:val="auto"/>
        </w:rPr>
        <w:t>Company</w:t>
      </w:r>
      <w:r>
        <w:rPr>
          <w:rFonts w:ascii="Arial" w:cs="Arial" w:eastAsia="Arial" w:hAnsi="Arial"/>
          <w:sz w:val="18"/>
          <w:szCs w:val="18"/>
          <w:color w:val="auto"/>
        </w:rPr>
        <w:t>”), dated March 6, 2023. This Amendment is effective as the date of your signature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9(c) of the Original Employment Agreement.</w:t>
      </w:r>
    </w:p>
    <w:p>
      <w:pPr>
        <w:spacing w:after="0" w:line="171"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 xml:space="preserve">The scrivener’s error in Section 5(b)(ii) is hereby corrected by deleting the current introductory language and replacing it with the following to make it clear that the only resignation for which benefits are payable under this section is a resignation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Good Reason:</w:t>
      </w:r>
    </w:p>
    <w:p>
      <w:pPr>
        <w:spacing w:after="0" w:line="153"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u w:val="single" w:color="auto"/>
          <w:color w:val="auto"/>
        </w:rPr>
        <w:t>Termination Without Cause Outside of a Change of Control Period</w:t>
      </w:r>
      <w:r>
        <w:rPr>
          <w:rFonts w:ascii="Arial" w:cs="Arial" w:eastAsia="Arial" w:hAnsi="Arial"/>
          <w:sz w:val="18"/>
          <w:szCs w:val="18"/>
          <w:color w:val="auto"/>
        </w:rPr>
        <w:t>. If Executive’s employment is terminated by the Company outside of a Change of Control Period without Cause other than for death or Disability or Executive resigns for Good Reason, then Executive will receive:</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This change is the only change made to the Original Employment Agreement, which otherwise remains in full force and effect according to its terms. Both you and the Company acknowledge that you transitioned to being the Company’s sole CEO on October 1, 2025, and that in connection with that transition your base salary was increased to $600,000 (all as disclosed on the Form 8-K the Company filed on August 5, 2025).</w:t>
      </w:r>
    </w:p>
    <w:p>
      <w:pPr>
        <w:spacing w:after="0" w:line="176"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All issues and questions concerning the construction, validity, enforcement and interpretation of this Amendment will be governed by, and construed in accordance with, Section 9 of the Original Employment Agreement.</w:t>
      </w:r>
    </w:p>
    <w:p>
      <w:pPr>
        <w:spacing w:after="0" w:line="15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This Agreement may be executed in counterparts. Each counterpart will have the same force and effect as an original and will constitute an effective, binding agreement. Please sign below to acknowledge your acceptance of the terms of this Second Amendment.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is signing this Agreement on the date set out below its signature.</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BlackLine, Inc.</w:t>
            </w: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Owen Ryan</w:t>
            </w:r>
          </w:p>
        </w:tc>
      </w:tr>
      <w:tr>
        <w:trPr>
          <w:trHeight w:val="55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 Mika Yamamoto</w:t>
            </w:r>
          </w:p>
        </w:tc>
        <w:tc>
          <w:tcPr>
            <w:tcW w:w="3660" w:type="dxa"/>
            <w:vAlign w:val="bottom"/>
          </w:tcPr>
          <w:p>
            <w:pPr>
              <w:ind w:left="20"/>
              <w:spacing w:after="0"/>
              <w:rPr>
                <w:sz w:val="20"/>
                <w:szCs w:val="20"/>
                <w:color w:val="auto"/>
              </w:rPr>
            </w:pPr>
            <w:r>
              <w:rPr>
                <w:rFonts w:ascii="Arial" w:cs="Arial" w:eastAsia="Arial" w:hAnsi="Arial"/>
                <w:sz w:val="18"/>
                <w:szCs w:val="18"/>
                <w:color w:val="auto"/>
              </w:rPr>
              <w:t>/s/ Owen Ryan</w:t>
            </w:r>
          </w:p>
        </w:tc>
      </w:tr>
      <w:tr>
        <w:trPr>
          <w:trHeight w:val="23"/>
        </w:trPr>
        <w:tc>
          <w:tcPr>
            <w:tcW w:w="366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By: Mika Yamamoto, Director</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24"/>
        </w:trPr>
        <w:tc>
          <w:tcPr>
            <w:tcW w:w="3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5/6/2026</w:t>
            </w:r>
          </w:p>
        </w:tc>
      </w:tr>
      <w:tr>
        <w:trPr>
          <w:trHeight w:val="23"/>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0"/>
        </w:trPr>
        <w:tc>
          <w:tcPr>
            <w:tcW w:w="3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87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Owen Ryan, certify that:</w:t>
      </w:r>
    </w:p>
    <w:p>
      <w:pPr>
        <w:spacing w:after="0" w:line="117"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BlackLine, Inc.;</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0" w:hanging="644"/>
        <w:spacing w:after="0" w:line="268"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7840" w:type="dxa"/>
            <w:vAlign w:val="bottom"/>
          </w:tcPr>
          <w:p>
            <w:pPr>
              <w:spacing w:after="0"/>
              <w:rPr>
                <w:sz w:val="20"/>
                <w:szCs w:val="20"/>
                <w:color w:val="auto"/>
              </w:rPr>
            </w:pPr>
            <w:r>
              <w:rPr>
                <w:rFonts w:ascii="Arial" w:cs="Arial" w:eastAsia="Arial" w:hAnsi="Arial"/>
                <w:sz w:val="18"/>
                <w:szCs w:val="18"/>
                <w:color w:val="auto"/>
              </w:rPr>
              <w:t>Date: May 7, 2026</w:t>
            </w:r>
          </w:p>
        </w:tc>
        <w:tc>
          <w:tcPr>
            <w:tcW w:w="3380" w:type="dxa"/>
            <w:vAlign w:val="bottom"/>
          </w:tcPr>
          <w:p>
            <w:pPr>
              <w:ind w:left="20"/>
              <w:spacing w:after="0"/>
              <w:rPr>
                <w:sz w:val="20"/>
                <w:szCs w:val="20"/>
                <w:color w:val="auto"/>
              </w:rPr>
            </w:pPr>
            <w:r>
              <w:rPr>
                <w:rFonts w:ascii="Arial" w:cs="Arial" w:eastAsia="Arial" w:hAnsi="Arial"/>
                <w:sz w:val="18"/>
                <w:szCs w:val="18"/>
                <w:color w:val="auto"/>
              </w:rPr>
              <w:t>BLACKLINE, INC.</w:t>
            </w:r>
          </w:p>
        </w:tc>
        <w:tc>
          <w:tcPr>
            <w:tcW w:w="0" w:type="dxa"/>
            <w:vAlign w:val="bottom"/>
          </w:tcPr>
          <w:p>
            <w:pPr>
              <w:spacing w:after="0"/>
              <w:rPr>
                <w:sz w:val="1"/>
                <w:szCs w:val="1"/>
                <w:color w:val="auto"/>
              </w:rPr>
            </w:pPr>
          </w:p>
        </w:tc>
      </w:tr>
      <w:tr>
        <w:trPr>
          <w:trHeight w:val="297"/>
        </w:trPr>
        <w:tc>
          <w:tcPr>
            <w:tcW w:w="7840" w:type="dxa"/>
            <w:vAlign w:val="bottom"/>
          </w:tcPr>
          <w:p>
            <w:pPr>
              <w:ind w:left="6940"/>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Owen Ryan</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6940"/>
              <w:spacing w:after="0"/>
              <w:rPr>
                <w:sz w:val="20"/>
                <w:szCs w:val="20"/>
                <w:color w:val="auto"/>
              </w:rPr>
            </w:pPr>
            <w:r>
              <w:rPr>
                <w:rFonts w:ascii="Arial" w:cs="Arial" w:eastAsia="Arial" w:hAnsi="Arial"/>
                <w:sz w:val="18"/>
                <w:szCs w:val="18"/>
                <w:color w:val="auto"/>
              </w:rPr>
              <w:t>Name:</w:t>
            </w: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840" w:type="dxa"/>
            <w:vAlign w:val="bottom"/>
            <w:vMerge w:val="continue"/>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Owen Ryan</w:t>
            </w:r>
          </w:p>
        </w:tc>
        <w:tc>
          <w:tcPr>
            <w:tcW w:w="0" w:type="dxa"/>
            <w:vAlign w:val="bottom"/>
          </w:tcPr>
          <w:p>
            <w:pPr>
              <w:spacing w:after="0"/>
              <w:rPr>
                <w:sz w:val="1"/>
                <w:szCs w:val="1"/>
                <w:color w:val="auto"/>
              </w:rPr>
            </w:pPr>
          </w:p>
        </w:tc>
      </w:tr>
      <w:tr>
        <w:trPr>
          <w:trHeight w:val="247"/>
        </w:trPr>
        <w:tc>
          <w:tcPr>
            <w:tcW w:w="7840" w:type="dxa"/>
            <w:vAlign w:val="bottom"/>
          </w:tcPr>
          <w:p>
            <w:pPr>
              <w:ind w:left="6940"/>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9"/>
        </w:trPr>
        <w:tc>
          <w:tcPr>
            <w:tcW w:w="784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Patrick Villanova, certify that:</w:t>
      </w:r>
    </w:p>
    <w:p>
      <w:pPr>
        <w:spacing w:after="0" w:line="117"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BlackLine, Inc.;</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0" w:hanging="644"/>
        <w:spacing w:after="0" w:line="268"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8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3380" w:type="dxa"/>
            <w:vAlign w:val="bottom"/>
          </w:tcPr>
          <w:p>
            <w:pPr>
              <w:ind w:left="20"/>
              <w:spacing w:after="0"/>
              <w:rPr>
                <w:sz w:val="20"/>
                <w:szCs w:val="20"/>
                <w:color w:val="auto"/>
              </w:rPr>
            </w:pPr>
            <w:r>
              <w:rPr>
                <w:rFonts w:ascii="Arial" w:cs="Arial" w:eastAsia="Arial" w:hAnsi="Arial"/>
                <w:sz w:val="18"/>
                <w:szCs w:val="18"/>
                <w:color w:val="auto"/>
              </w:rPr>
              <w:t>BLACKLINE, INC.</w:t>
            </w:r>
          </w:p>
        </w:tc>
        <w:tc>
          <w:tcPr>
            <w:tcW w:w="0" w:type="dxa"/>
            <w:vAlign w:val="bottom"/>
          </w:tcPr>
          <w:p>
            <w:pPr>
              <w:spacing w:after="0"/>
              <w:rPr>
                <w:sz w:val="1"/>
                <w:szCs w:val="1"/>
                <w:color w:val="auto"/>
              </w:rPr>
            </w:pPr>
          </w:p>
        </w:tc>
      </w:tr>
      <w:tr>
        <w:trPr>
          <w:trHeight w:val="149"/>
        </w:trPr>
        <w:tc>
          <w:tcPr>
            <w:tcW w:w="784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840" w:type="dxa"/>
            <w:vAlign w:val="bottom"/>
          </w:tcPr>
          <w:p>
            <w:pPr>
              <w:ind w:left="6940"/>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Patrick Villanova</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6940"/>
              <w:spacing w:after="0"/>
              <w:rPr>
                <w:sz w:val="20"/>
                <w:szCs w:val="20"/>
                <w:color w:val="auto"/>
              </w:rPr>
            </w:pPr>
            <w:r>
              <w:rPr>
                <w:rFonts w:ascii="Arial" w:cs="Arial" w:eastAsia="Arial" w:hAnsi="Arial"/>
                <w:sz w:val="18"/>
                <w:szCs w:val="18"/>
                <w:color w:val="auto"/>
              </w:rPr>
              <w:t>Name:</w:t>
            </w: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840" w:type="dxa"/>
            <w:vAlign w:val="bottom"/>
            <w:vMerge w:val="continue"/>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Patrick Villanova</w:t>
            </w:r>
          </w:p>
        </w:tc>
        <w:tc>
          <w:tcPr>
            <w:tcW w:w="0" w:type="dxa"/>
            <w:vAlign w:val="bottom"/>
          </w:tcPr>
          <w:p>
            <w:pPr>
              <w:spacing w:after="0"/>
              <w:rPr>
                <w:sz w:val="1"/>
                <w:szCs w:val="1"/>
                <w:color w:val="auto"/>
              </w:rPr>
            </w:pPr>
          </w:p>
        </w:tc>
      </w:tr>
      <w:tr>
        <w:trPr>
          <w:trHeight w:val="247"/>
        </w:trPr>
        <w:tc>
          <w:tcPr>
            <w:tcW w:w="7840" w:type="dxa"/>
            <w:vAlign w:val="bottom"/>
          </w:tcPr>
          <w:p>
            <w:pPr>
              <w:ind w:left="6940"/>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9"/>
        </w:trPr>
        <w:tc>
          <w:tcPr>
            <w:tcW w:w="784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 Owen Ryan, certify, pursuant to 18 U.S.C. Section 1350, as adopted pursuant to Section 906 of the Sarbanes-Oxley Act of 2002, that the Quarterly Report on Form 10-Q of BlackLine, Inc.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BlackLine, Inc.</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Date: May 7, 2026</w:t>
            </w:r>
          </w:p>
        </w:tc>
        <w:tc>
          <w:tcPr>
            <w:tcW w:w="3700" w:type="dxa"/>
            <w:vAlign w:val="bottom"/>
          </w:tcPr>
          <w:p>
            <w:pPr>
              <w:ind w:left="2880"/>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Owen Ryan</w:t>
            </w: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3700" w:type="dxa"/>
            <w:vAlign w:val="bottom"/>
          </w:tcPr>
          <w:p>
            <w:pPr>
              <w:ind w:left="2880"/>
              <w:spacing w:after="0"/>
              <w:rPr>
                <w:sz w:val="20"/>
                <w:szCs w:val="20"/>
                <w:color w:val="auto"/>
              </w:rPr>
            </w:pPr>
            <w:r>
              <w:rPr>
                <w:rFonts w:ascii="Arial" w:cs="Arial" w:eastAsia="Arial" w:hAnsi="Arial"/>
                <w:sz w:val="18"/>
                <w:szCs w:val="18"/>
                <w:color w:val="auto"/>
              </w:rPr>
              <w:t>Name:</w:t>
            </w:r>
          </w:p>
        </w:tc>
        <w:tc>
          <w:tcPr>
            <w:tcW w:w="3180" w:type="dxa"/>
            <w:vAlign w:val="bottom"/>
            <w:vMerge w:val="restart"/>
          </w:tcPr>
          <w:p>
            <w:pPr>
              <w:ind w:left="20"/>
              <w:spacing w:after="0"/>
              <w:rPr>
                <w:sz w:val="20"/>
                <w:szCs w:val="20"/>
                <w:color w:val="auto"/>
              </w:rPr>
            </w:pPr>
            <w:r>
              <w:rPr>
                <w:rFonts w:ascii="Arial" w:cs="Arial" w:eastAsia="Arial" w:hAnsi="Arial"/>
                <w:sz w:val="18"/>
                <w:szCs w:val="18"/>
                <w:color w:val="auto"/>
              </w:rPr>
              <w:t>Owen Ryan</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700" w:type="dxa"/>
            <w:vAlign w:val="bottom"/>
          </w:tcPr>
          <w:p>
            <w:pPr>
              <w:ind w:left="2880"/>
              <w:spacing w:after="0" w:line="189" w:lineRule="exact"/>
              <w:rPr>
                <w:sz w:val="20"/>
                <w:szCs w:val="20"/>
                <w:color w:val="auto"/>
              </w:rPr>
            </w:pPr>
            <w:r>
              <w:rPr>
                <w:rFonts w:ascii="Arial" w:cs="Arial" w:eastAsia="Arial" w:hAnsi="Arial"/>
                <w:sz w:val="18"/>
                <w:szCs w:val="18"/>
                <w:color w:val="auto"/>
              </w:rPr>
              <w:t>Title:</w:t>
            </w:r>
          </w:p>
        </w:tc>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Patrick Villanova, certify, pursuant to 18 U.S.C. Section 1350, as adopted pursuant to Section 906 of the Sarbanes-Oxley Act of 2002, that the Quarterly Report on Form 10-Q of BlackLine, Inc.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BlackLine, Inc.</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Date: May 7, 2026</w:t>
            </w:r>
          </w:p>
        </w:tc>
        <w:tc>
          <w:tcPr>
            <w:tcW w:w="3700" w:type="dxa"/>
            <w:vAlign w:val="bottom"/>
          </w:tcPr>
          <w:p>
            <w:pPr>
              <w:ind w:left="2880"/>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Villanova</w:t>
            </w:r>
          </w:p>
        </w:tc>
      </w:tr>
      <w:tr>
        <w:trPr>
          <w:trHeight w:val="218"/>
        </w:trPr>
        <w:tc>
          <w:tcPr>
            <w:tcW w:w="4340" w:type="dxa"/>
            <w:vAlign w:val="bottom"/>
          </w:tcPr>
          <w:p>
            <w:pPr>
              <w:spacing w:after="0"/>
              <w:rPr>
                <w:sz w:val="18"/>
                <w:szCs w:val="18"/>
                <w:color w:val="auto"/>
              </w:rPr>
            </w:pPr>
          </w:p>
        </w:tc>
        <w:tc>
          <w:tcPr>
            <w:tcW w:w="3700" w:type="dxa"/>
            <w:vAlign w:val="bottom"/>
          </w:tcPr>
          <w:p>
            <w:pPr>
              <w:ind w:left="2880"/>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Patrick Villanova</w:t>
            </w:r>
          </w:p>
        </w:tc>
      </w:tr>
      <w:tr>
        <w:trPr>
          <w:trHeight w:val="181"/>
        </w:trPr>
        <w:tc>
          <w:tcPr>
            <w:tcW w:w="4340" w:type="dxa"/>
            <w:vAlign w:val="bottom"/>
          </w:tcPr>
          <w:p>
            <w:pPr>
              <w:spacing w:after="0"/>
              <w:rPr>
                <w:sz w:val="15"/>
                <w:szCs w:val="15"/>
                <w:color w:val="auto"/>
              </w:rPr>
            </w:pPr>
          </w:p>
        </w:tc>
        <w:tc>
          <w:tcPr>
            <w:tcW w:w="3700" w:type="dxa"/>
            <w:vAlign w:val="bottom"/>
          </w:tcPr>
          <w:p>
            <w:pPr>
              <w:ind w:left="2880"/>
              <w:spacing w:after="0" w:line="181" w:lineRule="exact"/>
              <w:rPr>
                <w:sz w:val="20"/>
                <w:szCs w:val="20"/>
                <w:color w:val="auto"/>
              </w:rPr>
            </w:pPr>
            <w:r>
              <w:rPr>
                <w:rFonts w:ascii="Arial" w:cs="Arial" w:eastAsia="Arial" w:hAnsi="Arial"/>
                <w:sz w:val="18"/>
                <w:szCs w:val="18"/>
                <w:color w:val="auto"/>
              </w:rPr>
              <w:t>Title:</w:t>
            </w:r>
          </w:p>
        </w:tc>
        <w:tc>
          <w:tcPr>
            <w:tcW w:w="318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w:t>
            </w:r>
          </w:p>
        </w:tc>
      </w:tr>
      <w:tr>
        <w:trPr>
          <w:trHeight w:val="239"/>
        </w:trPr>
        <w:tc>
          <w:tcPr>
            <w:tcW w:w="4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404"/>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0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0" Type="http://schemas.openxmlformats.org/officeDocument/2006/relationships/hyperlink" Target="https://www.sec.gov/ix?doc=/Archives/edgar/data/1666134/000119312526100451/d12123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2026-05-07T15:54:09Z</dcterms:created>
  <dcterms:modified xsi:type="dcterms:W3CDTF">2026-05-07T15:54:09Z</dcterms:modified>
</cp:coreProperties>
</file>