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Villanova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21300 VICTORY BLVD., 12TH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BLACKLINE,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131,812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became exercisable based on the following vesting schedule: The shares subject to the option vested in 4 equal, annual installments beginning on the one-year anniversary of the grant date, subject to the reporting person's continued service through each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Karole Morgan-Prager,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8119" TargetMode="External"/><Relationship Id="rId5" Type="http://schemas.openxmlformats.org/officeDocument/2006/relationships/hyperlink" Target="http://www.sec.gov/cgi-bin/browse-edgar?action=getcompany&amp;CIK=00016661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3404</Characters>
  <CharactersWithSpaces>3949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