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Tucker Therese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21300 VICTORY BLVD., 12TH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WOODLAND HILLS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91367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BLACKLINE, INC.</w:t>
              </w:r>
            </w:hyperlink>
            <w:r>
              <w:rPr/>
              <w:t xml:space="preserve"> [ </w:t>
            </w:r>
            <w:r>
              <w:rPr>
                <w:rFonts w:ascii="Times;serif" w:hAnsi="Times;serif"/>
                <w:color w:val="0000FF"/>
                <w:sz w:val="24"/>
                <w:shd w:fill="FFFFFF" w:val="clear"/>
              </w:rPr>
              <w:t>BL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26"/>
        <w:gridCol w:w="917"/>
        <w:gridCol w:w="788"/>
        <w:gridCol w:w="609"/>
        <w:gridCol w:w="337"/>
        <w:gridCol w:w="901"/>
        <w:gridCol w:w="414"/>
        <w:gridCol w:w="892"/>
        <w:gridCol w:w="1239"/>
        <w:gridCol w:w="956"/>
        <w:gridCol w:w="12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424,997</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26,560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451,557</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31.957</w:t>
            </w:r>
            <w:r>
              <w:rPr>
                <w:rFonts w:ascii="Times;serif" w:hAnsi="Times;serif"/>
                <w:color w:val="008000"/>
                <w:position w:val="7"/>
                <w:sz w:val="16"/>
                <w:sz w:val="20"/>
                <w:shd w:fill="FFFFFF" w:val="clear"/>
              </w:rPr>
              <w:t>(1)</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381,557</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100,178</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Brian and Therese Tucker Charitable Remainder Trust</w:t>
            </w:r>
          </w:p>
        </w:tc>
      </w:tr>
      <w:tr>
        <w:trPr/>
        <w:tc>
          <w:tcPr>
            <w:tcW w:w="19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1,509,881</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Brian and Therese Tucker Living Trust</w:t>
            </w:r>
          </w:p>
        </w:tc>
      </w:tr>
      <w:tr>
        <w:trPr/>
        <w:tc>
          <w:tcPr>
            <w:tcW w:w="19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54,074</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Claire Seimetz 2015 Trust</w:t>
            </w:r>
          </w:p>
        </w:tc>
      </w:tr>
      <w:tr>
        <w:trPr/>
        <w:tc>
          <w:tcPr>
            <w:tcW w:w="19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577,200</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Isaac Tucker 2012 Irrevocable Trust</w:t>
            </w:r>
          </w:p>
        </w:tc>
      </w:tr>
      <w:tr>
        <w:trPr/>
        <w:tc>
          <w:tcPr>
            <w:tcW w:w="19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577,200</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Roseanna Tucker 2012 Irrevocable Trust</w:t>
            </w:r>
          </w:p>
        </w:tc>
      </w:tr>
      <w:tr>
        <w:trPr/>
        <w:tc>
          <w:tcPr>
            <w:tcW w:w="19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52,444</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Tucker Family CLAT</w:t>
            </w:r>
          </w:p>
        </w:tc>
      </w:tr>
      <w:tr>
        <w:trPr/>
        <w:tc>
          <w:tcPr>
            <w:tcW w:w="19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874,128</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Tucker Legacy Trust</w:t>
            </w:r>
          </w:p>
        </w:tc>
      </w:tr>
      <w:tr>
        <w:trPr/>
        <w:tc>
          <w:tcPr>
            <w:tcW w:w="19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129,897</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Tucker Legacy Trust II</w:t>
            </w:r>
          </w:p>
        </w:tc>
      </w:tr>
      <w:tr>
        <w:trPr/>
        <w:tc>
          <w:tcPr>
            <w:tcW w:w="19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250,916</w:t>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Tucker Seimetz Safety Net Grat</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10/16/2026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26,560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26,560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10/16/2026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price represents the weighted-average price of shares sold ranging from $31.78 to $32.14 per share, and is rounded to the nearest tenth of a cent. Upon request by the Securities and Exchange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became exercisable based on the following vesting schedule: The shares subject to the option vested in 4 equal, annual installments beginning on the one-year anniversary of the grant date, subject to the reporting person's continued service through each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Karole Morgan-Prager,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8365" TargetMode="External"/><Relationship Id="rId5" Type="http://schemas.openxmlformats.org/officeDocument/2006/relationships/hyperlink" Target="http://www.sec.gov/cgi-bin/browse-edgar?action=getcompany&amp;CIK=00016661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806</Words>
  <Characters>4320</Characters>
  <CharactersWithSpaces>4983</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