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222885</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134620</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4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December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203200</wp:posOffset>
            </wp:positionV>
            <wp:extent cx="1817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BLACKLINE, INC.</w:t>
      </w:r>
    </w:p>
    <w:p>
      <w:pPr>
        <w:sectPr>
          <w:pgSz w:w="11900" w:h="16838" w:orient="portrait"/>
          <w:cols w:equalWidth="0" w:num="1">
            <w:col w:w="11020"/>
          </w:cols>
          <w:pgMar w:left="440" w:top="52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left="420"/>
        <w:spacing w:after="0"/>
        <w:rPr>
          <w:sz w:val="20"/>
          <w:szCs w:val="20"/>
          <w:color w:val="auto"/>
        </w:rPr>
      </w:pPr>
      <w:r>
        <w:rPr>
          <w:rFonts w:ascii="Arial" w:cs="Arial" w:eastAsia="Arial" w:hAnsi="Arial"/>
          <w:sz w:val="18"/>
          <w:szCs w:val="18"/>
          <w:b w:val="1"/>
          <w:bCs w:val="1"/>
          <w:color w:val="auto"/>
        </w:rPr>
        <w:t>Delaware</w:t>
      </w:r>
    </w:p>
    <w:p>
      <w:pPr>
        <w:spacing w:after="0" w:line="193" w:lineRule="exact"/>
        <w:rPr>
          <w:sz w:val="24"/>
          <w:szCs w:val="24"/>
          <w:color w:val="auto"/>
        </w:rPr>
      </w:pPr>
    </w:p>
    <w:p>
      <w:pPr>
        <w:ind w:left="440"/>
        <w:spacing w:after="0"/>
        <w:rPr>
          <w:sz w:val="20"/>
          <w:szCs w:val="20"/>
          <w:color w:val="auto"/>
        </w:rPr>
      </w:pPr>
      <w:r>
        <w:rPr>
          <w:rFonts w:ascii="Arial" w:cs="Arial" w:eastAsia="Arial" w:hAnsi="Arial"/>
          <w:sz w:val="15"/>
          <w:szCs w:val="15"/>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w w:val="97"/>
              </w:rPr>
              <w:t>(Exact name of registrant as specified in its charter)</w:t>
            </w:r>
          </w:p>
        </w:tc>
        <w:tc>
          <w:tcPr>
            <w:tcW w:w="2940" w:type="dxa"/>
            <w:vAlign w:val="bottom"/>
          </w:tcPr>
          <w:p>
            <w:pPr>
              <w:spacing w:after="0"/>
              <w:rPr>
                <w:sz w:val="20"/>
                <w:szCs w:val="20"/>
                <w:color w:val="auto"/>
              </w:rPr>
            </w:pPr>
          </w:p>
        </w:tc>
      </w:tr>
      <w:tr>
        <w:trPr>
          <w:trHeight w:val="173"/>
        </w:trPr>
        <w:tc>
          <w:tcPr>
            <w:tcW w:w="440" w:type="dxa"/>
            <w:vAlign w:val="bottom"/>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439"/>
        </w:trPr>
        <w:tc>
          <w:tcPr>
            <w:tcW w:w="3300" w:type="dxa"/>
            <w:vAlign w:val="bottom"/>
            <w:gridSpan w:val="2"/>
          </w:tcPr>
          <w:p>
            <w:pPr>
              <w:jc w:val="right"/>
              <w:ind w:right="859"/>
              <w:spacing w:after="0"/>
              <w:rPr>
                <w:sz w:val="20"/>
                <w:szCs w:val="20"/>
                <w:color w:val="auto"/>
              </w:rPr>
            </w:pPr>
            <w:r>
              <w:rPr>
                <w:rFonts w:ascii="Arial" w:cs="Arial" w:eastAsia="Arial" w:hAnsi="Arial"/>
                <w:sz w:val="18"/>
                <w:szCs w:val="18"/>
                <w:b w:val="1"/>
                <w:bCs w:val="1"/>
                <w:color w:val="auto"/>
              </w:rPr>
              <w:t>001-37924</w:t>
            </w:r>
          </w:p>
        </w:tc>
        <w:tc>
          <w:tcPr>
            <w:tcW w:w="700" w:type="dxa"/>
            <w:vAlign w:val="bottom"/>
          </w:tcPr>
          <w:p>
            <w:pPr>
              <w:spacing w:after="0"/>
              <w:rPr>
                <w:sz w:val="24"/>
                <w:szCs w:val="24"/>
                <w:color w:val="auto"/>
              </w:rPr>
            </w:pPr>
          </w:p>
        </w:tc>
        <w:tc>
          <w:tcPr>
            <w:tcW w:w="2940" w:type="dxa"/>
            <w:vAlign w:val="bottom"/>
          </w:tcPr>
          <w:p>
            <w:pPr>
              <w:jc w:val="right"/>
              <w:ind w:right="815"/>
              <w:spacing w:after="0"/>
              <w:rPr>
                <w:sz w:val="20"/>
                <w:szCs w:val="20"/>
                <w:color w:val="auto"/>
              </w:rPr>
            </w:pPr>
            <w:r>
              <w:rPr>
                <w:rFonts w:ascii="Arial" w:cs="Arial" w:eastAsia="Arial" w:hAnsi="Arial"/>
                <w:sz w:val="18"/>
                <w:szCs w:val="18"/>
                <w:b w:val="1"/>
                <w:bCs w:val="1"/>
                <w:color w:val="auto"/>
              </w:rPr>
              <w:t>46-3354276</w:t>
            </w:r>
          </w:p>
        </w:tc>
      </w:tr>
      <w:tr>
        <w:trPr>
          <w:trHeight w:val="251"/>
        </w:trPr>
        <w:tc>
          <w:tcPr>
            <w:tcW w:w="440" w:type="dxa"/>
            <w:vAlign w:val="bottom"/>
          </w:tcPr>
          <w:p>
            <w:pPr>
              <w:spacing w:after="0"/>
              <w:rPr>
                <w:sz w:val="21"/>
                <w:szCs w:val="21"/>
                <w:color w:val="auto"/>
              </w:rPr>
            </w:pPr>
          </w:p>
        </w:tc>
        <w:tc>
          <w:tcPr>
            <w:tcW w:w="3560" w:type="dxa"/>
            <w:vAlign w:val="bottom"/>
            <w:gridSpan w:val="2"/>
          </w:tcPr>
          <w:p>
            <w:pPr>
              <w:jc w:val="center"/>
              <w:ind w:right="480"/>
              <w:spacing w:after="0"/>
              <w:rPr>
                <w:sz w:val="20"/>
                <w:szCs w:val="20"/>
                <w:color w:val="auto"/>
              </w:rPr>
            </w:pPr>
            <w:r>
              <w:rPr>
                <w:rFonts w:ascii="Arial" w:cs="Arial" w:eastAsia="Arial" w:hAnsi="Arial"/>
                <w:sz w:val="16"/>
                <w:szCs w:val="16"/>
                <w:color w:val="auto"/>
                <w:w w:val="94"/>
              </w:rPr>
              <w:t>(Commission File Number)</w:t>
            </w:r>
          </w:p>
        </w:tc>
        <w:tc>
          <w:tcPr>
            <w:tcW w:w="2940" w:type="dxa"/>
            <w:vAlign w:val="bottom"/>
          </w:tcPr>
          <w:p>
            <w:pPr>
              <w:jc w:val="center"/>
              <w:ind w:left="195"/>
              <w:spacing w:after="0"/>
              <w:rPr>
                <w:sz w:val="20"/>
                <w:szCs w:val="20"/>
                <w:color w:val="auto"/>
              </w:rPr>
            </w:pPr>
            <w:r>
              <w:rPr>
                <w:rFonts w:ascii="Arial" w:cs="Arial" w:eastAsia="Arial" w:hAnsi="Arial"/>
                <w:sz w:val="16"/>
                <w:szCs w:val="16"/>
                <w:color w:val="auto"/>
                <w:w w:val="95"/>
              </w:rPr>
              <w:t>(I.R.S. Employer Identification Number)</w:t>
            </w:r>
          </w:p>
        </w:tc>
      </w:tr>
    </w:tbl>
    <w:p>
      <w:pPr>
        <w:spacing w:after="0" w:line="200" w:lineRule="exact"/>
        <w:rPr>
          <w:sz w:val="24"/>
          <w:szCs w:val="24"/>
          <w:color w:val="auto"/>
        </w:rPr>
      </w:pPr>
    </w:p>
    <w:p>
      <w:pPr>
        <w:spacing w:after="0" w:line="229" w:lineRule="exact"/>
        <w:rPr>
          <w:sz w:val="24"/>
          <w:szCs w:val="24"/>
          <w:color w:val="auto"/>
        </w:rPr>
      </w:pPr>
    </w:p>
    <w:p>
      <w:pPr>
        <w:jc w:val="center"/>
        <w:ind w:right="3660"/>
        <w:spacing w:after="0"/>
        <w:rPr>
          <w:sz w:val="20"/>
          <w:szCs w:val="20"/>
          <w:color w:val="auto"/>
        </w:rPr>
      </w:pPr>
      <w:r>
        <w:rPr>
          <w:rFonts w:ascii="Arial" w:cs="Arial" w:eastAsia="Arial" w:hAnsi="Arial"/>
          <w:sz w:val="14"/>
          <w:szCs w:val="14"/>
          <w:b w:val="1"/>
          <w:bCs w:val="1"/>
          <w:color w:val="auto"/>
        </w:rPr>
        <w:t>21300 Victory Boulevard, 12</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Floor</w:t>
      </w:r>
    </w:p>
    <w:p>
      <w:pPr>
        <w:jc w:val="center"/>
        <w:ind w:right="3660"/>
        <w:spacing w:after="0" w:line="226" w:lineRule="auto"/>
        <w:rPr>
          <w:sz w:val="20"/>
          <w:szCs w:val="20"/>
          <w:color w:val="auto"/>
        </w:rPr>
      </w:pPr>
      <w:r>
        <w:rPr>
          <w:rFonts w:ascii="Arial" w:cs="Arial" w:eastAsia="Arial" w:hAnsi="Arial"/>
          <w:sz w:val="14"/>
          <w:szCs w:val="14"/>
          <w:b w:val="1"/>
          <w:bCs w:val="1"/>
          <w:color w:val="auto"/>
        </w:rPr>
        <w:t>Woodland Hills, California 91367</w:t>
      </w:r>
    </w:p>
    <w:p>
      <w:pPr>
        <w:jc w:val="center"/>
        <w:ind w:right="3660"/>
        <w:spacing w:after="0"/>
        <w:rPr>
          <w:sz w:val="20"/>
          <w:szCs w:val="20"/>
          <w:color w:val="auto"/>
        </w:rPr>
      </w:pPr>
      <w:r>
        <w:rPr>
          <w:rFonts w:ascii="Arial" w:cs="Arial" w:eastAsia="Arial" w:hAnsi="Arial"/>
          <w:sz w:val="14"/>
          <w:szCs w:val="14"/>
          <w:color w:val="auto"/>
        </w:rPr>
        <w:t>(Address of principal executive offices)(Zip Code)</w:t>
      </w:r>
    </w:p>
    <w:p>
      <w:pPr>
        <w:spacing w:after="0" w:line="134" w:lineRule="exact"/>
        <w:rPr>
          <w:sz w:val="24"/>
          <w:szCs w:val="24"/>
          <w:color w:val="auto"/>
        </w:rPr>
      </w:pPr>
    </w:p>
    <w:p>
      <w:pPr>
        <w:jc w:val="center"/>
        <w:ind w:right="3660"/>
        <w:spacing w:after="0"/>
        <w:rPr>
          <w:sz w:val="20"/>
          <w:szCs w:val="20"/>
          <w:color w:val="auto"/>
        </w:rPr>
      </w:pPr>
      <w:r>
        <w:rPr>
          <w:rFonts w:ascii="Arial" w:cs="Arial" w:eastAsia="Arial" w:hAnsi="Arial"/>
          <w:sz w:val="14"/>
          <w:szCs w:val="14"/>
          <w:b w:val="1"/>
          <w:bCs w:val="1"/>
          <w:color w:val="auto"/>
        </w:rPr>
        <w:t>(818) 223-9008</w:t>
      </w:r>
    </w:p>
    <w:p>
      <w:pPr>
        <w:spacing w:after="0" w:line="32" w:lineRule="exact"/>
        <w:rPr>
          <w:sz w:val="24"/>
          <w:szCs w:val="24"/>
          <w:color w:val="auto"/>
        </w:rPr>
      </w:pPr>
    </w:p>
    <w:p>
      <w:pPr>
        <w:jc w:val="center"/>
        <w:ind w:right="3660"/>
        <w:spacing w:after="0"/>
        <w:rPr>
          <w:sz w:val="20"/>
          <w:szCs w:val="20"/>
          <w:color w:val="auto"/>
        </w:rPr>
      </w:pPr>
      <w:r>
        <w:rPr>
          <w:rFonts w:ascii="Arial" w:cs="Arial" w:eastAsia="Arial" w:hAnsi="Arial"/>
          <w:sz w:val="14"/>
          <w:szCs w:val="14"/>
          <w:color w:val="auto"/>
        </w:rPr>
        <w:t>(Registrant’s telephone number, including area code)</w:t>
      </w:r>
    </w:p>
    <w:p>
      <w:pPr>
        <w:spacing w:after="0" w:line="146" w:lineRule="exact"/>
        <w:rPr>
          <w:sz w:val="24"/>
          <w:szCs w:val="24"/>
          <w:color w:val="auto"/>
        </w:rPr>
      </w:pPr>
    </w:p>
    <w:p>
      <w:pPr>
        <w:jc w:val="center"/>
        <w:ind w:right="3660"/>
        <w:spacing w:after="0"/>
        <w:rPr>
          <w:sz w:val="20"/>
          <w:szCs w:val="20"/>
          <w:color w:val="auto"/>
        </w:rPr>
      </w:pPr>
      <w:r>
        <w:rPr>
          <w:rFonts w:ascii="Arial" w:cs="Arial" w:eastAsia="Arial" w:hAnsi="Arial"/>
          <w:sz w:val="14"/>
          <w:szCs w:val="14"/>
          <w:b w:val="1"/>
          <w:bCs w:val="1"/>
          <w:color w:val="auto"/>
        </w:rPr>
        <w:t>Not Applicable</w:t>
      </w:r>
    </w:p>
    <w:p>
      <w:pPr>
        <w:spacing w:after="0" w:line="32" w:lineRule="exact"/>
        <w:rPr>
          <w:sz w:val="24"/>
          <w:szCs w:val="24"/>
          <w:color w:val="auto"/>
        </w:rPr>
      </w:pPr>
    </w:p>
    <w:p>
      <w:pPr>
        <w:jc w:val="center"/>
        <w:ind w:right="3660"/>
        <w:spacing w:after="0"/>
        <w:rPr>
          <w:sz w:val="20"/>
          <w:szCs w:val="20"/>
          <w:color w:val="auto"/>
        </w:rPr>
      </w:pPr>
      <w:r>
        <w:rPr>
          <w:rFonts w:ascii="Arial" w:cs="Arial" w:eastAsia="Arial" w:hAnsi="Arial"/>
          <w:sz w:val="13"/>
          <w:szCs w:val="13"/>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wp:posOffset>
            </wp:positionH>
            <wp:positionV relativeFrom="paragraph">
              <wp:posOffset>122555</wp:posOffset>
            </wp:positionV>
            <wp:extent cx="1817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300" w:space="340"/>
            <w:col w:w="7380"/>
          </w:cols>
          <w:pgMar w:left="440" w:top="526" w:right="439" w:bottom="1440" w:gutter="0" w:footer="0" w:header="0"/>
          <w:type w:val="continuous"/>
        </w:sectPr>
      </w:pP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27" w:lineRule="exact"/>
        <w:rPr>
          <w:sz w:val="24"/>
          <w:szCs w:val="24"/>
          <w:color w:val="auto"/>
        </w:rPr>
      </w:pPr>
    </w:p>
    <w:p>
      <w:pPr>
        <w:ind w:left="860" w:hanging="432"/>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860" w:hanging="432"/>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860" w:hanging="432"/>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860" w:hanging="432"/>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8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397"/>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w:t>
            </w:r>
          </w:p>
        </w:tc>
      </w:tr>
      <w:tr>
        <w:trPr>
          <w:trHeight w:val="2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20" w:type="dxa"/>
            <w:vAlign w:val="bottom"/>
          </w:tcPr>
          <w:p>
            <w:pPr>
              <w:spacing w:after="0"/>
              <w:rPr>
                <w:sz w:val="19"/>
                <w:szCs w:val="19"/>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00" w:type="dxa"/>
            <w:vAlign w:val="bottom"/>
          </w:tcPr>
          <w:p>
            <w:pPr>
              <w:spacing w:after="0"/>
              <w:rPr>
                <w:sz w:val="19"/>
                <w:szCs w:val="19"/>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registered</w:t>
            </w:r>
          </w:p>
        </w:tc>
      </w:tr>
      <w:tr>
        <w:trPr>
          <w:trHeight w:val="210"/>
        </w:trPr>
        <w:tc>
          <w:tcPr>
            <w:tcW w:w="38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Common Stock, $0.01, par value</w:t>
            </w:r>
          </w:p>
        </w:tc>
        <w:tc>
          <w:tcPr>
            <w:tcW w:w="3620" w:type="dxa"/>
            <w:vAlign w:val="bottom"/>
            <w:gridSpan w:val="2"/>
          </w:tcPr>
          <w:p>
            <w:pPr>
              <w:jc w:val="center"/>
              <w:ind w:right="100"/>
              <w:spacing w:after="0"/>
              <w:rPr>
                <w:sz w:val="20"/>
                <w:szCs w:val="20"/>
                <w:color w:val="auto"/>
              </w:rPr>
            </w:pPr>
            <w:r>
              <w:rPr>
                <w:rFonts w:ascii="Arial" w:cs="Arial" w:eastAsia="Arial" w:hAnsi="Arial"/>
                <w:sz w:val="16"/>
                <w:szCs w:val="16"/>
                <w:color w:val="auto"/>
              </w:rPr>
              <w:t>BL</w:t>
            </w:r>
          </w:p>
        </w:tc>
        <w:tc>
          <w:tcPr>
            <w:tcW w:w="3540" w:type="dxa"/>
            <w:vAlign w:val="bottom"/>
          </w:tcPr>
          <w:p>
            <w:pPr>
              <w:jc w:val="center"/>
              <w:spacing w:after="0"/>
              <w:rPr>
                <w:sz w:val="20"/>
                <w:szCs w:val="20"/>
                <w:color w:val="auto"/>
              </w:rPr>
            </w:pPr>
            <w:r>
              <w:rPr>
                <w:rFonts w:ascii="Arial" w:cs="Arial" w:eastAsia="Arial" w:hAnsi="Arial"/>
                <w:sz w:val="16"/>
                <w:szCs w:val="16"/>
                <w:color w:val="auto"/>
                <w:w w:val="92"/>
              </w:rPr>
              <w:t>The Nasdaq Global Select Market</w:t>
            </w:r>
          </w:p>
        </w:tc>
      </w:tr>
    </w:tbl>
    <w:p>
      <w:pPr>
        <w:spacing w:after="0" w:line="158" w:lineRule="exact"/>
        <w:rPr>
          <w:sz w:val="24"/>
          <w:szCs w:val="24"/>
          <w:color w:val="auto"/>
        </w:rPr>
      </w:pPr>
    </w:p>
    <w:p>
      <w:pPr>
        <w:jc w:val="both"/>
        <w:ind w:right="20"/>
        <w:spacing w:after="0" w:line="29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1" w:lineRule="exact"/>
        <w:rPr>
          <w:sz w:val="24"/>
          <w:szCs w:val="24"/>
          <w:color w:val="auto"/>
        </w:rPr>
      </w:pPr>
    </w:p>
    <w:p>
      <w:pPr>
        <w:jc w:val="both"/>
        <w:ind w:right="2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198755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526" w:right="439" w:bottom="1440" w:gutter="0" w:footer="0" w:header="0"/>
          <w:type w:val="continuous"/>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63" w:lineRule="exact"/>
        <w:rPr>
          <w:sz w:val="20"/>
          <w:szCs w:val="20"/>
          <w:color w:val="auto"/>
        </w:rPr>
      </w:pPr>
    </w:p>
    <w:p>
      <w:pPr>
        <w:ind w:right="80" w:firstLine="771"/>
        <w:spacing w:after="0" w:line="244" w:lineRule="auto"/>
        <w:rPr>
          <w:sz w:val="20"/>
          <w:szCs w:val="20"/>
          <w:color w:val="auto"/>
        </w:rPr>
      </w:pPr>
      <w:r>
        <w:rPr>
          <w:rFonts w:ascii="Arial" w:cs="Arial" w:eastAsia="Arial" w:hAnsi="Arial"/>
          <w:sz w:val="20"/>
          <w:szCs w:val="20"/>
          <w:color w:val="auto"/>
        </w:rPr>
        <w:t>On December 8, 2020, the compensation committee of the board of directors (the “Board”) of BlackLine, Inc. (the “Company”) modified the compensation arrangements for each of Therese Tucker, the Company’s Chief Executive Officer and Marc Huffman, the Company’s current President and Chief Operating Officer, in connection with the transition of Ms. Tucker to the serve as the Executive Chair of the Board and Mr. Huffman to serve as the Company’s Chief Executive Officer. This transition is effective January 1, 2021 and was described on a Form 8-K previously filed on August 6, 2020.</w:t>
      </w:r>
    </w:p>
    <w:p>
      <w:pPr>
        <w:spacing w:after="0" w:line="194" w:lineRule="exact"/>
        <w:rPr>
          <w:sz w:val="20"/>
          <w:szCs w:val="20"/>
          <w:color w:val="auto"/>
        </w:rPr>
      </w:pPr>
    </w:p>
    <w:p>
      <w:pPr>
        <w:ind w:right="40" w:firstLine="771"/>
        <w:spacing w:after="0" w:line="250" w:lineRule="auto"/>
        <w:rPr>
          <w:sz w:val="20"/>
          <w:szCs w:val="20"/>
          <w:color w:val="auto"/>
        </w:rPr>
      </w:pPr>
      <w:r>
        <w:rPr>
          <w:rFonts w:ascii="Arial" w:cs="Arial" w:eastAsia="Arial" w:hAnsi="Arial"/>
          <w:sz w:val="20"/>
          <w:szCs w:val="20"/>
          <w:color w:val="auto"/>
        </w:rPr>
        <w:t>Effective January 1, 2021, Mr. Huffman’s base salary will increase to $475,000 and his target annual incentive will remain at 100% of his base salary. In addition, when equity awards are made to the Company’s officers in 2021, Mr. Huffman will receive an equity award with an approximate value of $6,000,000.</w:t>
      </w:r>
    </w:p>
    <w:p>
      <w:pPr>
        <w:spacing w:after="0" w:line="186" w:lineRule="exact"/>
        <w:rPr>
          <w:sz w:val="20"/>
          <w:szCs w:val="20"/>
          <w:color w:val="auto"/>
        </w:rPr>
      </w:pPr>
    </w:p>
    <w:p>
      <w:pPr>
        <w:ind w:right="60" w:firstLine="771"/>
        <w:spacing w:after="0" w:line="250" w:lineRule="auto"/>
        <w:rPr>
          <w:sz w:val="20"/>
          <w:szCs w:val="20"/>
          <w:color w:val="auto"/>
        </w:rPr>
      </w:pPr>
      <w:r>
        <w:rPr>
          <w:rFonts w:ascii="Arial" w:cs="Arial" w:eastAsia="Arial" w:hAnsi="Arial"/>
          <w:sz w:val="20"/>
          <w:szCs w:val="20"/>
          <w:color w:val="auto"/>
        </w:rPr>
        <w:t>Effective January 1, 2021, Ms. Tucker’s base salary will decrease to $328,000 and her target annual incentive will be reduced to 75% of her base salary, with such changes resulting in a 30% reduction in her total target cash compensation. No decisions have been made with respect to equity awards for Ms. Tucker.</w:t>
      </w:r>
    </w:p>
    <w:p>
      <w:pPr>
        <w:sectPr>
          <w:pgSz w:w="11900" w:h="16838" w:orient="portrait"/>
          <w:cols w:equalWidth="0" w:num="1">
            <w:col w:w="10960"/>
          </w:cols>
          <w:pgMar w:left="440" w:top="297"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BLACKLINE, INC.</w:t>
      </w:r>
    </w:p>
    <w:p>
      <w:pPr>
        <w:spacing w:after="0" w:line="229" w:lineRule="exact"/>
        <w:rPr>
          <w:sz w:val="20"/>
          <w:szCs w:val="20"/>
          <w:color w:val="auto"/>
        </w:rPr>
      </w:pPr>
    </w:p>
    <w:p>
      <w:pPr>
        <w:ind w:left="40"/>
        <w:spacing w:after="0"/>
        <w:tabs>
          <w:tab w:leader="none" w:pos="5600" w:val="left"/>
          <w:tab w:leader="none" w:pos="6080" w:val="left"/>
        </w:tabs>
        <w:rPr>
          <w:sz w:val="20"/>
          <w:szCs w:val="20"/>
          <w:color w:val="auto"/>
        </w:rPr>
      </w:pPr>
      <w:r>
        <w:rPr>
          <w:rFonts w:ascii="Arial" w:cs="Arial" w:eastAsia="Arial" w:hAnsi="Arial"/>
          <w:sz w:val="18"/>
          <w:szCs w:val="18"/>
          <w:color w:val="auto"/>
        </w:rPr>
        <w:t>Date: December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Karole Morgan-Prager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Karole Morgan-Prager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Legal and Administrative Officer</w:t>
      </w:r>
    </w:p>
    <w:sectPr>
      <w:pgSz w:w="11900" w:h="16838" w:orient="portrait"/>
      <w:cols w:equalWidth="0" w:num="1">
        <w:col w:w="11000"/>
      </w:cols>
      <w:pgMar w:left="440" w:top="2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2020-12-14T15:22:52Z</dcterms:created>
  <dcterms:modified xsi:type="dcterms:W3CDTF">2020-12-14T15:22:52Z</dcterms:modified>
</cp:coreProperties>
</file>