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9"/>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157480</wp:posOffset>
            </wp:positionH>
            <wp:positionV relativeFrom="page">
              <wp:posOffset>208915</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226060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7" w:lineRule="exact"/>
        <w:rPr>
          <w:sz w:val="24"/>
          <w:szCs w:val="24"/>
          <w:color w:val="auto"/>
        </w:rPr>
      </w:pPr>
    </w:p>
    <w:p>
      <w:pPr>
        <w:jc w:val="center"/>
        <w:ind w:right="-119"/>
        <w:spacing w:after="0"/>
        <w:rPr>
          <w:sz w:val="20"/>
          <w:szCs w:val="20"/>
          <w:color w:val="auto"/>
        </w:rPr>
      </w:pPr>
      <w:r>
        <w:rPr>
          <w:rFonts w:ascii="Arial" w:cs="Arial" w:eastAsia="Arial" w:hAnsi="Arial"/>
          <w:sz w:val="17"/>
          <w:szCs w:val="17"/>
          <w:b w:val="1"/>
          <w:bCs w:val="1"/>
          <w:color w:val="auto"/>
        </w:rPr>
        <w:t>SECURITIES AND EXCHANGE COMMISSION</w:t>
      </w:r>
    </w:p>
    <w:p>
      <w:pPr>
        <w:jc w:val="center"/>
        <w:ind w:right="-119"/>
        <w:spacing w:after="0"/>
        <w:rPr>
          <w:sz w:val="20"/>
          <w:szCs w:val="20"/>
          <w:color w:val="auto"/>
        </w:rPr>
      </w:pPr>
      <w:r>
        <w:rPr>
          <w:rFonts w:ascii="Arial" w:cs="Arial" w:eastAsia="Arial" w:hAnsi="Arial"/>
          <w:sz w:val="17"/>
          <w:szCs w:val="17"/>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2903855</wp:posOffset>
            </wp:positionH>
            <wp:positionV relativeFrom="paragraph">
              <wp:posOffset>51435</wp:posOffset>
            </wp:positionV>
            <wp:extent cx="144907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102" w:lineRule="exact"/>
        <w:rPr>
          <w:sz w:val="24"/>
          <w:szCs w:val="24"/>
          <w:color w:val="auto"/>
        </w:rPr>
      </w:pPr>
    </w:p>
    <w:p>
      <w:pPr>
        <w:jc w:val="center"/>
        <w:ind w:right="-119"/>
        <w:spacing w:after="0"/>
        <w:rPr>
          <w:sz w:val="20"/>
          <w:szCs w:val="20"/>
          <w:color w:val="auto"/>
        </w:rPr>
      </w:pPr>
      <w:r>
        <w:rPr>
          <w:rFonts w:ascii="Arial" w:cs="Arial" w:eastAsia="Arial" w:hAnsi="Arial"/>
          <w:sz w:val="17"/>
          <w:szCs w:val="17"/>
          <w:b w:val="1"/>
          <w:bCs w:val="1"/>
          <w:color w:val="auto"/>
        </w:rPr>
        <w:t>FORM 10-K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2903855</wp:posOffset>
            </wp:positionH>
            <wp:positionV relativeFrom="paragraph">
              <wp:posOffset>72390</wp:posOffset>
            </wp:positionV>
            <wp:extent cx="144907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122" w:lineRule="exact"/>
        <w:rPr>
          <w:sz w:val="24"/>
          <w:szCs w:val="24"/>
          <w:color w:val="auto"/>
        </w:rPr>
      </w:pPr>
    </w:p>
    <w:p>
      <w:pPr>
        <w:spacing w:after="0"/>
        <w:rPr>
          <w:sz w:val="20"/>
          <w:szCs w:val="20"/>
          <w:color w:val="auto"/>
        </w:rPr>
      </w:pPr>
      <w:r>
        <w:rPr>
          <w:rFonts w:ascii="Arial" w:cs="Arial" w:eastAsia="Arial" w:hAnsi="Arial"/>
          <w:sz w:val="17"/>
          <w:szCs w:val="17"/>
          <w:color w:val="auto"/>
        </w:rPr>
        <w:t>(Mark One)</w:t>
      </w:r>
    </w:p>
    <w:p>
      <w:pPr>
        <w:ind w:left="4180" w:right="2340" w:hanging="4172"/>
        <w:spacing w:after="0" w:line="302" w:lineRule="auto"/>
        <w:tabs>
          <w:tab w:leader="none" w:pos="528" w:val="left"/>
        </w:tabs>
        <w:numPr>
          <w:ilvl w:val="0"/>
          <w:numId w:val="1"/>
        </w:numPr>
        <w:rPr>
          <w:rFonts w:ascii="MS PGothic" w:cs="MS PGothic" w:eastAsia="MS PGothic" w:hAnsi="MS PGothic"/>
          <w:sz w:val="17"/>
          <w:szCs w:val="17"/>
          <w:color w:val="auto"/>
          <w:highlight w:val="black"/>
        </w:rPr>
      </w:pPr>
      <w:r>
        <w:rPr>
          <w:rFonts w:ascii="Arial" w:cs="Arial" w:eastAsia="Arial" w:hAnsi="Arial"/>
          <w:sz w:val="17"/>
          <w:szCs w:val="17"/>
          <w:b w:val="1"/>
          <w:bCs w:val="1"/>
          <w:color w:val="auto"/>
        </w:rPr>
        <w:t>ANNUAL REPORT PURSUANT TO SECTION 13 OR 15(d) OF THE SECURITIES EXCHANGE ACT OF 1934 For the fiscal year ended December 31, 2019</w:t>
      </w:r>
    </w:p>
    <w:p>
      <w:pPr>
        <w:spacing w:after="0" w:line="1" w:lineRule="exact"/>
        <w:rPr>
          <w:sz w:val="24"/>
          <w:szCs w:val="24"/>
          <w:color w:val="auto"/>
        </w:rPr>
      </w:pPr>
    </w:p>
    <w:p>
      <w:pPr>
        <w:jc w:val="center"/>
        <w:ind w:right="-119"/>
        <w:spacing w:after="0"/>
        <w:rPr>
          <w:sz w:val="20"/>
          <w:szCs w:val="20"/>
          <w:color w:val="auto"/>
        </w:rPr>
      </w:pPr>
      <w:r>
        <w:rPr>
          <w:rFonts w:ascii="Arial" w:cs="Arial" w:eastAsia="Arial" w:hAnsi="Arial"/>
          <w:sz w:val="17"/>
          <w:szCs w:val="17"/>
          <w:b w:val="1"/>
          <w:bCs w:val="1"/>
          <w:color w:val="auto"/>
        </w:rPr>
        <w:t>OR</w:t>
      </w:r>
    </w:p>
    <w:p>
      <w:pPr>
        <w:spacing w:after="0" w:line="48" w:lineRule="exact"/>
        <w:rPr>
          <w:sz w:val="24"/>
          <w:szCs w:val="24"/>
          <w:color w:val="auto"/>
        </w:rPr>
      </w:pPr>
    </w:p>
    <w:p>
      <w:pPr>
        <w:ind w:left="520" w:hanging="512"/>
        <w:spacing w:after="0"/>
        <w:tabs>
          <w:tab w:leader="none" w:pos="520" w:val="left"/>
        </w:tabs>
        <w:numPr>
          <w:ilvl w:val="0"/>
          <w:numId w:val="2"/>
        </w:numPr>
        <w:rPr>
          <w:rFonts w:ascii="MS PGothic" w:cs="MS PGothic" w:eastAsia="MS PGothic" w:hAnsi="MS PGothic"/>
          <w:sz w:val="17"/>
          <w:szCs w:val="17"/>
          <w:color w:val="auto"/>
          <w:highlight w:val="black"/>
        </w:rPr>
      </w:pPr>
      <w:r>
        <w:rPr>
          <w:rFonts w:ascii="Arial" w:cs="Arial" w:eastAsia="Arial" w:hAnsi="Arial"/>
          <w:sz w:val="17"/>
          <w:szCs w:val="17"/>
          <w:b w:val="1"/>
          <w:bCs w:val="1"/>
          <w:color w:val="auto"/>
        </w:rPr>
        <w:t>TRANSITION REPORT PURSUANT TO SECTION 13 OR 15(d) OF THE SECURITIES EXCHANGE ACT OF 1934</w:t>
      </w:r>
    </w:p>
    <w:p>
      <w:pPr>
        <w:spacing w:after="0" w:line="75" w:lineRule="exact"/>
        <w:rPr>
          <w:sz w:val="24"/>
          <w:szCs w:val="24"/>
          <w:color w:val="auto"/>
        </w:rPr>
      </w:pPr>
    </w:p>
    <w:tbl>
      <w:tblPr>
        <w:tblLayout w:type="fixed"/>
        <w:tblInd w:w="1580" w:type="dxa"/>
        <w:tblCellMar>
          <w:top w:w="0" w:type="dxa"/>
          <w:left w:w="0" w:type="dxa"/>
          <w:bottom w:w="0" w:type="dxa"/>
          <w:right w:w="0" w:type="dxa"/>
        </w:tblCellMar>
      </w:tblPr>
      <w:tr>
        <w:trPr>
          <w:trHeight w:val="225"/>
        </w:trPr>
        <w:tc>
          <w:tcPr>
            <w:tcW w:w="5720" w:type="dxa"/>
            <w:vAlign w:val="bottom"/>
            <w:gridSpan w:val="3"/>
          </w:tcPr>
          <w:p>
            <w:pPr>
              <w:ind w:left="2780"/>
              <w:spacing w:after="0"/>
              <w:rPr>
                <w:sz w:val="20"/>
                <w:szCs w:val="20"/>
                <w:color w:val="auto"/>
              </w:rPr>
            </w:pPr>
            <w:r>
              <w:rPr>
                <w:rFonts w:ascii="Arial" w:cs="Arial" w:eastAsia="Arial" w:hAnsi="Arial"/>
                <w:sz w:val="17"/>
                <w:szCs w:val="17"/>
                <w:b w:val="1"/>
                <w:bCs w:val="1"/>
                <w:color w:val="auto"/>
              </w:rPr>
              <w:t>For the transition period from</w:t>
            </w:r>
          </w:p>
        </w:tc>
        <w:tc>
          <w:tcPr>
            <w:tcW w:w="2360" w:type="dxa"/>
            <w:vAlign w:val="bottom"/>
          </w:tcPr>
          <w:p>
            <w:pPr>
              <w:ind w:left="120"/>
              <w:spacing w:after="0"/>
              <w:rPr>
                <w:sz w:val="20"/>
                <w:szCs w:val="20"/>
                <w:color w:val="auto"/>
              </w:rPr>
            </w:pPr>
            <w:r>
              <w:rPr>
                <w:rFonts w:ascii="Arial" w:cs="Arial" w:eastAsia="Arial" w:hAnsi="Arial"/>
                <w:sz w:val="17"/>
                <w:szCs w:val="17"/>
                <w:b w:val="1"/>
                <w:bCs w:val="1"/>
                <w:color w:val="auto"/>
              </w:rPr>
              <w:t>to</w:t>
            </w:r>
          </w:p>
        </w:tc>
      </w:tr>
      <w:tr>
        <w:trPr>
          <w:trHeight w:val="243"/>
        </w:trPr>
        <w:tc>
          <w:tcPr>
            <w:tcW w:w="5720" w:type="dxa"/>
            <w:vAlign w:val="bottom"/>
            <w:gridSpan w:val="3"/>
          </w:tcPr>
          <w:p>
            <w:pPr>
              <w:jc w:val="center"/>
              <w:ind w:left="2475"/>
              <w:spacing w:after="0"/>
              <w:rPr>
                <w:sz w:val="20"/>
                <w:szCs w:val="20"/>
                <w:color w:val="auto"/>
              </w:rPr>
            </w:pPr>
            <w:r>
              <w:rPr>
                <w:rFonts w:ascii="Arial" w:cs="Arial" w:eastAsia="Arial" w:hAnsi="Arial"/>
                <w:sz w:val="17"/>
                <w:szCs w:val="17"/>
                <w:b w:val="1"/>
                <w:bCs w:val="1"/>
                <w:color w:val="auto"/>
              </w:rPr>
              <w:t>Commission file number: 001-37924</w:t>
            </w:r>
          </w:p>
        </w:tc>
        <w:tc>
          <w:tcPr>
            <w:tcW w:w="2360" w:type="dxa"/>
            <w:vAlign w:val="bottom"/>
          </w:tcPr>
          <w:p>
            <w:pPr>
              <w:spacing w:after="0"/>
              <w:rPr>
                <w:sz w:val="21"/>
                <w:szCs w:val="21"/>
                <w:color w:val="auto"/>
              </w:rPr>
            </w:pPr>
          </w:p>
        </w:tc>
      </w:tr>
      <w:tr>
        <w:trPr>
          <w:trHeight w:val="139"/>
        </w:trPr>
        <w:tc>
          <w:tcPr>
            <w:tcW w:w="3000" w:type="dxa"/>
            <w:vAlign w:val="bottom"/>
          </w:tcPr>
          <w:p>
            <w:pPr>
              <w:spacing w:after="0"/>
              <w:rPr>
                <w:sz w:val="12"/>
                <w:szCs w:val="12"/>
                <w:color w:val="auto"/>
              </w:rPr>
            </w:pPr>
          </w:p>
        </w:tc>
        <w:tc>
          <w:tcPr>
            <w:tcW w:w="2280" w:type="dxa"/>
            <w:vAlign w:val="bottom"/>
            <w:tcBorders>
              <w:bottom w:val="single" w:sz="8" w:color="auto"/>
            </w:tcBorders>
          </w:tcPr>
          <w:p>
            <w:pPr>
              <w:spacing w:after="0"/>
              <w:rPr>
                <w:sz w:val="12"/>
                <w:szCs w:val="12"/>
                <w:color w:val="auto"/>
              </w:rPr>
            </w:pPr>
          </w:p>
        </w:tc>
        <w:tc>
          <w:tcPr>
            <w:tcW w:w="440" w:type="dxa"/>
            <w:vAlign w:val="bottom"/>
          </w:tcPr>
          <w:p>
            <w:pPr>
              <w:spacing w:after="0"/>
              <w:rPr>
                <w:sz w:val="12"/>
                <w:szCs w:val="12"/>
                <w:color w:val="auto"/>
              </w:rPr>
            </w:pPr>
          </w:p>
        </w:tc>
        <w:tc>
          <w:tcPr>
            <w:tcW w:w="2360" w:type="dxa"/>
            <w:vAlign w:val="bottom"/>
          </w:tcPr>
          <w:p>
            <w:pPr>
              <w:spacing w:after="0"/>
              <w:rPr>
                <w:sz w:val="12"/>
                <w:szCs w:val="12"/>
                <w:color w:val="auto"/>
              </w:rPr>
            </w:pPr>
          </w:p>
        </w:tc>
      </w:tr>
      <w:tr>
        <w:trPr>
          <w:trHeight w:val="183"/>
        </w:trPr>
        <w:tc>
          <w:tcPr>
            <w:tcW w:w="3000" w:type="dxa"/>
            <w:vAlign w:val="bottom"/>
          </w:tcPr>
          <w:p>
            <w:pPr>
              <w:spacing w:after="0"/>
              <w:rPr>
                <w:sz w:val="15"/>
                <w:szCs w:val="15"/>
                <w:color w:val="auto"/>
              </w:rPr>
            </w:pPr>
          </w:p>
        </w:tc>
        <w:tc>
          <w:tcPr>
            <w:tcW w:w="2720" w:type="dxa"/>
            <w:vAlign w:val="bottom"/>
            <w:gridSpan w:val="2"/>
          </w:tcPr>
          <w:p>
            <w:pPr>
              <w:jc w:val="center"/>
              <w:ind w:right="440"/>
              <w:spacing w:after="0" w:line="184" w:lineRule="exact"/>
              <w:rPr>
                <w:sz w:val="20"/>
                <w:szCs w:val="20"/>
                <w:color w:val="auto"/>
              </w:rPr>
            </w:pPr>
            <w:r>
              <w:rPr>
                <w:rFonts w:ascii="Arial" w:cs="Arial" w:eastAsia="Arial" w:hAnsi="Arial"/>
                <w:sz w:val="17"/>
                <w:szCs w:val="17"/>
                <w:b w:val="1"/>
                <w:bCs w:val="1"/>
                <w:color w:val="auto"/>
              </w:rPr>
              <w:t>BlackLine, Inc.</w:t>
            </w:r>
          </w:p>
        </w:tc>
        <w:tc>
          <w:tcPr>
            <w:tcW w:w="2360" w:type="dxa"/>
            <w:vAlign w:val="bottom"/>
          </w:tcPr>
          <w:p>
            <w:pPr>
              <w:spacing w:after="0"/>
              <w:rPr>
                <w:sz w:val="15"/>
                <w:szCs w:val="15"/>
                <w:color w:val="auto"/>
              </w:rPr>
            </w:pPr>
          </w:p>
        </w:tc>
      </w:tr>
      <w:tr>
        <w:trPr>
          <w:trHeight w:val="225"/>
        </w:trPr>
        <w:tc>
          <w:tcPr>
            <w:tcW w:w="8080" w:type="dxa"/>
            <w:vAlign w:val="bottom"/>
            <w:gridSpan w:val="4"/>
          </w:tcPr>
          <w:p>
            <w:pPr>
              <w:jc w:val="center"/>
              <w:ind w:left="115"/>
              <w:spacing w:after="0"/>
              <w:rPr>
                <w:sz w:val="20"/>
                <w:szCs w:val="20"/>
                <w:color w:val="auto"/>
              </w:rPr>
            </w:pPr>
            <w:r>
              <w:rPr>
                <w:rFonts w:ascii="Arial" w:cs="Arial" w:eastAsia="Arial" w:hAnsi="Arial"/>
                <w:sz w:val="17"/>
                <w:szCs w:val="17"/>
                <w:b w:val="1"/>
                <w:bCs w:val="1"/>
                <w:color w:val="auto"/>
              </w:rPr>
              <w:t>(Exact name of registrant as specified in its charter)</w:t>
            </w:r>
          </w:p>
        </w:tc>
      </w:tr>
      <w:tr>
        <w:trPr>
          <w:trHeight w:val="85"/>
        </w:trPr>
        <w:tc>
          <w:tcPr>
            <w:tcW w:w="3000" w:type="dxa"/>
            <w:vAlign w:val="bottom"/>
          </w:tcPr>
          <w:p>
            <w:pPr>
              <w:spacing w:after="0"/>
              <w:rPr>
                <w:sz w:val="7"/>
                <w:szCs w:val="7"/>
                <w:color w:val="auto"/>
              </w:rPr>
            </w:pPr>
          </w:p>
        </w:tc>
        <w:tc>
          <w:tcPr>
            <w:tcW w:w="2280" w:type="dxa"/>
            <w:vAlign w:val="bottom"/>
            <w:tcBorders>
              <w:bottom w:val="single" w:sz="8" w:color="auto"/>
            </w:tcBorders>
          </w:tcPr>
          <w:p>
            <w:pPr>
              <w:spacing w:after="0"/>
              <w:rPr>
                <w:sz w:val="7"/>
                <w:szCs w:val="7"/>
                <w:color w:val="auto"/>
              </w:rPr>
            </w:pPr>
          </w:p>
        </w:tc>
        <w:tc>
          <w:tcPr>
            <w:tcW w:w="440" w:type="dxa"/>
            <w:vAlign w:val="bottom"/>
          </w:tcPr>
          <w:p>
            <w:pPr>
              <w:spacing w:after="0"/>
              <w:rPr>
                <w:sz w:val="7"/>
                <w:szCs w:val="7"/>
                <w:color w:val="auto"/>
              </w:rPr>
            </w:pPr>
          </w:p>
        </w:tc>
        <w:tc>
          <w:tcPr>
            <w:tcW w:w="2360" w:type="dxa"/>
            <w:vAlign w:val="bottom"/>
          </w:tcPr>
          <w:p>
            <w:pPr>
              <w:spacing w:after="0"/>
              <w:rPr>
                <w:sz w:val="7"/>
                <w:szCs w:val="7"/>
                <w:color w:val="auto"/>
              </w:rPr>
            </w:pPr>
          </w:p>
        </w:tc>
      </w:tr>
      <w:tr>
        <w:trPr>
          <w:trHeight w:val="237"/>
        </w:trPr>
        <w:tc>
          <w:tcPr>
            <w:tcW w:w="5720" w:type="dxa"/>
            <w:vAlign w:val="bottom"/>
            <w:gridSpan w:val="3"/>
          </w:tcPr>
          <w:p>
            <w:pPr>
              <w:jc w:val="center"/>
              <w:ind w:right="3280"/>
              <w:spacing w:after="0"/>
              <w:rPr>
                <w:sz w:val="20"/>
                <w:szCs w:val="20"/>
                <w:color w:val="auto"/>
              </w:rPr>
            </w:pPr>
            <w:r>
              <w:rPr>
                <w:rFonts w:ascii="Arial" w:cs="Arial" w:eastAsia="Arial" w:hAnsi="Arial"/>
                <w:sz w:val="17"/>
                <w:szCs w:val="17"/>
                <w:b w:val="1"/>
                <w:bCs w:val="1"/>
                <w:color w:val="auto"/>
              </w:rPr>
              <w:t>Delaware</w:t>
            </w:r>
          </w:p>
        </w:tc>
        <w:tc>
          <w:tcPr>
            <w:tcW w:w="2360" w:type="dxa"/>
            <w:vAlign w:val="bottom"/>
          </w:tcPr>
          <w:p>
            <w:pPr>
              <w:jc w:val="center"/>
              <w:ind w:left="435"/>
              <w:spacing w:after="0"/>
              <w:rPr>
                <w:sz w:val="20"/>
                <w:szCs w:val="20"/>
                <w:color w:val="auto"/>
              </w:rPr>
            </w:pPr>
            <w:r>
              <w:rPr>
                <w:rFonts w:ascii="Arial" w:cs="Arial" w:eastAsia="Arial" w:hAnsi="Arial"/>
                <w:sz w:val="17"/>
                <w:szCs w:val="17"/>
                <w:b w:val="1"/>
                <w:bCs w:val="1"/>
                <w:color w:val="auto"/>
              </w:rPr>
              <w:t>46-3354276</w:t>
            </w:r>
          </w:p>
        </w:tc>
      </w:tr>
      <w:tr>
        <w:trPr>
          <w:trHeight w:val="189"/>
        </w:trPr>
        <w:tc>
          <w:tcPr>
            <w:tcW w:w="5720" w:type="dxa"/>
            <w:vAlign w:val="bottom"/>
            <w:gridSpan w:val="3"/>
          </w:tcPr>
          <w:p>
            <w:pPr>
              <w:jc w:val="center"/>
              <w:ind w:right="3260"/>
              <w:spacing w:after="0" w:line="189" w:lineRule="exact"/>
              <w:rPr>
                <w:sz w:val="20"/>
                <w:szCs w:val="20"/>
                <w:color w:val="auto"/>
              </w:rPr>
            </w:pPr>
            <w:r>
              <w:rPr>
                <w:rFonts w:ascii="Arial" w:cs="Arial" w:eastAsia="Arial" w:hAnsi="Arial"/>
                <w:sz w:val="17"/>
                <w:szCs w:val="17"/>
                <w:b w:val="1"/>
                <w:bCs w:val="1"/>
                <w:color w:val="auto"/>
              </w:rPr>
              <w:t>(State or other jurisdiction of</w:t>
            </w:r>
          </w:p>
        </w:tc>
        <w:tc>
          <w:tcPr>
            <w:tcW w:w="2360" w:type="dxa"/>
            <w:vAlign w:val="bottom"/>
          </w:tcPr>
          <w:p>
            <w:pPr>
              <w:jc w:val="center"/>
              <w:ind w:left="455"/>
              <w:spacing w:after="0" w:line="189" w:lineRule="exact"/>
              <w:rPr>
                <w:sz w:val="20"/>
                <w:szCs w:val="20"/>
                <w:color w:val="auto"/>
              </w:rPr>
            </w:pPr>
            <w:r>
              <w:rPr>
                <w:rFonts w:ascii="Arial" w:cs="Arial" w:eastAsia="Arial" w:hAnsi="Arial"/>
                <w:sz w:val="17"/>
                <w:szCs w:val="17"/>
                <w:b w:val="1"/>
                <w:bCs w:val="1"/>
                <w:color w:val="auto"/>
                <w:w w:val="99"/>
              </w:rPr>
              <w:t>(I.R.S. Employer</w:t>
            </w:r>
          </w:p>
        </w:tc>
      </w:tr>
      <w:tr>
        <w:trPr>
          <w:trHeight w:val="225"/>
        </w:trPr>
        <w:tc>
          <w:tcPr>
            <w:tcW w:w="5720" w:type="dxa"/>
            <w:vAlign w:val="bottom"/>
            <w:gridSpan w:val="3"/>
          </w:tcPr>
          <w:p>
            <w:pPr>
              <w:jc w:val="center"/>
              <w:ind w:right="3280"/>
              <w:spacing w:after="0"/>
              <w:rPr>
                <w:sz w:val="20"/>
                <w:szCs w:val="20"/>
                <w:color w:val="auto"/>
              </w:rPr>
            </w:pPr>
            <w:r>
              <w:rPr>
                <w:rFonts w:ascii="Arial" w:cs="Arial" w:eastAsia="Arial" w:hAnsi="Arial"/>
                <w:sz w:val="17"/>
                <w:szCs w:val="17"/>
                <w:b w:val="1"/>
                <w:bCs w:val="1"/>
                <w:color w:val="auto"/>
              </w:rPr>
              <w:t>incorporation or organization)</w:t>
            </w:r>
          </w:p>
        </w:tc>
        <w:tc>
          <w:tcPr>
            <w:tcW w:w="2360" w:type="dxa"/>
            <w:vAlign w:val="bottom"/>
          </w:tcPr>
          <w:p>
            <w:pPr>
              <w:jc w:val="center"/>
              <w:ind w:left="455"/>
              <w:spacing w:after="0"/>
              <w:rPr>
                <w:sz w:val="20"/>
                <w:szCs w:val="20"/>
                <w:color w:val="auto"/>
              </w:rPr>
            </w:pPr>
            <w:r>
              <w:rPr>
                <w:rFonts w:ascii="Arial" w:cs="Arial" w:eastAsia="Arial" w:hAnsi="Arial"/>
                <w:sz w:val="17"/>
                <w:szCs w:val="17"/>
                <w:b w:val="1"/>
                <w:bCs w:val="1"/>
                <w:color w:val="auto"/>
              </w:rPr>
              <w:t>Identification Number)</w:t>
            </w:r>
          </w:p>
        </w:tc>
      </w:tr>
    </w:tbl>
    <w:p>
      <w:pPr>
        <w:spacing w:after="0" w:line="45" w:lineRule="exact"/>
        <w:rPr>
          <w:sz w:val="24"/>
          <w:szCs w:val="24"/>
          <w:color w:val="auto"/>
        </w:rPr>
      </w:pPr>
    </w:p>
    <w:p>
      <w:pPr>
        <w:jc w:val="center"/>
        <w:ind w:right="-119"/>
        <w:spacing w:after="0"/>
        <w:rPr>
          <w:sz w:val="20"/>
          <w:szCs w:val="20"/>
          <w:color w:val="auto"/>
        </w:rPr>
      </w:pPr>
      <w:r>
        <w:rPr>
          <w:rFonts w:ascii="Arial" w:cs="Arial" w:eastAsia="Arial" w:hAnsi="Arial"/>
          <w:sz w:val="17"/>
          <w:szCs w:val="17"/>
          <w:b w:val="1"/>
          <w:bCs w:val="1"/>
          <w:color w:val="auto"/>
        </w:rPr>
        <w:t>21300 Victory Boulevard, 12th Floor</w:t>
      </w:r>
    </w:p>
    <w:p>
      <w:pPr>
        <w:spacing w:after="0" w:line="7" w:lineRule="exact"/>
        <w:rPr>
          <w:sz w:val="24"/>
          <w:szCs w:val="24"/>
          <w:color w:val="auto"/>
        </w:rPr>
      </w:pPr>
    </w:p>
    <w:p>
      <w:pPr>
        <w:jc w:val="center"/>
        <w:ind w:right="-119"/>
        <w:spacing w:after="0"/>
        <w:rPr>
          <w:sz w:val="20"/>
          <w:szCs w:val="20"/>
          <w:color w:val="auto"/>
        </w:rPr>
      </w:pPr>
      <w:r>
        <w:rPr>
          <w:rFonts w:ascii="Arial" w:cs="Arial" w:eastAsia="Arial" w:hAnsi="Arial"/>
          <w:sz w:val="17"/>
          <w:szCs w:val="17"/>
          <w:b w:val="1"/>
          <w:bCs w:val="1"/>
          <w:color w:val="auto"/>
        </w:rPr>
        <w:t>Woodland Hills, CA 91367</w:t>
      </w:r>
    </w:p>
    <w:p>
      <w:pPr>
        <w:jc w:val="center"/>
        <w:ind w:right="-119"/>
        <w:spacing w:after="0"/>
        <w:rPr>
          <w:sz w:val="20"/>
          <w:szCs w:val="20"/>
          <w:color w:val="auto"/>
        </w:rPr>
      </w:pPr>
      <w:r>
        <w:rPr>
          <w:rFonts w:ascii="Arial" w:cs="Arial" w:eastAsia="Arial" w:hAnsi="Arial"/>
          <w:sz w:val="17"/>
          <w:szCs w:val="17"/>
          <w:b w:val="1"/>
          <w:bCs w:val="1"/>
          <w:color w:val="auto"/>
        </w:rPr>
        <w:t>(Address of principal executive offices, including zip code)</w:t>
      </w:r>
    </w:p>
    <w:p>
      <w:pPr>
        <w:spacing w:after="0" w:line="55" w:lineRule="exact"/>
        <w:rPr>
          <w:sz w:val="24"/>
          <w:szCs w:val="24"/>
          <w:color w:val="auto"/>
        </w:rPr>
      </w:pPr>
    </w:p>
    <w:p>
      <w:pPr>
        <w:jc w:val="center"/>
        <w:ind w:right="-119"/>
        <w:spacing w:after="0"/>
        <w:rPr>
          <w:sz w:val="20"/>
          <w:szCs w:val="20"/>
          <w:color w:val="auto"/>
        </w:rPr>
      </w:pPr>
      <w:r>
        <w:rPr>
          <w:rFonts w:ascii="Arial" w:cs="Arial" w:eastAsia="Arial" w:hAnsi="Arial"/>
          <w:sz w:val="17"/>
          <w:szCs w:val="17"/>
          <w:b w:val="1"/>
          <w:bCs w:val="1"/>
          <w:color w:val="auto"/>
        </w:rPr>
        <w:t>(818) 223-9008</w:t>
      </w:r>
    </w:p>
    <w:p>
      <w:pPr>
        <w:spacing w:after="0" w:line="14" w:lineRule="exact"/>
        <w:rPr>
          <w:sz w:val="24"/>
          <w:szCs w:val="24"/>
          <w:color w:val="auto"/>
        </w:rPr>
      </w:pPr>
    </w:p>
    <w:p>
      <w:pPr>
        <w:jc w:val="center"/>
        <w:ind w:right="-119"/>
        <w:spacing w:after="0"/>
        <w:rPr>
          <w:sz w:val="20"/>
          <w:szCs w:val="20"/>
          <w:color w:val="auto"/>
        </w:rPr>
      </w:pPr>
      <w:r>
        <w:rPr>
          <w:rFonts w:ascii="Arial" w:cs="Arial" w:eastAsia="Arial" w:hAnsi="Arial"/>
          <w:sz w:val="17"/>
          <w:szCs w:val="17"/>
          <w:b w:val="1"/>
          <w:bCs w:val="1"/>
          <w:color w:val="auto"/>
        </w:rPr>
        <w:t>(Registrant’s telephone number, including area code)</w:t>
      </w:r>
    </w:p>
    <w:p>
      <w:pPr>
        <w:spacing w:after="0" w:line="9" w:lineRule="exact"/>
        <w:rPr>
          <w:sz w:val="24"/>
          <w:szCs w:val="24"/>
          <w:color w:val="auto"/>
        </w:rPr>
      </w:pPr>
    </w:p>
    <w:p>
      <w:pPr>
        <w:jc w:val="center"/>
        <w:ind w:right="-119"/>
        <w:spacing w:after="0"/>
        <w:rPr>
          <w:sz w:val="20"/>
          <w:szCs w:val="20"/>
          <w:color w:val="auto"/>
        </w:rPr>
      </w:pPr>
      <w:r>
        <w:rPr>
          <w:rFonts w:ascii="Arial" w:cs="Arial" w:eastAsia="Arial" w:hAnsi="Arial"/>
          <w:sz w:val="17"/>
          <w:szCs w:val="17"/>
          <w:b w:val="1"/>
          <w:bCs w:val="1"/>
          <w:color w:val="auto"/>
        </w:rPr>
        <w:t>Securities registered pursuant to Section 12(b) of the Act:</w:t>
      </w:r>
    </w:p>
    <w:p>
      <w:pPr>
        <w:spacing w:after="0" w:line="86" w:lineRule="exact"/>
        <w:rPr>
          <w:sz w:val="24"/>
          <w:szCs w:val="24"/>
          <w:color w:val="auto"/>
        </w:rPr>
      </w:pPr>
    </w:p>
    <w:tbl>
      <w:tblPr>
        <w:tblLayout w:type="fixed"/>
        <w:tblInd w:w="500" w:type="dxa"/>
        <w:tblCellMar>
          <w:top w:w="0" w:type="dxa"/>
          <w:left w:w="0" w:type="dxa"/>
          <w:bottom w:w="0" w:type="dxa"/>
          <w:right w:w="0" w:type="dxa"/>
        </w:tblCellMar>
      </w:tblPr>
      <w:tr>
        <w:trPr>
          <w:trHeight w:val="203"/>
        </w:trPr>
        <w:tc>
          <w:tcPr>
            <w:tcW w:w="3920" w:type="dxa"/>
            <w:vAlign w:val="bottom"/>
          </w:tcPr>
          <w:p>
            <w:pPr>
              <w:jc w:val="center"/>
              <w:ind w:right="635"/>
              <w:spacing w:after="0"/>
              <w:rPr>
                <w:sz w:val="20"/>
                <w:szCs w:val="20"/>
                <w:color w:val="auto"/>
              </w:rPr>
            </w:pPr>
            <w:r>
              <w:rPr>
                <w:rFonts w:ascii="Arial" w:cs="Arial" w:eastAsia="Arial" w:hAnsi="Arial"/>
                <w:sz w:val="17"/>
                <w:szCs w:val="17"/>
                <w:color w:val="auto"/>
                <w:w w:val="99"/>
              </w:rPr>
              <w:t>Title of each class</w:t>
            </w:r>
          </w:p>
        </w:tc>
        <w:tc>
          <w:tcPr>
            <w:tcW w:w="2700" w:type="dxa"/>
            <w:vAlign w:val="bottom"/>
          </w:tcPr>
          <w:p>
            <w:pPr>
              <w:jc w:val="center"/>
              <w:ind w:left="15"/>
              <w:spacing w:after="0"/>
              <w:rPr>
                <w:sz w:val="20"/>
                <w:szCs w:val="20"/>
                <w:color w:val="auto"/>
              </w:rPr>
            </w:pPr>
            <w:r>
              <w:rPr>
                <w:rFonts w:ascii="Arial" w:cs="Arial" w:eastAsia="Arial" w:hAnsi="Arial"/>
                <w:sz w:val="17"/>
                <w:szCs w:val="17"/>
                <w:color w:val="auto"/>
              </w:rPr>
              <w:t>Trading Symbol(s)</w:t>
            </w:r>
          </w:p>
        </w:tc>
        <w:tc>
          <w:tcPr>
            <w:tcW w:w="4000" w:type="dxa"/>
            <w:vAlign w:val="bottom"/>
          </w:tcPr>
          <w:p>
            <w:pPr>
              <w:jc w:val="center"/>
              <w:ind w:left="535"/>
              <w:spacing w:after="0"/>
              <w:rPr>
                <w:sz w:val="20"/>
                <w:szCs w:val="20"/>
                <w:color w:val="auto"/>
              </w:rPr>
            </w:pPr>
            <w:r>
              <w:rPr>
                <w:rFonts w:ascii="Arial" w:cs="Arial" w:eastAsia="Arial" w:hAnsi="Arial"/>
                <w:sz w:val="17"/>
                <w:szCs w:val="17"/>
                <w:color w:val="auto"/>
              </w:rPr>
              <w:t>Name of each exchange on which registered</w:t>
            </w:r>
          </w:p>
        </w:tc>
      </w:tr>
      <w:tr>
        <w:trPr>
          <w:trHeight w:val="216"/>
        </w:trPr>
        <w:tc>
          <w:tcPr>
            <w:tcW w:w="3920" w:type="dxa"/>
            <w:vAlign w:val="bottom"/>
          </w:tcPr>
          <w:p>
            <w:pPr>
              <w:jc w:val="center"/>
              <w:ind w:right="635"/>
              <w:spacing w:after="0"/>
              <w:rPr>
                <w:sz w:val="20"/>
                <w:szCs w:val="20"/>
                <w:color w:val="auto"/>
              </w:rPr>
            </w:pPr>
            <w:r>
              <w:rPr>
                <w:rFonts w:ascii="Arial" w:cs="Arial" w:eastAsia="Arial" w:hAnsi="Arial"/>
                <w:sz w:val="17"/>
                <w:szCs w:val="17"/>
                <w:color w:val="auto"/>
              </w:rPr>
              <w:t>Common Stock, par value $0.01 per share</w:t>
            </w:r>
          </w:p>
        </w:tc>
        <w:tc>
          <w:tcPr>
            <w:tcW w:w="2700" w:type="dxa"/>
            <w:vAlign w:val="bottom"/>
          </w:tcPr>
          <w:p>
            <w:pPr>
              <w:jc w:val="center"/>
              <w:ind w:left="15"/>
              <w:spacing w:after="0"/>
              <w:rPr>
                <w:sz w:val="20"/>
                <w:szCs w:val="20"/>
                <w:color w:val="auto"/>
              </w:rPr>
            </w:pPr>
            <w:r>
              <w:rPr>
                <w:rFonts w:ascii="Arial" w:cs="Arial" w:eastAsia="Arial" w:hAnsi="Arial"/>
                <w:sz w:val="17"/>
                <w:szCs w:val="17"/>
                <w:color w:val="auto"/>
                <w:w w:val="95"/>
              </w:rPr>
              <w:t>BL</w:t>
            </w:r>
          </w:p>
        </w:tc>
        <w:tc>
          <w:tcPr>
            <w:tcW w:w="4000" w:type="dxa"/>
            <w:vAlign w:val="bottom"/>
          </w:tcPr>
          <w:p>
            <w:pPr>
              <w:jc w:val="center"/>
              <w:ind w:left="535"/>
              <w:spacing w:after="0"/>
              <w:rPr>
                <w:sz w:val="20"/>
                <w:szCs w:val="20"/>
                <w:color w:val="auto"/>
              </w:rPr>
            </w:pPr>
            <w:r>
              <w:rPr>
                <w:rFonts w:ascii="Arial" w:cs="Arial" w:eastAsia="Arial" w:hAnsi="Arial"/>
                <w:sz w:val="17"/>
                <w:szCs w:val="17"/>
                <w:color w:val="auto"/>
              </w:rPr>
              <w:t>The NASDAQ Stock Market LLC</w:t>
            </w:r>
          </w:p>
        </w:tc>
      </w:tr>
      <w:tr>
        <w:trPr>
          <w:trHeight w:val="205"/>
        </w:trPr>
        <w:tc>
          <w:tcPr>
            <w:tcW w:w="3920" w:type="dxa"/>
            <w:vAlign w:val="bottom"/>
          </w:tcPr>
          <w:p>
            <w:pPr>
              <w:spacing w:after="0"/>
              <w:rPr>
                <w:sz w:val="17"/>
                <w:szCs w:val="17"/>
                <w:color w:val="auto"/>
              </w:rPr>
            </w:pPr>
          </w:p>
        </w:tc>
        <w:tc>
          <w:tcPr>
            <w:tcW w:w="2700" w:type="dxa"/>
            <w:vAlign w:val="bottom"/>
          </w:tcPr>
          <w:p>
            <w:pPr>
              <w:spacing w:after="0"/>
              <w:rPr>
                <w:sz w:val="17"/>
                <w:szCs w:val="17"/>
                <w:color w:val="auto"/>
              </w:rPr>
            </w:pPr>
          </w:p>
        </w:tc>
        <w:tc>
          <w:tcPr>
            <w:tcW w:w="4000" w:type="dxa"/>
            <w:vAlign w:val="bottom"/>
          </w:tcPr>
          <w:p>
            <w:pPr>
              <w:jc w:val="center"/>
              <w:ind w:left="535"/>
              <w:spacing w:after="0"/>
              <w:rPr>
                <w:sz w:val="20"/>
                <w:szCs w:val="20"/>
                <w:color w:val="auto"/>
              </w:rPr>
            </w:pPr>
            <w:r>
              <w:rPr>
                <w:rFonts w:ascii="Arial" w:cs="Arial" w:eastAsia="Arial" w:hAnsi="Arial"/>
                <w:sz w:val="17"/>
                <w:szCs w:val="17"/>
                <w:color w:val="auto"/>
              </w:rPr>
              <w:t>(NASDAQ Global Select Market)</w:t>
            </w:r>
          </w:p>
        </w:tc>
      </w:tr>
    </w:tbl>
    <w:p>
      <w:pPr>
        <w:spacing w:after="0" w:line="45" w:lineRule="exact"/>
        <w:rPr>
          <w:sz w:val="24"/>
          <w:szCs w:val="24"/>
          <w:color w:val="auto"/>
        </w:rPr>
      </w:pPr>
    </w:p>
    <w:p>
      <w:pPr>
        <w:jc w:val="center"/>
        <w:ind w:right="-119"/>
        <w:spacing w:after="0"/>
        <w:rPr>
          <w:sz w:val="20"/>
          <w:szCs w:val="20"/>
          <w:color w:val="auto"/>
        </w:rPr>
      </w:pPr>
      <w:r>
        <w:rPr>
          <w:rFonts w:ascii="Arial" w:cs="Arial" w:eastAsia="Arial" w:hAnsi="Arial"/>
          <w:sz w:val="17"/>
          <w:szCs w:val="17"/>
          <w:b w:val="1"/>
          <w:bCs w:val="1"/>
          <w:color w:val="auto"/>
        </w:rPr>
        <w:t>Securities registered pursuant to Section 12(g) of the Act:</w:t>
      </w:r>
    </w:p>
    <w:p>
      <w:pPr>
        <w:spacing w:after="0" w:line="34" w:lineRule="exact"/>
        <w:rPr>
          <w:sz w:val="24"/>
          <w:szCs w:val="24"/>
          <w:color w:val="auto"/>
        </w:rPr>
      </w:pPr>
    </w:p>
    <w:p>
      <w:pPr>
        <w:jc w:val="center"/>
        <w:ind w:right="-119"/>
        <w:spacing w:after="0"/>
        <w:rPr>
          <w:sz w:val="20"/>
          <w:szCs w:val="20"/>
          <w:color w:val="auto"/>
        </w:rPr>
      </w:pPr>
      <w:r>
        <w:rPr>
          <w:rFonts w:ascii="Arial" w:cs="Arial" w:eastAsia="Arial" w:hAnsi="Arial"/>
          <w:sz w:val="17"/>
          <w:szCs w:val="17"/>
          <w:b w:val="1"/>
          <w:bCs w:val="1"/>
          <w:color w:val="auto"/>
        </w:rPr>
        <w:t>None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2903855</wp:posOffset>
            </wp:positionH>
            <wp:positionV relativeFrom="paragraph">
              <wp:posOffset>64135</wp:posOffset>
            </wp:positionV>
            <wp:extent cx="144907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113" w:lineRule="exact"/>
        <w:rPr>
          <w:sz w:val="24"/>
          <w:szCs w:val="24"/>
          <w:color w:val="auto"/>
        </w:rPr>
      </w:pPr>
    </w:p>
    <w:p>
      <w:pPr>
        <w:spacing w:after="0" w:line="161" w:lineRule="exact"/>
        <w:tabs>
          <w:tab w:leader="none" w:pos="7100" w:val="left"/>
          <w:tab w:leader="none" w:pos="7680" w:val="left"/>
        </w:tabs>
        <w:rPr>
          <w:sz w:val="20"/>
          <w:szCs w:val="20"/>
          <w:color w:val="auto"/>
        </w:rPr>
      </w:pPr>
      <w:r>
        <w:rPr>
          <w:rFonts w:ascii="Arial" w:cs="Arial" w:eastAsia="Arial" w:hAnsi="Arial"/>
          <w:sz w:val="14"/>
          <w:szCs w:val="14"/>
          <w:color w:val="auto"/>
        </w:rPr>
        <w:t>Indicate by check mark if the registrant is a well-known seasoned issuer, as defined in Rule 405 of the Securities Act.</w:t>
        <w:tab/>
        <w:t xml:space="preserve">Yes </w:t>
      </w:r>
      <w:r>
        <w:rPr>
          <w:rFonts w:ascii="MS PGothic" w:cs="MS PGothic" w:eastAsia="MS PGothic" w:hAnsi="MS PGothic"/>
          <w:sz w:val="14"/>
          <w:szCs w:val="14"/>
          <w:color w:val="auto"/>
        </w:rPr>
        <w:t>☒</w:t>
      </w:r>
      <w:r>
        <w:rPr>
          <w:rFonts w:ascii="Arial" w:cs="Arial" w:eastAsia="Arial" w:hAnsi="Arial"/>
          <w:sz w:val="14"/>
          <w:szCs w:val="14"/>
          <w:color w:val="auto"/>
        </w:rPr>
        <w:tab/>
        <w:t xml:space="preserve">No </w:t>
      </w:r>
      <w:r>
        <w:rPr>
          <w:rFonts w:ascii="MS PGothic" w:cs="MS PGothic" w:eastAsia="MS PGothic" w:hAnsi="MS PGothic"/>
          <w:sz w:val="14"/>
          <w:szCs w:val="14"/>
          <w:color w:val="auto"/>
        </w:rPr>
        <w:t>☐</w:t>
      </w:r>
    </w:p>
    <w:p>
      <w:pPr>
        <w:spacing w:after="0" w:line="50" w:lineRule="exact"/>
        <w:rPr>
          <w:sz w:val="24"/>
          <w:szCs w:val="24"/>
          <w:color w:val="auto"/>
        </w:rPr>
      </w:pPr>
    </w:p>
    <w:p>
      <w:pPr>
        <w:spacing w:after="0" w:line="161" w:lineRule="exact"/>
        <w:tabs>
          <w:tab w:leader="none" w:pos="10220" w:val="left"/>
          <w:tab w:leader="none" w:pos="10800" w:val="left"/>
        </w:tabs>
        <w:rPr>
          <w:sz w:val="20"/>
          <w:szCs w:val="20"/>
          <w:color w:val="auto"/>
        </w:rPr>
      </w:pPr>
      <w:r>
        <w:rPr>
          <w:rFonts w:ascii="Arial" w:cs="Arial" w:eastAsia="Arial" w:hAnsi="Arial"/>
          <w:sz w:val="14"/>
          <w:szCs w:val="14"/>
          <w:color w:val="auto"/>
        </w:rPr>
        <w:t>Indicate by check mark if the registrant is not required to file reports pursuant to Section 13 or Section 15(d) of the Securities Exchange Act of 1934 (the “Exchange Act”).</w:t>
        <w:tab/>
        <w:t xml:space="preserve">Yes </w:t>
      </w:r>
      <w:r>
        <w:rPr>
          <w:rFonts w:ascii="MS PGothic" w:cs="MS PGothic" w:eastAsia="MS PGothic" w:hAnsi="MS PGothic"/>
          <w:sz w:val="14"/>
          <w:szCs w:val="14"/>
          <w:color w:val="auto"/>
        </w:rPr>
        <w:t>☐</w:t>
      </w:r>
      <w:r>
        <w:rPr>
          <w:rFonts w:ascii="Arial" w:cs="Arial" w:eastAsia="Arial" w:hAnsi="Arial"/>
          <w:sz w:val="14"/>
          <w:szCs w:val="14"/>
          <w:color w:val="auto"/>
        </w:rPr>
        <w:tab/>
        <w:t xml:space="preserve">No </w:t>
      </w:r>
      <w:r>
        <w:rPr>
          <w:rFonts w:ascii="MS PGothic" w:cs="MS PGothic" w:eastAsia="MS PGothic" w:hAnsi="MS PGothic"/>
          <w:sz w:val="14"/>
          <w:szCs w:val="14"/>
          <w:color w:val="auto"/>
        </w:rPr>
        <w:t>☒</w:t>
      </w:r>
    </w:p>
    <w:p>
      <w:pPr>
        <w:spacing w:after="0" w:line="68" w:lineRule="exact"/>
        <w:rPr>
          <w:sz w:val="24"/>
          <w:szCs w:val="24"/>
          <w:color w:val="auto"/>
        </w:rPr>
      </w:pPr>
    </w:p>
    <w:p>
      <w:pPr>
        <w:ind w:right="280"/>
        <w:spacing w:after="0" w:line="163" w:lineRule="exact"/>
        <w:rPr>
          <w:sz w:val="20"/>
          <w:szCs w:val="20"/>
          <w:color w:val="auto"/>
        </w:rPr>
      </w:pPr>
      <w:r>
        <w:rPr>
          <w:rFonts w:ascii="Arial" w:cs="Arial" w:eastAsia="Arial" w:hAnsi="Arial"/>
          <w:sz w:val="14"/>
          <w:szCs w:val="14"/>
          <w:color w:val="auto"/>
        </w:rPr>
        <w:t xml:space="preserve">Indicate by check mark whether the registrant: (1) has filed all reports required to be filed by Section 13 or 15(d) of the Exchange Act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26" w:lineRule="exact"/>
        <w:rPr>
          <w:sz w:val="24"/>
          <w:szCs w:val="24"/>
          <w:color w:val="auto"/>
        </w:rPr>
      </w:pPr>
    </w:p>
    <w:p>
      <w:pPr>
        <w:ind w:right="320"/>
        <w:spacing w:after="0" w:line="163" w:lineRule="exact"/>
        <w:rPr>
          <w:sz w:val="20"/>
          <w:szCs w:val="20"/>
          <w:color w:val="auto"/>
        </w:rPr>
      </w:pPr>
      <w:r>
        <w:rPr>
          <w:rFonts w:ascii="Arial" w:cs="Arial" w:eastAsia="Arial" w:hAnsi="Arial"/>
          <w:sz w:val="14"/>
          <w:szCs w:val="14"/>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26" w:lineRule="exact"/>
        <w:rPr>
          <w:sz w:val="24"/>
          <w:szCs w:val="24"/>
          <w:color w:val="auto"/>
        </w:rPr>
      </w:pPr>
    </w:p>
    <w:p>
      <w:pPr>
        <w:ind w:right="80"/>
        <w:spacing w:after="0" w:line="231" w:lineRule="auto"/>
        <w:rPr>
          <w:sz w:val="20"/>
          <w:szCs w:val="20"/>
          <w:color w:val="auto"/>
        </w:rPr>
      </w:pPr>
      <w:r>
        <w:rPr>
          <w:rFonts w:ascii="Arial" w:cs="Arial" w:eastAsia="Arial" w:hAnsi="Arial"/>
          <w:sz w:val="14"/>
          <w:szCs w:val="14"/>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23" w:lineRule="exact"/>
        <w:rPr>
          <w:sz w:val="24"/>
          <w:szCs w:val="24"/>
          <w:color w:val="auto"/>
        </w:rPr>
      </w:pPr>
    </w:p>
    <w:tbl>
      <w:tblPr>
        <w:tblLayout w:type="fixed"/>
        <w:tblInd w:w="0" w:type="dxa"/>
        <w:tblCellMar>
          <w:top w:w="0" w:type="dxa"/>
          <w:left w:w="0" w:type="dxa"/>
          <w:bottom w:w="0" w:type="dxa"/>
          <w:right w:w="0" w:type="dxa"/>
        </w:tblCellMar>
      </w:tblPr>
      <w:tr>
        <w:trPr>
          <w:trHeight w:val="176"/>
        </w:trPr>
        <w:tc>
          <w:tcPr>
            <w:tcW w:w="1960" w:type="dxa"/>
            <w:vAlign w:val="bottom"/>
          </w:tcPr>
          <w:p>
            <w:pPr>
              <w:spacing w:after="0"/>
              <w:rPr>
                <w:sz w:val="20"/>
                <w:szCs w:val="20"/>
                <w:color w:val="auto"/>
              </w:rPr>
            </w:pPr>
            <w:r>
              <w:rPr>
                <w:rFonts w:ascii="Arial" w:cs="Arial" w:eastAsia="Arial" w:hAnsi="Arial"/>
                <w:sz w:val="14"/>
                <w:szCs w:val="14"/>
                <w:color w:val="auto"/>
              </w:rPr>
              <w:t>Large accelerated filer</w:t>
            </w:r>
          </w:p>
        </w:tc>
        <w:tc>
          <w:tcPr>
            <w:tcW w:w="3620" w:type="dxa"/>
            <w:vAlign w:val="bottom"/>
          </w:tcPr>
          <w:p>
            <w:pPr>
              <w:ind w:left="540"/>
              <w:spacing w:after="0" w:line="141" w:lineRule="exact"/>
              <w:rPr>
                <w:sz w:val="20"/>
                <w:szCs w:val="20"/>
                <w:color w:val="auto"/>
              </w:rPr>
            </w:pPr>
            <w:r>
              <w:rPr>
                <w:rFonts w:ascii="MS PGothic" w:cs="MS PGothic" w:eastAsia="MS PGothic" w:hAnsi="MS PGothic"/>
                <w:sz w:val="14"/>
                <w:szCs w:val="14"/>
                <w:color w:val="auto"/>
              </w:rPr>
              <w:t>☒</w:t>
            </w:r>
          </w:p>
        </w:tc>
        <w:tc>
          <w:tcPr>
            <w:tcW w:w="5120" w:type="dxa"/>
            <w:vAlign w:val="bottom"/>
          </w:tcPr>
          <w:p>
            <w:pPr>
              <w:ind w:left="2940"/>
              <w:spacing w:after="0"/>
              <w:rPr>
                <w:sz w:val="20"/>
                <w:szCs w:val="20"/>
                <w:color w:val="auto"/>
              </w:rPr>
            </w:pPr>
            <w:r>
              <w:rPr>
                <w:rFonts w:ascii="Arial" w:cs="Arial" w:eastAsia="Arial" w:hAnsi="Arial"/>
                <w:sz w:val="14"/>
                <w:szCs w:val="14"/>
                <w:color w:val="auto"/>
              </w:rPr>
              <w:t>Accelerated filer</w:t>
            </w:r>
          </w:p>
        </w:tc>
        <w:tc>
          <w:tcPr>
            <w:tcW w:w="600" w:type="dxa"/>
            <w:vAlign w:val="bottom"/>
          </w:tcPr>
          <w:p>
            <w:pPr>
              <w:ind w:left="460"/>
              <w:spacing w:after="0" w:line="141" w:lineRule="exact"/>
              <w:rPr>
                <w:sz w:val="20"/>
                <w:szCs w:val="20"/>
                <w:color w:val="auto"/>
              </w:rPr>
            </w:pPr>
            <w:r>
              <w:rPr>
                <w:rFonts w:ascii="MS PGothic" w:cs="MS PGothic" w:eastAsia="MS PGothic" w:hAnsi="MS PGothic"/>
                <w:sz w:val="14"/>
                <w:szCs w:val="14"/>
                <w:color w:val="auto"/>
                <w:w w:val="85"/>
              </w:rPr>
              <w:t>☐</w:t>
            </w:r>
          </w:p>
        </w:tc>
      </w:tr>
      <w:tr>
        <w:trPr>
          <w:trHeight w:val="181"/>
        </w:trPr>
        <w:tc>
          <w:tcPr>
            <w:tcW w:w="1960" w:type="dxa"/>
            <w:vAlign w:val="bottom"/>
          </w:tcPr>
          <w:p>
            <w:pPr>
              <w:spacing w:after="0"/>
              <w:rPr>
                <w:sz w:val="20"/>
                <w:szCs w:val="20"/>
                <w:color w:val="auto"/>
              </w:rPr>
            </w:pPr>
            <w:r>
              <w:rPr>
                <w:rFonts w:ascii="Arial" w:cs="Arial" w:eastAsia="Arial" w:hAnsi="Arial"/>
                <w:sz w:val="14"/>
                <w:szCs w:val="14"/>
                <w:color w:val="auto"/>
              </w:rPr>
              <w:t>Non-accelerated filer</w:t>
            </w:r>
          </w:p>
        </w:tc>
        <w:tc>
          <w:tcPr>
            <w:tcW w:w="3620" w:type="dxa"/>
            <w:vAlign w:val="bottom"/>
          </w:tcPr>
          <w:p>
            <w:pPr>
              <w:ind w:left="540"/>
              <w:spacing w:after="0" w:line="141" w:lineRule="exact"/>
              <w:rPr>
                <w:sz w:val="20"/>
                <w:szCs w:val="20"/>
                <w:color w:val="auto"/>
              </w:rPr>
            </w:pPr>
            <w:r>
              <w:rPr>
                <w:rFonts w:ascii="MS PGothic" w:cs="MS PGothic" w:eastAsia="MS PGothic" w:hAnsi="MS PGothic"/>
                <w:sz w:val="14"/>
                <w:szCs w:val="14"/>
                <w:color w:val="auto"/>
              </w:rPr>
              <w:t>☐</w:t>
            </w:r>
          </w:p>
        </w:tc>
        <w:tc>
          <w:tcPr>
            <w:tcW w:w="5120" w:type="dxa"/>
            <w:vAlign w:val="bottom"/>
          </w:tcPr>
          <w:p>
            <w:pPr>
              <w:ind w:left="2940"/>
              <w:spacing w:after="0"/>
              <w:rPr>
                <w:sz w:val="20"/>
                <w:szCs w:val="20"/>
                <w:color w:val="auto"/>
              </w:rPr>
            </w:pPr>
            <w:r>
              <w:rPr>
                <w:rFonts w:ascii="Arial" w:cs="Arial" w:eastAsia="Arial" w:hAnsi="Arial"/>
                <w:sz w:val="14"/>
                <w:szCs w:val="14"/>
                <w:color w:val="auto"/>
              </w:rPr>
              <w:t>Smaller reporting company</w:t>
            </w:r>
          </w:p>
        </w:tc>
        <w:tc>
          <w:tcPr>
            <w:tcW w:w="600" w:type="dxa"/>
            <w:vAlign w:val="bottom"/>
          </w:tcPr>
          <w:p>
            <w:pPr>
              <w:ind w:left="460"/>
              <w:spacing w:after="0" w:line="141" w:lineRule="exact"/>
              <w:rPr>
                <w:sz w:val="20"/>
                <w:szCs w:val="20"/>
                <w:color w:val="auto"/>
              </w:rPr>
            </w:pPr>
            <w:r>
              <w:rPr>
                <w:rFonts w:ascii="MS PGothic" w:cs="MS PGothic" w:eastAsia="MS PGothic" w:hAnsi="MS PGothic"/>
                <w:sz w:val="14"/>
                <w:szCs w:val="14"/>
                <w:color w:val="auto"/>
                <w:w w:val="85"/>
              </w:rPr>
              <w:t>☐</w:t>
            </w:r>
          </w:p>
        </w:tc>
      </w:tr>
      <w:tr>
        <w:trPr>
          <w:trHeight w:val="226"/>
        </w:trPr>
        <w:tc>
          <w:tcPr>
            <w:tcW w:w="1960" w:type="dxa"/>
            <w:vAlign w:val="bottom"/>
          </w:tcPr>
          <w:p>
            <w:pPr>
              <w:spacing w:after="0"/>
              <w:rPr>
                <w:sz w:val="19"/>
                <w:szCs w:val="19"/>
                <w:color w:val="auto"/>
              </w:rPr>
            </w:pPr>
          </w:p>
        </w:tc>
        <w:tc>
          <w:tcPr>
            <w:tcW w:w="3620" w:type="dxa"/>
            <w:vAlign w:val="bottom"/>
          </w:tcPr>
          <w:p>
            <w:pPr>
              <w:spacing w:after="0"/>
              <w:rPr>
                <w:sz w:val="19"/>
                <w:szCs w:val="19"/>
                <w:color w:val="auto"/>
              </w:rPr>
            </w:pPr>
          </w:p>
        </w:tc>
        <w:tc>
          <w:tcPr>
            <w:tcW w:w="5120" w:type="dxa"/>
            <w:vAlign w:val="bottom"/>
          </w:tcPr>
          <w:p>
            <w:pPr>
              <w:ind w:left="2940"/>
              <w:spacing w:after="0"/>
              <w:rPr>
                <w:sz w:val="20"/>
                <w:szCs w:val="20"/>
                <w:color w:val="auto"/>
              </w:rPr>
            </w:pPr>
            <w:r>
              <w:rPr>
                <w:rFonts w:ascii="Arial" w:cs="Arial" w:eastAsia="Arial" w:hAnsi="Arial"/>
                <w:sz w:val="14"/>
                <w:szCs w:val="14"/>
                <w:color w:val="auto"/>
              </w:rPr>
              <w:t>Emerging growth company</w:t>
            </w:r>
          </w:p>
        </w:tc>
        <w:tc>
          <w:tcPr>
            <w:tcW w:w="600" w:type="dxa"/>
            <w:vAlign w:val="bottom"/>
          </w:tcPr>
          <w:p>
            <w:pPr>
              <w:ind w:left="460"/>
              <w:spacing w:after="0" w:line="141" w:lineRule="exact"/>
              <w:rPr>
                <w:sz w:val="20"/>
                <w:szCs w:val="20"/>
                <w:color w:val="auto"/>
              </w:rPr>
            </w:pPr>
            <w:r>
              <w:rPr>
                <w:rFonts w:ascii="MS PGothic" w:cs="MS PGothic" w:eastAsia="MS PGothic" w:hAnsi="MS PGothic"/>
                <w:sz w:val="14"/>
                <w:szCs w:val="14"/>
                <w:color w:val="auto"/>
                <w:w w:val="85"/>
              </w:rPr>
              <w:t>☐</w:t>
            </w:r>
          </w:p>
        </w:tc>
      </w:tr>
    </w:tbl>
    <w:p>
      <w:pPr>
        <w:spacing w:after="0" w:line="98" w:lineRule="exact"/>
        <w:rPr>
          <w:sz w:val="24"/>
          <w:szCs w:val="24"/>
          <w:color w:val="auto"/>
        </w:rPr>
      </w:pPr>
    </w:p>
    <w:p>
      <w:pPr>
        <w:ind w:right="380"/>
        <w:spacing w:after="0" w:line="163" w:lineRule="exact"/>
        <w:rPr>
          <w:sz w:val="20"/>
          <w:szCs w:val="20"/>
          <w:color w:val="auto"/>
        </w:rPr>
      </w:pPr>
      <w:r>
        <w:rPr>
          <w:rFonts w:ascii="Arial" w:cs="Arial" w:eastAsia="Arial" w:hAnsi="Arial"/>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4"/>
          <w:szCs w:val="14"/>
          <w:color w:val="auto"/>
        </w:rPr>
        <w:t>☐</w:t>
      </w:r>
    </w:p>
    <w:p>
      <w:pPr>
        <w:spacing w:after="0" w:line="161" w:lineRule="exact"/>
        <w:tabs>
          <w:tab w:leader="none" w:pos="6880" w:val="left"/>
          <w:tab w:leader="none" w:pos="7460" w:val="left"/>
        </w:tabs>
        <w:rPr>
          <w:sz w:val="20"/>
          <w:szCs w:val="20"/>
          <w:color w:val="auto"/>
        </w:rPr>
      </w:pPr>
      <w:r>
        <w:rPr>
          <w:rFonts w:ascii="Arial" w:cs="Arial" w:eastAsia="Arial" w:hAnsi="Arial"/>
          <w:sz w:val="14"/>
          <w:szCs w:val="14"/>
          <w:color w:val="auto"/>
        </w:rPr>
        <w:t>Indicate by check mark whether the registrant is a shell company (as defined in Rule 12b-2 of the Exchange Act).</w:t>
        <w:tab/>
        <w:t xml:space="preserve">Yes </w:t>
      </w:r>
      <w:r>
        <w:rPr>
          <w:rFonts w:ascii="MS PGothic" w:cs="MS PGothic" w:eastAsia="MS PGothic" w:hAnsi="MS PGothic"/>
          <w:sz w:val="14"/>
          <w:szCs w:val="14"/>
          <w:color w:val="auto"/>
        </w:rPr>
        <w:t>☐</w:t>
      </w:r>
      <w:r>
        <w:rPr>
          <w:rFonts w:ascii="Arial" w:cs="Arial" w:eastAsia="Arial" w:hAnsi="Arial"/>
          <w:sz w:val="14"/>
          <w:szCs w:val="14"/>
          <w:color w:val="auto"/>
        </w:rPr>
        <w:tab/>
        <w:t xml:space="preserve">No </w:t>
      </w:r>
      <w:r>
        <w:rPr>
          <w:rFonts w:ascii="MS PGothic" w:cs="MS PGothic" w:eastAsia="MS PGothic" w:hAnsi="MS PGothic"/>
          <w:sz w:val="14"/>
          <w:szCs w:val="14"/>
          <w:color w:val="auto"/>
        </w:rPr>
        <w:t>☒</w:t>
      </w:r>
    </w:p>
    <w:p>
      <w:pPr>
        <w:spacing w:after="0" w:line="68" w:lineRule="exact"/>
        <w:rPr>
          <w:sz w:val="24"/>
          <w:szCs w:val="24"/>
          <w:color w:val="auto"/>
        </w:rPr>
      </w:pPr>
    </w:p>
    <w:p>
      <w:pPr>
        <w:jc w:val="both"/>
        <w:spacing w:after="0" w:line="226" w:lineRule="auto"/>
        <w:rPr>
          <w:sz w:val="20"/>
          <w:szCs w:val="20"/>
          <w:color w:val="auto"/>
        </w:rPr>
      </w:pPr>
      <w:r>
        <w:rPr>
          <w:rFonts w:ascii="Arial" w:cs="Arial" w:eastAsia="Arial" w:hAnsi="Arial"/>
          <w:sz w:val="14"/>
          <w:szCs w:val="14"/>
          <w:color w:val="auto"/>
        </w:rPr>
        <w:t>The aggregate market value of the registrant’s common stock held by non-affiliates of the registrant, based on the closing price of a share of the registrant’s common stock on June 30, 2019 as reported by the NASDAQ Global Select Market on such date was $2.408 billion. Shares of the registrant’s common stock held by each executive officer, director and holder of 5% or more of the outstanding common stock have been excluded in that such persons may be deemed to be affiliates. This calculation does not reflect a determination that certain persons are affiliates of the registrant for any other purpose.</w:t>
      </w:r>
    </w:p>
    <w:p>
      <w:pPr>
        <w:spacing w:after="0" w:line="42" w:lineRule="exact"/>
        <w:rPr>
          <w:sz w:val="24"/>
          <w:szCs w:val="24"/>
          <w:color w:val="auto"/>
        </w:rPr>
      </w:pPr>
    </w:p>
    <w:p>
      <w:pPr>
        <w:spacing w:after="0"/>
        <w:rPr>
          <w:sz w:val="20"/>
          <w:szCs w:val="20"/>
          <w:color w:val="auto"/>
        </w:rPr>
      </w:pPr>
      <w:r>
        <w:rPr>
          <w:rFonts w:ascii="Arial" w:cs="Arial" w:eastAsia="Arial" w:hAnsi="Arial"/>
          <w:sz w:val="14"/>
          <w:szCs w:val="14"/>
          <w:color w:val="auto"/>
        </w:rPr>
        <w:t>At February 21, 2020, 56,300,027 shares of the registrant’s common stock, $0.01 par value, were outstanding.</w:t>
      </w:r>
    </w:p>
    <w:p>
      <w:pPr>
        <w:spacing w:after="0" w:line="16" w:lineRule="exact"/>
        <w:rPr>
          <w:sz w:val="24"/>
          <w:szCs w:val="24"/>
          <w:color w:val="auto"/>
        </w:rPr>
      </w:pPr>
    </w:p>
    <w:p>
      <w:pPr>
        <w:jc w:val="center"/>
        <w:ind w:right="-119"/>
        <w:spacing w:after="0"/>
        <w:rPr>
          <w:sz w:val="20"/>
          <w:szCs w:val="20"/>
          <w:color w:val="auto"/>
        </w:rPr>
      </w:pPr>
      <w:r>
        <w:rPr>
          <w:rFonts w:ascii="Arial" w:cs="Arial" w:eastAsia="Arial" w:hAnsi="Arial"/>
          <w:sz w:val="17"/>
          <w:szCs w:val="17"/>
          <w:b w:val="1"/>
          <w:bCs w:val="1"/>
          <w:color w:val="auto"/>
        </w:rPr>
        <w:t>DOCUMENTS INCORPORATED BY REFERENCE</w:t>
      </w:r>
    </w:p>
    <w:p>
      <w:pPr>
        <w:spacing w:after="0" w:line="73" w:lineRule="exact"/>
        <w:rPr>
          <w:sz w:val="24"/>
          <w:szCs w:val="24"/>
          <w:color w:val="auto"/>
        </w:rPr>
      </w:pPr>
    </w:p>
    <w:p>
      <w:pPr>
        <w:ind w:right="20"/>
        <w:spacing w:after="0" w:line="228" w:lineRule="auto"/>
        <w:rPr>
          <w:sz w:val="20"/>
          <w:szCs w:val="20"/>
          <w:color w:val="auto"/>
        </w:rPr>
      </w:pPr>
      <w:r>
        <w:rPr>
          <w:rFonts w:ascii="Arial" w:cs="Arial" w:eastAsia="Arial" w:hAnsi="Arial"/>
          <w:sz w:val="14"/>
          <w:szCs w:val="14"/>
          <w:color w:val="auto"/>
        </w:rPr>
        <w:t>Portions of the information called for by Part III of this Annual Report on Form 10-K where indicated are hereby incorporated by reference from the Definitive Proxy Statement for the registrant’s Annual Meeting of Stockholders to be held in 2020, which will be filed with the Securities and Exchange Commission not later than 120 days after the end of the registrant’s fiscal year ended December 31, 2019.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52070</wp:posOffset>
            </wp:positionV>
            <wp:extent cx="72466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69215</wp:posOffset>
            </wp:positionV>
            <wp:extent cx="72466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519430</wp:posOffset>
            </wp:positionV>
            <wp:extent cx="72720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300"/>
          </w:cols>
          <w:pgMar w:left="240" w:top="383" w:right="35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07"/>
        </w:trPr>
        <w:tc>
          <w:tcPr>
            <w:tcW w:w="9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5940" w:type="dxa"/>
            <w:vAlign w:val="bottom"/>
            <w:gridSpan w:val="8"/>
          </w:tcPr>
          <w:p>
            <w:pPr>
              <w:jc w:val="center"/>
              <w:ind w:right="3880"/>
              <w:spacing w:after="0"/>
              <w:rPr>
                <w:sz w:val="20"/>
                <w:szCs w:val="20"/>
                <w:color w:val="auto"/>
              </w:rPr>
            </w:pPr>
            <w:r>
              <w:rPr>
                <w:rFonts w:ascii="Arial" w:cs="Arial" w:eastAsia="Arial" w:hAnsi="Arial"/>
                <w:sz w:val="18"/>
                <w:szCs w:val="18"/>
                <w:b w:val="1"/>
                <w:bCs w:val="1"/>
                <w:color w:val="auto"/>
                <w:w w:val="99"/>
              </w:rPr>
              <w:t>BLACKLINE, INC.</w:t>
            </w: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9"/>
        </w:trPr>
        <w:tc>
          <w:tcPr>
            <w:tcW w:w="9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400" w:type="dxa"/>
            <w:vAlign w:val="bottom"/>
            <w:gridSpan w:val="11"/>
          </w:tcPr>
          <w:p>
            <w:pPr>
              <w:jc w:val="center"/>
              <w:ind w:right="2420"/>
              <w:spacing w:after="0"/>
              <w:rPr>
                <w:sz w:val="20"/>
                <w:szCs w:val="20"/>
                <w:color w:val="auto"/>
              </w:rPr>
            </w:pPr>
            <w:r>
              <w:rPr>
                <w:rFonts w:ascii="Arial" w:cs="Arial" w:eastAsia="Arial" w:hAnsi="Arial"/>
                <w:sz w:val="18"/>
                <w:szCs w:val="18"/>
                <w:b w:val="1"/>
                <w:bCs w:val="1"/>
                <w:color w:val="auto"/>
                <w:w w:val="99"/>
              </w:rPr>
              <w:t>2019 ANNUAL REPORT ON FORM 10-K</w:t>
            </w:r>
          </w:p>
        </w:tc>
        <w:tc>
          <w:tcPr>
            <w:tcW w:w="8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9"/>
        </w:trPr>
        <w:tc>
          <w:tcPr>
            <w:tcW w:w="9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5940" w:type="dxa"/>
            <w:vAlign w:val="bottom"/>
            <w:gridSpan w:val="8"/>
          </w:tcPr>
          <w:p>
            <w:pPr>
              <w:jc w:val="center"/>
              <w:ind w:right="3860"/>
              <w:spacing w:after="0"/>
              <w:rPr>
                <w:sz w:val="20"/>
                <w:szCs w:val="20"/>
                <w:color w:val="auto"/>
              </w:rPr>
            </w:pPr>
            <w:r>
              <w:rPr>
                <w:rFonts w:ascii="Arial" w:cs="Arial" w:eastAsia="Arial" w:hAnsi="Arial"/>
                <w:sz w:val="18"/>
                <w:szCs w:val="18"/>
                <w:b w:val="1"/>
                <w:bCs w:val="1"/>
                <w:color w:val="auto"/>
                <w:w w:val="98"/>
              </w:rPr>
              <w:t>TABLE OF CONTENTS</w:t>
            </w: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9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5940" w:type="dxa"/>
            <w:vAlign w:val="bottom"/>
            <w:gridSpan w:val="8"/>
            <w:vMerge w:val="restart"/>
          </w:tcPr>
          <w:p>
            <w:pPr>
              <w:jc w:val="center"/>
              <w:ind w:right="3880"/>
              <w:spacing w:after="0"/>
              <w:rPr>
                <w:sz w:val="20"/>
                <w:szCs w:val="20"/>
                <w:color w:val="auto"/>
              </w:rPr>
            </w:pPr>
            <w:r>
              <w:rPr>
                <w:rFonts w:ascii="Arial" w:cs="Arial" w:eastAsia="Arial" w:hAnsi="Arial"/>
                <w:sz w:val="18"/>
                <w:szCs w:val="18"/>
                <w:b w:val="1"/>
                <w:bCs w:val="1"/>
                <w:color w:val="auto"/>
                <w:w w:val="98"/>
              </w:rPr>
              <w:t>PART I</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8"/>
              </w:rPr>
              <w:t>Page No.</w:t>
            </w:r>
          </w:p>
        </w:tc>
        <w:tc>
          <w:tcPr>
            <w:tcW w:w="0" w:type="dxa"/>
            <w:vAlign w:val="bottom"/>
          </w:tcPr>
          <w:p>
            <w:pPr>
              <w:spacing w:after="0"/>
              <w:rPr>
                <w:sz w:val="1"/>
                <w:szCs w:val="1"/>
                <w:color w:val="auto"/>
              </w:rPr>
            </w:pPr>
          </w:p>
        </w:tc>
      </w:tr>
      <w:tr>
        <w:trPr>
          <w:trHeight w:val="195"/>
        </w:trPr>
        <w:tc>
          <w:tcPr>
            <w:tcW w:w="9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5940" w:type="dxa"/>
            <w:vAlign w:val="bottom"/>
            <w:gridSpan w:val="8"/>
            <w:vMerge w:val="continue"/>
          </w:tcPr>
          <w:p>
            <w:pPr>
              <w:spacing w:after="0"/>
              <w:rPr>
                <w:sz w:val="16"/>
                <w:szCs w:val="16"/>
                <w:color w:val="auto"/>
              </w:rPr>
            </w:pPr>
          </w:p>
        </w:tc>
        <w:tc>
          <w:tcPr>
            <w:tcW w:w="8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6"/>
        </w:trPr>
        <w:tc>
          <w:tcPr>
            <w:tcW w:w="960" w:type="dxa"/>
            <w:vAlign w:val="bottom"/>
          </w:tcPr>
          <w:p>
            <w:pPr>
              <w:spacing w:after="0" w:line="176" w:lineRule="exact"/>
              <w:rPr>
                <w:sz w:val="20"/>
                <w:szCs w:val="20"/>
                <w:color w:val="auto"/>
              </w:rPr>
            </w:pPr>
            <w:r>
              <w:rPr>
                <w:rFonts w:ascii="Arial" w:cs="Arial" w:eastAsia="Arial" w:hAnsi="Arial"/>
                <w:sz w:val="18"/>
                <w:szCs w:val="18"/>
                <w:color w:val="auto"/>
              </w:rPr>
              <w:t>Item 1.</w:t>
            </w:r>
          </w:p>
        </w:tc>
        <w:tc>
          <w:tcPr>
            <w:tcW w:w="740" w:type="dxa"/>
            <w:vAlign w:val="bottom"/>
            <w:tcBorders>
              <w:bottom w:val="single" w:sz="8" w:color="0000EE"/>
            </w:tcBorders>
          </w:tcPr>
          <w:p>
            <w:pPr>
              <w:spacing w:after="0" w:line="176" w:lineRule="exact"/>
              <w:rPr>
                <w:rFonts w:ascii="Arial" w:cs="Arial" w:eastAsia="Arial" w:hAnsi="Arial"/>
                <w:sz w:val="18"/>
                <w:szCs w:val="18"/>
                <w:color w:val="0000EE"/>
                <w:w w:val="98"/>
              </w:rPr>
            </w:pPr>
            <w:hyperlink w:anchor="page3">
              <w:r>
                <w:rPr>
                  <w:rFonts w:ascii="Arial" w:cs="Arial" w:eastAsia="Arial" w:hAnsi="Arial"/>
                  <w:sz w:val="18"/>
                  <w:szCs w:val="18"/>
                  <w:color w:val="0000EE"/>
                  <w:w w:val="98"/>
                </w:rPr>
                <w:t>Business</w:t>
              </w:r>
            </w:hyperlink>
          </w:p>
        </w:tc>
        <w:tc>
          <w:tcPr>
            <w:tcW w:w="8920" w:type="dxa"/>
            <w:vAlign w:val="bottom"/>
            <w:gridSpan w:val="21"/>
          </w:tcPr>
          <w:p>
            <w:pPr>
              <w:spacing w:after="0"/>
              <w:rPr>
                <w:sz w:val="15"/>
                <w:szCs w:val="15"/>
                <w:color w:val="auto"/>
              </w:rPr>
            </w:pPr>
          </w:p>
        </w:tc>
        <w:tc>
          <w:tcPr>
            <w:tcW w:w="800" w:type="dxa"/>
            <w:vAlign w:val="bottom"/>
          </w:tcPr>
          <w:p>
            <w:pPr>
              <w:jc w:val="right"/>
              <w:spacing w:after="0" w:line="176" w:lineRule="exact"/>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183"/>
        </w:trPr>
        <w:tc>
          <w:tcPr>
            <w:tcW w:w="960" w:type="dxa"/>
            <w:vAlign w:val="bottom"/>
          </w:tcPr>
          <w:p>
            <w:pPr>
              <w:spacing w:after="0" w:line="182" w:lineRule="exact"/>
              <w:rPr>
                <w:sz w:val="20"/>
                <w:szCs w:val="20"/>
                <w:color w:val="auto"/>
              </w:rPr>
            </w:pPr>
            <w:r>
              <w:rPr>
                <w:rFonts w:ascii="Arial" w:cs="Arial" w:eastAsia="Arial" w:hAnsi="Arial"/>
                <w:sz w:val="18"/>
                <w:szCs w:val="18"/>
                <w:color w:val="auto"/>
              </w:rPr>
              <w:t>Item 1A.</w:t>
            </w:r>
          </w:p>
        </w:tc>
        <w:tc>
          <w:tcPr>
            <w:tcW w:w="9660" w:type="dxa"/>
            <w:vAlign w:val="bottom"/>
            <w:gridSpan w:val="22"/>
          </w:tcPr>
          <w:p>
            <w:pPr>
              <w:spacing w:after="0" w:line="182" w:lineRule="exact"/>
              <w:rPr>
                <w:rFonts w:ascii="Arial" w:cs="Arial" w:eastAsia="Arial" w:hAnsi="Arial"/>
                <w:sz w:val="18"/>
                <w:szCs w:val="18"/>
                <w:color w:val="0000EE"/>
              </w:rPr>
            </w:pPr>
            <w:hyperlink w:anchor="page10">
              <w:r>
                <w:rPr>
                  <w:rFonts w:ascii="Arial" w:cs="Arial" w:eastAsia="Arial" w:hAnsi="Arial"/>
                  <w:sz w:val="18"/>
                  <w:szCs w:val="18"/>
                  <w:color w:val="0000EE"/>
                </w:rPr>
                <w:t>Risk Factors</w:t>
              </w:r>
            </w:hyperlink>
          </w:p>
        </w:tc>
        <w:tc>
          <w:tcPr>
            <w:tcW w:w="800" w:type="dxa"/>
            <w:vAlign w:val="bottom"/>
          </w:tcPr>
          <w:p>
            <w:pPr>
              <w:jc w:val="right"/>
              <w:spacing w:after="0" w:line="182" w:lineRule="exact"/>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0"/>
        </w:trPr>
        <w:tc>
          <w:tcPr>
            <w:tcW w:w="960" w:type="dxa"/>
            <w:vAlign w:val="bottom"/>
          </w:tcPr>
          <w:p>
            <w:pPr>
              <w:spacing w:after="0" w:line="20" w:lineRule="exact"/>
              <w:rPr>
                <w:sz w:val="1"/>
                <w:szCs w:val="1"/>
                <w:color w:val="auto"/>
              </w:rPr>
            </w:pPr>
          </w:p>
        </w:tc>
        <w:tc>
          <w:tcPr>
            <w:tcW w:w="82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960" w:type="dxa"/>
            <w:vAlign w:val="bottom"/>
          </w:tcPr>
          <w:p>
            <w:pPr>
              <w:spacing w:after="0" w:line="182" w:lineRule="exact"/>
              <w:rPr>
                <w:sz w:val="20"/>
                <w:szCs w:val="20"/>
                <w:color w:val="auto"/>
              </w:rPr>
            </w:pPr>
            <w:r>
              <w:rPr>
                <w:rFonts w:ascii="Arial" w:cs="Arial" w:eastAsia="Arial" w:hAnsi="Arial"/>
                <w:sz w:val="18"/>
                <w:szCs w:val="18"/>
                <w:color w:val="auto"/>
              </w:rPr>
              <w:t>Item 1B.</w:t>
            </w:r>
          </w:p>
        </w:tc>
        <w:tc>
          <w:tcPr>
            <w:tcW w:w="2260" w:type="dxa"/>
            <w:vAlign w:val="bottom"/>
            <w:tcBorders>
              <w:bottom w:val="single" w:sz="8" w:color="0000EE"/>
            </w:tcBorders>
            <w:gridSpan w:val="11"/>
          </w:tcPr>
          <w:p>
            <w:pPr>
              <w:spacing w:after="0" w:line="182" w:lineRule="exact"/>
              <w:rPr>
                <w:rFonts w:ascii="Arial" w:cs="Arial" w:eastAsia="Arial" w:hAnsi="Arial"/>
                <w:sz w:val="18"/>
                <w:szCs w:val="18"/>
                <w:color w:val="0000EE"/>
                <w:w w:val="99"/>
              </w:rPr>
            </w:pPr>
            <w:hyperlink w:anchor="page32">
              <w:r>
                <w:rPr>
                  <w:rFonts w:ascii="Arial" w:cs="Arial" w:eastAsia="Arial" w:hAnsi="Arial"/>
                  <w:sz w:val="18"/>
                  <w:szCs w:val="18"/>
                  <w:color w:val="0000EE"/>
                  <w:w w:val="99"/>
                </w:rPr>
                <w:t>Unresolved Staff Comments</w:t>
              </w:r>
            </w:hyperlink>
          </w:p>
        </w:tc>
        <w:tc>
          <w:tcPr>
            <w:tcW w:w="7400" w:type="dxa"/>
            <w:vAlign w:val="bottom"/>
            <w:gridSpan w:val="11"/>
          </w:tcPr>
          <w:p>
            <w:pPr>
              <w:spacing w:after="0"/>
              <w:rPr>
                <w:sz w:val="15"/>
                <w:szCs w:val="15"/>
                <w:color w:val="auto"/>
              </w:rPr>
            </w:pPr>
          </w:p>
        </w:tc>
        <w:tc>
          <w:tcPr>
            <w:tcW w:w="800" w:type="dxa"/>
            <w:vAlign w:val="bottom"/>
          </w:tcPr>
          <w:p>
            <w:pPr>
              <w:jc w:val="right"/>
              <w:spacing w:after="0" w:line="182" w:lineRule="exact"/>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183"/>
        </w:trPr>
        <w:tc>
          <w:tcPr>
            <w:tcW w:w="960" w:type="dxa"/>
            <w:vAlign w:val="bottom"/>
          </w:tcPr>
          <w:p>
            <w:pPr>
              <w:spacing w:after="0" w:line="182" w:lineRule="exact"/>
              <w:rPr>
                <w:sz w:val="20"/>
                <w:szCs w:val="20"/>
                <w:color w:val="auto"/>
              </w:rPr>
            </w:pPr>
            <w:r>
              <w:rPr>
                <w:rFonts w:ascii="Arial" w:cs="Arial" w:eastAsia="Arial" w:hAnsi="Arial"/>
                <w:sz w:val="18"/>
                <w:szCs w:val="18"/>
                <w:color w:val="auto"/>
              </w:rPr>
              <w:t>Item 2.</w:t>
            </w:r>
          </w:p>
        </w:tc>
        <w:tc>
          <w:tcPr>
            <w:tcW w:w="9660" w:type="dxa"/>
            <w:vAlign w:val="bottom"/>
            <w:gridSpan w:val="22"/>
          </w:tcPr>
          <w:p>
            <w:pPr>
              <w:spacing w:after="0" w:line="182" w:lineRule="exact"/>
              <w:rPr>
                <w:rFonts w:ascii="Arial" w:cs="Arial" w:eastAsia="Arial" w:hAnsi="Arial"/>
                <w:sz w:val="18"/>
                <w:szCs w:val="18"/>
                <w:color w:val="0000EE"/>
              </w:rPr>
            </w:pPr>
            <w:hyperlink w:anchor="page32">
              <w:r>
                <w:rPr>
                  <w:rFonts w:ascii="Arial" w:cs="Arial" w:eastAsia="Arial" w:hAnsi="Arial"/>
                  <w:sz w:val="18"/>
                  <w:szCs w:val="18"/>
                  <w:color w:val="0000EE"/>
                </w:rPr>
                <w:t>Properties</w:t>
              </w:r>
            </w:hyperlink>
          </w:p>
        </w:tc>
        <w:tc>
          <w:tcPr>
            <w:tcW w:w="800" w:type="dxa"/>
            <w:vAlign w:val="bottom"/>
          </w:tcPr>
          <w:p>
            <w:pPr>
              <w:jc w:val="right"/>
              <w:spacing w:after="0" w:line="182" w:lineRule="exact"/>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20"/>
        </w:trPr>
        <w:tc>
          <w:tcPr>
            <w:tcW w:w="960" w:type="dxa"/>
            <w:vAlign w:val="bottom"/>
          </w:tcPr>
          <w:p>
            <w:pPr>
              <w:spacing w:after="0" w:line="20" w:lineRule="exact"/>
              <w:rPr>
                <w:sz w:val="1"/>
                <w:szCs w:val="1"/>
                <w:color w:val="auto"/>
              </w:rPr>
            </w:pPr>
          </w:p>
        </w:tc>
        <w:tc>
          <w:tcPr>
            <w:tcW w:w="820" w:type="dxa"/>
            <w:vAlign w:val="bottom"/>
            <w:gridSpan w:val="2"/>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1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960" w:type="dxa"/>
            <w:vAlign w:val="bottom"/>
          </w:tcPr>
          <w:p>
            <w:pPr>
              <w:spacing w:after="0" w:line="182" w:lineRule="exact"/>
              <w:rPr>
                <w:sz w:val="20"/>
                <w:szCs w:val="20"/>
                <w:color w:val="auto"/>
              </w:rPr>
            </w:pPr>
            <w:r>
              <w:rPr>
                <w:rFonts w:ascii="Arial" w:cs="Arial" w:eastAsia="Arial" w:hAnsi="Arial"/>
                <w:sz w:val="18"/>
                <w:szCs w:val="18"/>
                <w:color w:val="auto"/>
              </w:rPr>
              <w:t>Item 3.</w:t>
            </w:r>
          </w:p>
        </w:tc>
        <w:tc>
          <w:tcPr>
            <w:tcW w:w="1500" w:type="dxa"/>
            <w:vAlign w:val="bottom"/>
            <w:tcBorders>
              <w:bottom w:val="single" w:sz="8" w:color="0000EE"/>
            </w:tcBorders>
            <w:gridSpan w:val="6"/>
          </w:tcPr>
          <w:p>
            <w:pPr>
              <w:spacing w:after="0" w:line="182" w:lineRule="exact"/>
              <w:rPr>
                <w:rFonts w:ascii="Arial" w:cs="Arial" w:eastAsia="Arial" w:hAnsi="Arial"/>
                <w:sz w:val="18"/>
                <w:szCs w:val="18"/>
                <w:color w:val="0000EE"/>
                <w:w w:val="99"/>
              </w:rPr>
            </w:pPr>
            <w:hyperlink w:anchor="page32">
              <w:r>
                <w:rPr>
                  <w:rFonts w:ascii="Arial" w:cs="Arial" w:eastAsia="Arial" w:hAnsi="Arial"/>
                  <w:sz w:val="18"/>
                  <w:szCs w:val="18"/>
                  <w:color w:val="0000EE"/>
                  <w:w w:val="99"/>
                </w:rPr>
                <w:t>Legal Proceedings</w:t>
              </w:r>
            </w:hyperlink>
          </w:p>
        </w:tc>
        <w:tc>
          <w:tcPr>
            <w:tcW w:w="8160" w:type="dxa"/>
            <w:vAlign w:val="bottom"/>
            <w:gridSpan w:val="16"/>
          </w:tcPr>
          <w:p>
            <w:pPr>
              <w:spacing w:after="0"/>
              <w:rPr>
                <w:sz w:val="15"/>
                <w:szCs w:val="15"/>
                <w:color w:val="auto"/>
              </w:rPr>
            </w:pPr>
          </w:p>
        </w:tc>
        <w:tc>
          <w:tcPr>
            <w:tcW w:w="800" w:type="dxa"/>
            <w:vAlign w:val="bottom"/>
          </w:tcPr>
          <w:p>
            <w:pPr>
              <w:jc w:val="right"/>
              <w:spacing w:after="0" w:line="182" w:lineRule="exact"/>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183"/>
        </w:trPr>
        <w:tc>
          <w:tcPr>
            <w:tcW w:w="960" w:type="dxa"/>
            <w:vAlign w:val="bottom"/>
          </w:tcPr>
          <w:p>
            <w:pPr>
              <w:spacing w:after="0" w:line="182" w:lineRule="exact"/>
              <w:rPr>
                <w:sz w:val="20"/>
                <w:szCs w:val="20"/>
                <w:color w:val="auto"/>
              </w:rPr>
            </w:pPr>
            <w:r>
              <w:rPr>
                <w:rFonts w:ascii="Arial" w:cs="Arial" w:eastAsia="Arial" w:hAnsi="Arial"/>
                <w:sz w:val="18"/>
                <w:szCs w:val="18"/>
                <w:color w:val="auto"/>
              </w:rPr>
              <w:t>Item 4.</w:t>
            </w:r>
          </w:p>
        </w:tc>
        <w:tc>
          <w:tcPr>
            <w:tcW w:w="9660" w:type="dxa"/>
            <w:vAlign w:val="bottom"/>
            <w:gridSpan w:val="22"/>
          </w:tcPr>
          <w:p>
            <w:pPr>
              <w:spacing w:after="0" w:line="182" w:lineRule="exact"/>
              <w:rPr>
                <w:rFonts w:ascii="Arial" w:cs="Arial" w:eastAsia="Arial" w:hAnsi="Arial"/>
                <w:sz w:val="18"/>
                <w:szCs w:val="18"/>
                <w:color w:val="0000EE"/>
              </w:rPr>
            </w:pPr>
            <w:hyperlink w:anchor="page32">
              <w:r>
                <w:rPr>
                  <w:rFonts w:ascii="Arial" w:cs="Arial" w:eastAsia="Arial" w:hAnsi="Arial"/>
                  <w:sz w:val="18"/>
                  <w:szCs w:val="18"/>
                  <w:color w:val="0000EE"/>
                </w:rPr>
                <w:t>Mine Safety Disclosures</w:t>
              </w:r>
            </w:hyperlink>
          </w:p>
        </w:tc>
        <w:tc>
          <w:tcPr>
            <w:tcW w:w="800" w:type="dxa"/>
            <w:vAlign w:val="bottom"/>
          </w:tcPr>
          <w:p>
            <w:pPr>
              <w:jc w:val="right"/>
              <w:spacing w:after="0" w:line="182" w:lineRule="exact"/>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209"/>
        </w:trPr>
        <w:tc>
          <w:tcPr>
            <w:tcW w:w="960" w:type="dxa"/>
            <w:vAlign w:val="bottom"/>
          </w:tcPr>
          <w:p>
            <w:pPr>
              <w:spacing w:after="0"/>
              <w:rPr>
                <w:sz w:val="18"/>
                <w:szCs w:val="18"/>
                <w:color w:val="auto"/>
              </w:rPr>
            </w:pPr>
          </w:p>
        </w:tc>
        <w:tc>
          <w:tcPr>
            <w:tcW w:w="74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40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5940" w:type="dxa"/>
            <w:vAlign w:val="bottom"/>
            <w:gridSpan w:val="8"/>
          </w:tcPr>
          <w:p>
            <w:pPr>
              <w:jc w:val="center"/>
              <w:ind w:right="3880"/>
              <w:spacing w:after="0"/>
              <w:rPr>
                <w:sz w:val="20"/>
                <w:szCs w:val="20"/>
                <w:color w:val="auto"/>
              </w:rPr>
            </w:pPr>
            <w:r>
              <w:rPr>
                <w:rFonts w:ascii="Arial" w:cs="Arial" w:eastAsia="Arial" w:hAnsi="Arial"/>
                <w:sz w:val="18"/>
                <w:szCs w:val="18"/>
                <w:b w:val="1"/>
                <w:bCs w:val="1"/>
                <w:color w:val="auto"/>
                <w:w w:val="96"/>
              </w:rPr>
              <w:t>PART II</w:t>
            </w: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960" w:type="dxa"/>
            <w:vAlign w:val="bottom"/>
          </w:tcPr>
          <w:p>
            <w:pPr>
              <w:spacing w:after="0" w:line="176" w:lineRule="exact"/>
              <w:rPr>
                <w:sz w:val="20"/>
                <w:szCs w:val="20"/>
                <w:color w:val="auto"/>
              </w:rPr>
            </w:pPr>
            <w:r>
              <w:rPr>
                <w:rFonts w:ascii="Arial" w:cs="Arial" w:eastAsia="Arial" w:hAnsi="Arial"/>
                <w:sz w:val="18"/>
                <w:szCs w:val="18"/>
                <w:color w:val="auto"/>
              </w:rPr>
              <w:t>Item 5.</w:t>
            </w:r>
          </w:p>
        </w:tc>
        <w:tc>
          <w:tcPr>
            <w:tcW w:w="9660" w:type="dxa"/>
            <w:vAlign w:val="bottom"/>
            <w:gridSpan w:val="22"/>
          </w:tcPr>
          <w:p>
            <w:pPr>
              <w:spacing w:after="0" w:line="176" w:lineRule="exact"/>
              <w:rPr>
                <w:rFonts w:ascii="Arial" w:cs="Arial" w:eastAsia="Arial" w:hAnsi="Arial"/>
                <w:sz w:val="18"/>
                <w:szCs w:val="18"/>
                <w:color w:val="0000EE"/>
              </w:rPr>
            </w:pPr>
            <w:hyperlink w:anchor="page33">
              <w:r>
                <w:rPr>
                  <w:rFonts w:ascii="Arial" w:cs="Arial" w:eastAsia="Arial" w:hAnsi="Arial"/>
                  <w:sz w:val="18"/>
                  <w:szCs w:val="18"/>
                  <w:color w:val="0000EE"/>
                </w:rPr>
                <w:t>Market for Registrant’s Common Equity, Related Stockholder Matters and Issuer Purchases of Equity Securities</w:t>
              </w:r>
            </w:hyperlink>
          </w:p>
        </w:tc>
        <w:tc>
          <w:tcPr>
            <w:tcW w:w="800" w:type="dxa"/>
            <w:vAlign w:val="bottom"/>
          </w:tcPr>
          <w:p>
            <w:pPr>
              <w:jc w:val="right"/>
              <w:spacing w:after="0" w:line="176" w:lineRule="exact"/>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183"/>
        </w:trPr>
        <w:tc>
          <w:tcPr>
            <w:tcW w:w="960" w:type="dxa"/>
            <w:vAlign w:val="bottom"/>
          </w:tcPr>
          <w:p>
            <w:pPr>
              <w:spacing w:after="0" w:line="182" w:lineRule="exact"/>
              <w:rPr>
                <w:sz w:val="20"/>
                <w:szCs w:val="20"/>
                <w:color w:val="auto"/>
              </w:rPr>
            </w:pPr>
            <w:r>
              <w:rPr>
                <w:rFonts w:ascii="Arial" w:cs="Arial" w:eastAsia="Arial" w:hAnsi="Arial"/>
                <w:sz w:val="18"/>
                <w:szCs w:val="18"/>
                <w:color w:val="auto"/>
              </w:rPr>
              <w:t>Item 6.</w:t>
            </w:r>
          </w:p>
        </w:tc>
        <w:tc>
          <w:tcPr>
            <w:tcW w:w="8880" w:type="dxa"/>
            <w:vAlign w:val="bottom"/>
            <w:tcBorders>
              <w:top w:val="single" w:sz="8" w:color="0000EE"/>
            </w:tcBorders>
            <w:gridSpan w:val="21"/>
          </w:tcPr>
          <w:p>
            <w:pPr>
              <w:spacing w:after="0" w:line="182" w:lineRule="exact"/>
              <w:rPr>
                <w:rFonts w:ascii="Arial" w:cs="Arial" w:eastAsia="Arial" w:hAnsi="Arial"/>
                <w:sz w:val="18"/>
                <w:szCs w:val="18"/>
                <w:color w:val="0000EE"/>
              </w:rPr>
            </w:pPr>
            <w:hyperlink w:anchor="page35">
              <w:r>
                <w:rPr>
                  <w:rFonts w:ascii="Arial" w:cs="Arial" w:eastAsia="Arial" w:hAnsi="Arial"/>
                  <w:sz w:val="18"/>
                  <w:szCs w:val="18"/>
                  <w:color w:val="0000EE"/>
                </w:rPr>
                <w:t>Selected Financial Data</w:t>
              </w:r>
            </w:hyperlink>
          </w:p>
        </w:tc>
        <w:tc>
          <w:tcPr>
            <w:tcW w:w="780" w:type="dxa"/>
            <w:vAlign w:val="bottom"/>
          </w:tcPr>
          <w:p>
            <w:pPr>
              <w:spacing w:after="0"/>
              <w:rPr>
                <w:sz w:val="15"/>
                <w:szCs w:val="15"/>
                <w:color w:val="auto"/>
              </w:rPr>
            </w:pPr>
          </w:p>
        </w:tc>
        <w:tc>
          <w:tcPr>
            <w:tcW w:w="800" w:type="dxa"/>
            <w:vAlign w:val="bottom"/>
          </w:tcPr>
          <w:p>
            <w:pPr>
              <w:jc w:val="right"/>
              <w:spacing w:after="0" w:line="182" w:lineRule="exact"/>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20"/>
        </w:trPr>
        <w:tc>
          <w:tcPr>
            <w:tcW w:w="960" w:type="dxa"/>
            <w:vAlign w:val="bottom"/>
          </w:tcPr>
          <w:p>
            <w:pPr>
              <w:spacing w:after="0" w:line="20" w:lineRule="exact"/>
              <w:rPr>
                <w:sz w:val="1"/>
                <w:szCs w:val="1"/>
                <w:color w:val="auto"/>
              </w:rPr>
            </w:pPr>
          </w:p>
        </w:tc>
        <w:tc>
          <w:tcPr>
            <w:tcW w:w="860" w:type="dxa"/>
            <w:vAlign w:val="bottom"/>
            <w:gridSpan w:val="3"/>
            <w:shd w:val="clear" w:color="auto" w:fill="0000EE"/>
          </w:tcPr>
          <w:p>
            <w:pPr>
              <w:spacing w:after="0" w:line="20" w:lineRule="exact"/>
              <w:rPr>
                <w:sz w:val="1"/>
                <w:szCs w:val="1"/>
                <w:color w:val="auto"/>
              </w:rPr>
            </w:pPr>
          </w:p>
        </w:tc>
        <w:tc>
          <w:tcPr>
            <w:tcW w:w="540" w:type="dxa"/>
            <w:vAlign w:val="bottom"/>
            <w:gridSpan w:val="2"/>
            <w:shd w:val="clear" w:color="auto" w:fill="0000EE"/>
          </w:tcPr>
          <w:p>
            <w:pPr>
              <w:spacing w:after="0" w:line="20" w:lineRule="exact"/>
              <w:rPr>
                <w:sz w:val="1"/>
                <w:szCs w:val="1"/>
                <w:color w:val="auto"/>
              </w:rPr>
            </w:pPr>
          </w:p>
        </w:tc>
        <w:tc>
          <w:tcPr>
            <w:tcW w:w="280" w:type="dxa"/>
            <w:vAlign w:val="bottom"/>
            <w:gridSpan w:val="2"/>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1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640" w:type="dxa"/>
            <w:vAlign w:val="bottom"/>
            <w:gridSpan w:val="2"/>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960" w:type="dxa"/>
            <w:vAlign w:val="bottom"/>
          </w:tcPr>
          <w:p>
            <w:pPr>
              <w:spacing w:after="0" w:line="182" w:lineRule="exact"/>
              <w:rPr>
                <w:sz w:val="20"/>
                <w:szCs w:val="20"/>
                <w:color w:val="auto"/>
              </w:rPr>
            </w:pPr>
            <w:r>
              <w:rPr>
                <w:rFonts w:ascii="Arial" w:cs="Arial" w:eastAsia="Arial" w:hAnsi="Arial"/>
                <w:sz w:val="18"/>
                <w:szCs w:val="18"/>
                <w:color w:val="auto"/>
              </w:rPr>
              <w:t>Item 7.</w:t>
            </w:r>
          </w:p>
        </w:tc>
        <w:tc>
          <w:tcPr>
            <w:tcW w:w="9660" w:type="dxa"/>
            <w:vAlign w:val="bottom"/>
            <w:gridSpan w:val="22"/>
          </w:tcPr>
          <w:p>
            <w:pPr>
              <w:spacing w:after="0" w:line="182" w:lineRule="exact"/>
              <w:rPr>
                <w:rFonts w:ascii="Arial" w:cs="Arial" w:eastAsia="Arial" w:hAnsi="Arial"/>
                <w:sz w:val="18"/>
                <w:szCs w:val="18"/>
                <w:color w:val="0000EE"/>
              </w:rPr>
            </w:pPr>
            <w:hyperlink w:anchor="page38">
              <w:r>
                <w:rPr>
                  <w:rFonts w:ascii="Arial" w:cs="Arial" w:eastAsia="Arial" w:hAnsi="Arial"/>
                  <w:sz w:val="18"/>
                  <w:szCs w:val="18"/>
                  <w:color w:val="0000EE"/>
                </w:rPr>
                <w:t>Management’s Discussion and Analysis of Financial Condition and Results of Operations</w:t>
              </w:r>
            </w:hyperlink>
          </w:p>
        </w:tc>
        <w:tc>
          <w:tcPr>
            <w:tcW w:w="800" w:type="dxa"/>
            <w:vAlign w:val="bottom"/>
          </w:tcPr>
          <w:p>
            <w:pPr>
              <w:jc w:val="right"/>
              <w:spacing w:after="0" w:line="182" w:lineRule="exact"/>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183"/>
        </w:trPr>
        <w:tc>
          <w:tcPr>
            <w:tcW w:w="960" w:type="dxa"/>
            <w:vAlign w:val="bottom"/>
          </w:tcPr>
          <w:p>
            <w:pPr>
              <w:spacing w:after="0" w:line="182" w:lineRule="exact"/>
              <w:rPr>
                <w:sz w:val="20"/>
                <w:szCs w:val="20"/>
                <w:color w:val="auto"/>
              </w:rPr>
            </w:pPr>
            <w:r>
              <w:rPr>
                <w:rFonts w:ascii="Arial" w:cs="Arial" w:eastAsia="Arial" w:hAnsi="Arial"/>
                <w:sz w:val="18"/>
                <w:szCs w:val="18"/>
                <w:color w:val="auto"/>
              </w:rPr>
              <w:t>Item 7A.</w:t>
            </w:r>
          </w:p>
        </w:tc>
        <w:tc>
          <w:tcPr>
            <w:tcW w:w="4720" w:type="dxa"/>
            <w:vAlign w:val="bottom"/>
            <w:tcBorders>
              <w:top w:val="single" w:sz="8" w:color="0000EE"/>
              <w:bottom w:val="single" w:sz="8" w:color="0000EE"/>
            </w:tcBorders>
            <w:gridSpan w:val="16"/>
          </w:tcPr>
          <w:p>
            <w:pPr>
              <w:spacing w:after="0" w:line="182" w:lineRule="exact"/>
              <w:rPr>
                <w:rFonts w:ascii="Arial" w:cs="Arial" w:eastAsia="Arial" w:hAnsi="Arial"/>
                <w:sz w:val="18"/>
                <w:szCs w:val="18"/>
                <w:color w:val="0000EE"/>
                <w:w w:val="99"/>
              </w:rPr>
            </w:pPr>
            <w:hyperlink w:anchor="page52">
              <w:r>
                <w:rPr>
                  <w:rFonts w:ascii="Arial" w:cs="Arial" w:eastAsia="Arial" w:hAnsi="Arial"/>
                  <w:sz w:val="18"/>
                  <w:szCs w:val="18"/>
                  <w:color w:val="0000EE"/>
                  <w:w w:val="99"/>
                </w:rPr>
                <w:t>Quantitative and Qualitative Disclosures About Market Risk</w:t>
              </w:r>
            </w:hyperlink>
          </w:p>
        </w:tc>
        <w:tc>
          <w:tcPr>
            <w:tcW w:w="2360" w:type="dxa"/>
            <w:vAlign w:val="bottom"/>
            <w:tcBorders>
              <w:top w:val="single" w:sz="8" w:color="0000EE"/>
            </w:tcBorders>
            <w:gridSpan w:val="2"/>
          </w:tcPr>
          <w:p>
            <w:pPr>
              <w:spacing w:after="0"/>
              <w:rPr>
                <w:sz w:val="15"/>
                <w:szCs w:val="15"/>
                <w:color w:val="auto"/>
              </w:rPr>
            </w:pPr>
          </w:p>
        </w:tc>
        <w:tc>
          <w:tcPr>
            <w:tcW w:w="2580" w:type="dxa"/>
            <w:vAlign w:val="bottom"/>
            <w:gridSpan w:val="4"/>
          </w:tcPr>
          <w:p>
            <w:pPr>
              <w:spacing w:after="0"/>
              <w:rPr>
                <w:sz w:val="15"/>
                <w:szCs w:val="15"/>
                <w:color w:val="auto"/>
              </w:rPr>
            </w:pPr>
          </w:p>
        </w:tc>
        <w:tc>
          <w:tcPr>
            <w:tcW w:w="800" w:type="dxa"/>
            <w:vAlign w:val="bottom"/>
          </w:tcPr>
          <w:p>
            <w:pPr>
              <w:jc w:val="right"/>
              <w:spacing w:after="0" w:line="182" w:lineRule="exact"/>
              <w:rPr>
                <w:sz w:val="20"/>
                <w:szCs w:val="20"/>
                <w:color w:val="auto"/>
              </w:rPr>
            </w:pPr>
            <w:r>
              <w:rPr>
                <w:rFonts w:ascii="Arial" w:cs="Arial" w:eastAsia="Arial" w:hAnsi="Arial"/>
                <w:sz w:val="18"/>
                <w:szCs w:val="18"/>
                <w:color w:val="auto"/>
              </w:rPr>
              <w:t>52</w:t>
            </w:r>
          </w:p>
        </w:tc>
        <w:tc>
          <w:tcPr>
            <w:tcW w:w="0" w:type="dxa"/>
            <w:vAlign w:val="bottom"/>
          </w:tcPr>
          <w:p>
            <w:pPr>
              <w:spacing w:after="0"/>
              <w:rPr>
                <w:sz w:val="1"/>
                <w:szCs w:val="1"/>
                <w:color w:val="auto"/>
              </w:rPr>
            </w:pPr>
          </w:p>
        </w:tc>
      </w:tr>
      <w:tr>
        <w:trPr>
          <w:trHeight w:val="183"/>
        </w:trPr>
        <w:tc>
          <w:tcPr>
            <w:tcW w:w="960" w:type="dxa"/>
            <w:vAlign w:val="bottom"/>
          </w:tcPr>
          <w:p>
            <w:pPr>
              <w:spacing w:after="0" w:line="182" w:lineRule="exact"/>
              <w:rPr>
                <w:sz w:val="20"/>
                <w:szCs w:val="20"/>
                <w:color w:val="auto"/>
              </w:rPr>
            </w:pPr>
            <w:r>
              <w:rPr>
                <w:rFonts w:ascii="Arial" w:cs="Arial" w:eastAsia="Arial" w:hAnsi="Arial"/>
                <w:sz w:val="18"/>
                <w:szCs w:val="18"/>
                <w:color w:val="auto"/>
              </w:rPr>
              <w:t>Item 8.</w:t>
            </w:r>
          </w:p>
        </w:tc>
        <w:tc>
          <w:tcPr>
            <w:tcW w:w="9660" w:type="dxa"/>
            <w:vAlign w:val="bottom"/>
            <w:gridSpan w:val="22"/>
          </w:tcPr>
          <w:p>
            <w:pPr>
              <w:spacing w:after="0" w:line="182" w:lineRule="exact"/>
              <w:rPr>
                <w:rFonts w:ascii="Arial" w:cs="Arial" w:eastAsia="Arial" w:hAnsi="Arial"/>
                <w:sz w:val="18"/>
                <w:szCs w:val="18"/>
                <w:color w:val="0000EE"/>
              </w:rPr>
            </w:pPr>
            <w:hyperlink w:anchor="page54">
              <w:r>
                <w:rPr>
                  <w:rFonts w:ascii="Arial" w:cs="Arial" w:eastAsia="Arial" w:hAnsi="Arial"/>
                  <w:sz w:val="18"/>
                  <w:szCs w:val="18"/>
                  <w:color w:val="0000EE"/>
                </w:rPr>
                <w:t>Financial Statements and Supplementary Data</w:t>
              </w:r>
            </w:hyperlink>
          </w:p>
        </w:tc>
        <w:tc>
          <w:tcPr>
            <w:tcW w:w="800" w:type="dxa"/>
            <w:vAlign w:val="bottom"/>
          </w:tcPr>
          <w:p>
            <w:pPr>
              <w:jc w:val="right"/>
              <w:spacing w:after="0" w:line="182" w:lineRule="exact"/>
              <w:rPr>
                <w:sz w:val="20"/>
                <w:szCs w:val="20"/>
                <w:color w:val="auto"/>
              </w:rPr>
            </w:pPr>
            <w:r>
              <w:rPr>
                <w:rFonts w:ascii="Arial" w:cs="Arial" w:eastAsia="Arial" w:hAnsi="Arial"/>
                <w:sz w:val="18"/>
                <w:szCs w:val="18"/>
                <w:color w:val="auto"/>
              </w:rPr>
              <w:t>54</w:t>
            </w:r>
          </w:p>
        </w:tc>
        <w:tc>
          <w:tcPr>
            <w:tcW w:w="0" w:type="dxa"/>
            <w:vAlign w:val="bottom"/>
          </w:tcPr>
          <w:p>
            <w:pPr>
              <w:spacing w:after="0"/>
              <w:rPr>
                <w:sz w:val="1"/>
                <w:szCs w:val="1"/>
                <w:color w:val="auto"/>
              </w:rPr>
            </w:pPr>
          </w:p>
        </w:tc>
      </w:tr>
      <w:tr>
        <w:trPr>
          <w:trHeight w:val="20"/>
        </w:trPr>
        <w:tc>
          <w:tcPr>
            <w:tcW w:w="960" w:type="dxa"/>
            <w:vAlign w:val="bottom"/>
          </w:tcPr>
          <w:p>
            <w:pPr>
              <w:spacing w:after="0" w:line="20" w:lineRule="exact"/>
              <w:rPr>
                <w:sz w:val="1"/>
                <w:szCs w:val="1"/>
                <w:color w:val="auto"/>
              </w:rPr>
            </w:pPr>
          </w:p>
        </w:tc>
        <w:tc>
          <w:tcPr>
            <w:tcW w:w="860" w:type="dxa"/>
            <w:vAlign w:val="bottom"/>
            <w:gridSpan w:val="3"/>
            <w:shd w:val="clear" w:color="auto" w:fill="0000EE"/>
          </w:tcPr>
          <w:p>
            <w:pPr>
              <w:spacing w:after="0" w:line="20" w:lineRule="exact"/>
              <w:rPr>
                <w:sz w:val="1"/>
                <w:szCs w:val="1"/>
                <w:color w:val="auto"/>
              </w:rPr>
            </w:pPr>
          </w:p>
        </w:tc>
        <w:tc>
          <w:tcPr>
            <w:tcW w:w="540" w:type="dxa"/>
            <w:vAlign w:val="bottom"/>
            <w:gridSpan w:val="2"/>
            <w:shd w:val="clear" w:color="auto" w:fill="0000EE"/>
          </w:tcPr>
          <w:p>
            <w:pPr>
              <w:spacing w:after="0" w:line="20" w:lineRule="exact"/>
              <w:rPr>
                <w:sz w:val="1"/>
                <w:szCs w:val="1"/>
                <w:color w:val="auto"/>
              </w:rPr>
            </w:pPr>
          </w:p>
        </w:tc>
        <w:tc>
          <w:tcPr>
            <w:tcW w:w="280" w:type="dxa"/>
            <w:vAlign w:val="bottom"/>
            <w:gridSpan w:val="2"/>
            <w:shd w:val="clear" w:color="auto" w:fill="0000EE"/>
          </w:tcPr>
          <w:p>
            <w:pPr>
              <w:spacing w:after="0" w:line="20" w:lineRule="exact"/>
              <w:rPr>
                <w:sz w:val="1"/>
                <w:szCs w:val="1"/>
                <w:color w:val="auto"/>
              </w:rPr>
            </w:pPr>
          </w:p>
        </w:tc>
        <w:tc>
          <w:tcPr>
            <w:tcW w:w="320" w:type="dxa"/>
            <w:vAlign w:val="bottom"/>
            <w:gridSpan w:val="3"/>
            <w:shd w:val="clear" w:color="auto" w:fill="0000EE"/>
          </w:tcPr>
          <w:p>
            <w:pPr>
              <w:spacing w:after="0" w:line="20" w:lineRule="exact"/>
              <w:rPr>
                <w:sz w:val="1"/>
                <w:szCs w:val="1"/>
                <w:color w:val="auto"/>
              </w:rPr>
            </w:pPr>
          </w:p>
        </w:tc>
        <w:tc>
          <w:tcPr>
            <w:tcW w:w="118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580" w:type="dxa"/>
            <w:vAlign w:val="bottom"/>
            <w:gridSpan w:val="2"/>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640" w:type="dxa"/>
            <w:vAlign w:val="bottom"/>
            <w:gridSpan w:val="2"/>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960" w:type="dxa"/>
            <w:vAlign w:val="bottom"/>
          </w:tcPr>
          <w:p>
            <w:pPr>
              <w:spacing w:after="0" w:line="182" w:lineRule="exact"/>
              <w:rPr>
                <w:sz w:val="20"/>
                <w:szCs w:val="20"/>
                <w:color w:val="auto"/>
              </w:rPr>
            </w:pPr>
            <w:r>
              <w:rPr>
                <w:rFonts w:ascii="Arial" w:cs="Arial" w:eastAsia="Arial" w:hAnsi="Arial"/>
                <w:sz w:val="18"/>
                <w:szCs w:val="18"/>
                <w:color w:val="auto"/>
              </w:rPr>
              <w:t>Item 9.</w:t>
            </w:r>
          </w:p>
        </w:tc>
        <w:tc>
          <w:tcPr>
            <w:tcW w:w="9660" w:type="dxa"/>
            <w:vAlign w:val="bottom"/>
            <w:gridSpan w:val="22"/>
          </w:tcPr>
          <w:p>
            <w:pPr>
              <w:spacing w:after="0" w:line="182" w:lineRule="exact"/>
              <w:rPr>
                <w:rFonts w:ascii="Arial" w:cs="Arial" w:eastAsia="Arial" w:hAnsi="Arial"/>
                <w:sz w:val="18"/>
                <w:szCs w:val="18"/>
                <w:color w:val="0000EE"/>
              </w:rPr>
            </w:pPr>
            <w:hyperlink w:anchor="page92">
              <w:r>
                <w:rPr>
                  <w:rFonts w:ascii="Arial" w:cs="Arial" w:eastAsia="Arial" w:hAnsi="Arial"/>
                  <w:sz w:val="18"/>
                  <w:szCs w:val="18"/>
                  <w:color w:val="0000EE"/>
                </w:rPr>
                <w:t>Changes in and Disagreements with Accountants on Accounting and Financial Disclosure</w:t>
              </w:r>
            </w:hyperlink>
          </w:p>
        </w:tc>
        <w:tc>
          <w:tcPr>
            <w:tcW w:w="800" w:type="dxa"/>
            <w:vAlign w:val="bottom"/>
          </w:tcPr>
          <w:p>
            <w:pPr>
              <w:jc w:val="right"/>
              <w:spacing w:after="0" w:line="182" w:lineRule="exact"/>
              <w:rPr>
                <w:sz w:val="20"/>
                <w:szCs w:val="20"/>
                <w:color w:val="auto"/>
              </w:rPr>
            </w:pPr>
            <w:r>
              <w:rPr>
                <w:rFonts w:ascii="Arial" w:cs="Arial" w:eastAsia="Arial" w:hAnsi="Arial"/>
                <w:sz w:val="18"/>
                <w:szCs w:val="18"/>
                <w:color w:val="auto"/>
              </w:rPr>
              <w:t>92</w:t>
            </w:r>
          </w:p>
        </w:tc>
        <w:tc>
          <w:tcPr>
            <w:tcW w:w="0" w:type="dxa"/>
            <w:vAlign w:val="bottom"/>
          </w:tcPr>
          <w:p>
            <w:pPr>
              <w:spacing w:after="0"/>
              <w:rPr>
                <w:sz w:val="1"/>
                <w:szCs w:val="1"/>
                <w:color w:val="auto"/>
              </w:rPr>
            </w:pPr>
          </w:p>
        </w:tc>
      </w:tr>
      <w:tr>
        <w:trPr>
          <w:trHeight w:val="183"/>
        </w:trPr>
        <w:tc>
          <w:tcPr>
            <w:tcW w:w="960" w:type="dxa"/>
            <w:vAlign w:val="bottom"/>
          </w:tcPr>
          <w:p>
            <w:pPr>
              <w:spacing w:after="0" w:line="182" w:lineRule="exact"/>
              <w:rPr>
                <w:sz w:val="20"/>
                <w:szCs w:val="20"/>
                <w:color w:val="auto"/>
              </w:rPr>
            </w:pPr>
            <w:r>
              <w:rPr>
                <w:rFonts w:ascii="Arial" w:cs="Arial" w:eastAsia="Arial" w:hAnsi="Arial"/>
                <w:sz w:val="18"/>
                <w:szCs w:val="18"/>
                <w:color w:val="auto"/>
              </w:rPr>
              <w:t>Item 9A.</w:t>
            </w:r>
          </w:p>
        </w:tc>
        <w:tc>
          <w:tcPr>
            <w:tcW w:w="2000" w:type="dxa"/>
            <w:vAlign w:val="bottom"/>
            <w:tcBorders>
              <w:top w:val="single" w:sz="8" w:color="0000EE"/>
              <w:bottom w:val="single" w:sz="8" w:color="0000EE"/>
            </w:tcBorders>
            <w:gridSpan w:val="10"/>
          </w:tcPr>
          <w:p>
            <w:pPr>
              <w:spacing w:after="0" w:line="182" w:lineRule="exact"/>
              <w:rPr>
                <w:rFonts w:ascii="Arial" w:cs="Arial" w:eastAsia="Arial" w:hAnsi="Arial"/>
                <w:sz w:val="18"/>
                <w:szCs w:val="18"/>
                <w:color w:val="0000EE"/>
                <w:w w:val="99"/>
              </w:rPr>
            </w:pPr>
            <w:hyperlink w:anchor="page92">
              <w:r>
                <w:rPr>
                  <w:rFonts w:ascii="Arial" w:cs="Arial" w:eastAsia="Arial" w:hAnsi="Arial"/>
                  <w:sz w:val="18"/>
                  <w:szCs w:val="18"/>
                  <w:color w:val="0000EE"/>
                  <w:w w:val="99"/>
                </w:rPr>
                <w:t>Controls and Procedures</w:t>
              </w:r>
            </w:hyperlink>
          </w:p>
        </w:tc>
        <w:tc>
          <w:tcPr>
            <w:tcW w:w="5140" w:type="dxa"/>
            <w:vAlign w:val="bottom"/>
            <w:tcBorders>
              <w:top w:val="single" w:sz="8" w:color="0000EE"/>
            </w:tcBorders>
            <w:gridSpan w:val="9"/>
          </w:tcPr>
          <w:p>
            <w:pPr>
              <w:spacing w:after="0"/>
              <w:rPr>
                <w:sz w:val="15"/>
                <w:szCs w:val="15"/>
                <w:color w:val="auto"/>
              </w:rPr>
            </w:pPr>
          </w:p>
        </w:tc>
        <w:tc>
          <w:tcPr>
            <w:tcW w:w="2520" w:type="dxa"/>
            <w:vAlign w:val="bottom"/>
            <w:gridSpan w:val="3"/>
          </w:tcPr>
          <w:p>
            <w:pPr>
              <w:spacing w:after="0"/>
              <w:rPr>
                <w:sz w:val="15"/>
                <w:szCs w:val="15"/>
                <w:color w:val="auto"/>
              </w:rPr>
            </w:pPr>
          </w:p>
        </w:tc>
        <w:tc>
          <w:tcPr>
            <w:tcW w:w="800" w:type="dxa"/>
            <w:vAlign w:val="bottom"/>
          </w:tcPr>
          <w:p>
            <w:pPr>
              <w:jc w:val="right"/>
              <w:spacing w:after="0" w:line="182" w:lineRule="exact"/>
              <w:rPr>
                <w:sz w:val="20"/>
                <w:szCs w:val="20"/>
                <w:color w:val="auto"/>
              </w:rPr>
            </w:pPr>
            <w:r>
              <w:rPr>
                <w:rFonts w:ascii="Arial" w:cs="Arial" w:eastAsia="Arial" w:hAnsi="Arial"/>
                <w:sz w:val="18"/>
                <w:szCs w:val="18"/>
                <w:color w:val="auto"/>
              </w:rPr>
              <w:t>92</w:t>
            </w:r>
          </w:p>
        </w:tc>
        <w:tc>
          <w:tcPr>
            <w:tcW w:w="0" w:type="dxa"/>
            <w:vAlign w:val="bottom"/>
          </w:tcPr>
          <w:p>
            <w:pPr>
              <w:spacing w:after="0"/>
              <w:rPr>
                <w:sz w:val="1"/>
                <w:szCs w:val="1"/>
                <w:color w:val="auto"/>
              </w:rPr>
            </w:pPr>
          </w:p>
        </w:tc>
      </w:tr>
      <w:tr>
        <w:trPr>
          <w:trHeight w:val="183"/>
        </w:trPr>
        <w:tc>
          <w:tcPr>
            <w:tcW w:w="960" w:type="dxa"/>
            <w:vAlign w:val="bottom"/>
          </w:tcPr>
          <w:p>
            <w:pPr>
              <w:spacing w:after="0" w:line="182" w:lineRule="exact"/>
              <w:rPr>
                <w:sz w:val="20"/>
                <w:szCs w:val="20"/>
                <w:color w:val="auto"/>
              </w:rPr>
            </w:pPr>
            <w:r>
              <w:rPr>
                <w:rFonts w:ascii="Arial" w:cs="Arial" w:eastAsia="Arial" w:hAnsi="Arial"/>
                <w:sz w:val="18"/>
                <w:szCs w:val="18"/>
                <w:color w:val="auto"/>
              </w:rPr>
              <w:t>Item 9B.</w:t>
            </w:r>
          </w:p>
        </w:tc>
        <w:tc>
          <w:tcPr>
            <w:tcW w:w="9660" w:type="dxa"/>
            <w:vAlign w:val="bottom"/>
            <w:gridSpan w:val="22"/>
          </w:tcPr>
          <w:p>
            <w:pPr>
              <w:spacing w:after="0" w:line="182" w:lineRule="exact"/>
              <w:rPr>
                <w:rFonts w:ascii="Arial" w:cs="Arial" w:eastAsia="Arial" w:hAnsi="Arial"/>
                <w:sz w:val="18"/>
                <w:szCs w:val="18"/>
                <w:color w:val="0000EE"/>
              </w:rPr>
            </w:pPr>
            <w:hyperlink w:anchor="page92">
              <w:r>
                <w:rPr>
                  <w:rFonts w:ascii="Arial" w:cs="Arial" w:eastAsia="Arial" w:hAnsi="Arial"/>
                  <w:sz w:val="18"/>
                  <w:szCs w:val="18"/>
                  <w:color w:val="0000EE"/>
                </w:rPr>
                <w:t>Other Information</w:t>
              </w:r>
            </w:hyperlink>
          </w:p>
        </w:tc>
        <w:tc>
          <w:tcPr>
            <w:tcW w:w="800" w:type="dxa"/>
            <w:vAlign w:val="bottom"/>
          </w:tcPr>
          <w:p>
            <w:pPr>
              <w:jc w:val="right"/>
              <w:spacing w:after="0" w:line="182" w:lineRule="exact"/>
              <w:rPr>
                <w:sz w:val="20"/>
                <w:szCs w:val="20"/>
                <w:color w:val="auto"/>
              </w:rPr>
            </w:pPr>
            <w:r>
              <w:rPr>
                <w:rFonts w:ascii="Arial" w:cs="Arial" w:eastAsia="Arial" w:hAnsi="Arial"/>
                <w:sz w:val="18"/>
                <w:szCs w:val="18"/>
                <w:color w:val="auto"/>
              </w:rPr>
              <w:t>92</w:t>
            </w:r>
          </w:p>
        </w:tc>
        <w:tc>
          <w:tcPr>
            <w:tcW w:w="0" w:type="dxa"/>
            <w:vAlign w:val="bottom"/>
          </w:tcPr>
          <w:p>
            <w:pPr>
              <w:spacing w:after="0"/>
              <w:rPr>
                <w:sz w:val="1"/>
                <w:szCs w:val="1"/>
                <w:color w:val="auto"/>
              </w:rPr>
            </w:pPr>
          </w:p>
        </w:tc>
      </w:tr>
      <w:tr>
        <w:trPr>
          <w:trHeight w:val="209"/>
        </w:trPr>
        <w:tc>
          <w:tcPr>
            <w:tcW w:w="960" w:type="dxa"/>
            <w:vAlign w:val="bottom"/>
          </w:tcPr>
          <w:p>
            <w:pPr>
              <w:spacing w:after="0"/>
              <w:rPr>
                <w:sz w:val="18"/>
                <w:szCs w:val="18"/>
                <w:color w:val="auto"/>
              </w:rPr>
            </w:pPr>
          </w:p>
        </w:tc>
        <w:tc>
          <w:tcPr>
            <w:tcW w:w="74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400" w:type="dxa"/>
            <w:vAlign w:val="bottom"/>
            <w:tcBorders>
              <w:top w:val="single" w:sz="8" w:color="0000EE"/>
            </w:tcBorders>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5940" w:type="dxa"/>
            <w:vAlign w:val="bottom"/>
            <w:gridSpan w:val="8"/>
          </w:tcPr>
          <w:p>
            <w:pPr>
              <w:jc w:val="center"/>
              <w:ind w:right="3860"/>
              <w:spacing w:after="0"/>
              <w:rPr>
                <w:sz w:val="20"/>
                <w:szCs w:val="20"/>
                <w:color w:val="auto"/>
              </w:rPr>
            </w:pPr>
            <w:r>
              <w:rPr>
                <w:rFonts w:ascii="Arial" w:cs="Arial" w:eastAsia="Arial" w:hAnsi="Arial"/>
                <w:sz w:val="18"/>
                <w:szCs w:val="18"/>
                <w:b w:val="1"/>
                <w:bCs w:val="1"/>
                <w:color w:val="auto"/>
                <w:w w:val="98"/>
              </w:rPr>
              <w:t>PART III</w:t>
            </w: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960" w:type="dxa"/>
            <w:vAlign w:val="bottom"/>
          </w:tcPr>
          <w:p>
            <w:pPr>
              <w:spacing w:after="0" w:line="176" w:lineRule="exact"/>
              <w:rPr>
                <w:sz w:val="20"/>
                <w:szCs w:val="20"/>
                <w:color w:val="auto"/>
              </w:rPr>
            </w:pPr>
            <w:r>
              <w:rPr>
                <w:rFonts w:ascii="Arial" w:cs="Arial" w:eastAsia="Arial" w:hAnsi="Arial"/>
                <w:sz w:val="18"/>
                <w:szCs w:val="18"/>
                <w:color w:val="auto"/>
              </w:rPr>
              <w:t>Item 10.</w:t>
            </w:r>
          </w:p>
        </w:tc>
        <w:tc>
          <w:tcPr>
            <w:tcW w:w="9660" w:type="dxa"/>
            <w:vAlign w:val="bottom"/>
            <w:gridSpan w:val="22"/>
          </w:tcPr>
          <w:p>
            <w:pPr>
              <w:spacing w:after="0" w:line="176" w:lineRule="exact"/>
              <w:rPr>
                <w:rFonts w:ascii="Arial" w:cs="Arial" w:eastAsia="Arial" w:hAnsi="Arial"/>
                <w:sz w:val="18"/>
                <w:szCs w:val="18"/>
                <w:color w:val="0000EE"/>
              </w:rPr>
            </w:pPr>
            <w:hyperlink w:anchor="page93">
              <w:r>
                <w:rPr>
                  <w:rFonts w:ascii="Arial" w:cs="Arial" w:eastAsia="Arial" w:hAnsi="Arial"/>
                  <w:sz w:val="18"/>
                  <w:szCs w:val="18"/>
                  <w:color w:val="0000EE"/>
                </w:rPr>
                <w:t>Directors, Executive Officers and Corporate Governance</w:t>
              </w:r>
            </w:hyperlink>
          </w:p>
        </w:tc>
        <w:tc>
          <w:tcPr>
            <w:tcW w:w="800" w:type="dxa"/>
            <w:vAlign w:val="bottom"/>
          </w:tcPr>
          <w:p>
            <w:pPr>
              <w:jc w:val="right"/>
              <w:spacing w:after="0" w:line="176" w:lineRule="exact"/>
              <w:rPr>
                <w:sz w:val="20"/>
                <w:szCs w:val="20"/>
                <w:color w:val="auto"/>
              </w:rPr>
            </w:pPr>
            <w:r>
              <w:rPr>
                <w:rFonts w:ascii="Arial" w:cs="Arial" w:eastAsia="Arial" w:hAnsi="Arial"/>
                <w:sz w:val="18"/>
                <w:szCs w:val="18"/>
                <w:color w:val="auto"/>
              </w:rPr>
              <w:t>93</w:t>
            </w:r>
          </w:p>
        </w:tc>
        <w:tc>
          <w:tcPr>
            <w:tcW w:w="0" w:type="dxa"/>
            <w:vAlign w:val="bottom"/>
          </w:tcPr>
          <w:p>
            <w:pPr>
              <w:spacing w:after="0"/>
              <w:rPr>
                <w:sz w:val="1"/>
                <w:szCs w:val="1"/>
                <w:color w:val="auto"/>
              </w:rPr>
            </w:pPr>
          </w:p>
        </w:tc>
      </w:tr>
      <w:tr>
        <w:trPr>
          <w:trHeight w:val="183"/>
        </w:trPr>
        <w:tc>
          <w:tcPr>
            <w:tcW w:w="960" w:type="dxa"/>
            <w:vAlign w:val="bottom"/>
          </w:tcPr>
          <w:p>
            <w:pPr>
              <w:spacing w:after="0" w:line="182" w:lineRule="exact"/>
              <w:rPr>
                <w:sz w:val="20"/>
                <w:szCs w:val="20"/>
                <w:color w:val="auto"/>
              </w:rPr>
            </w:pPr>
            <w:r>
              <w:rPr>
                <w:rFonts w:ascii="Arial" w:cs="Arial" w:eastAsia="Arial" w:hAnsi="Arial"/>
                <w:sz w:val="18"/>
                <w:szCs w:val="18"/>
                <w:color w:val="auto"/>
              </w:rPr>
              <w:t>Item 11.</w:t>
            </w:r>
          </w:p>
        </w:tc>
        <w:tc>
          <w:tcPr>
            <w:tcW w:w="2000" w:type="dxa"/>
            <w:vAlign w:val="bottom"/>
            <w:tcBorders>
              <w:top w:val="single" w:sz="8" w:color="0000EE"/>
              <w:bottom w:val="single" w:sz="8" w:color="0000EE"/>
            </w:tcBorders>
            <w:gridSpan w:val="10"/>
          </w:tcPr>
          <w:p>
            <w:pPr>
              <w:spacing w:after="0" w:line="182" w:lineRule="exact"/>
              <w:rPr>
                <w:rFonts w:ascii="Arial" w:cs="Arial" w:eastAsia="Arial" w:hAnsi="Arial"/>
                <w:sz w:val="18"/>
                <w:szCs w:val="18"/>
                <w:color w:val="0000EE"/>
                <w:w w:val="99"/>
              </w:rPr>
            </w:pPr>
            <w:hyperlink w:anchor="page93">
              <w:r>
                <w:rPr>
                  <w:rFonts w:ascii="Arial" w:cs="Arial" w:eastAsia="Arial" w:hAnsi="Arial"/>
                  <w:sz w:val="18"/>
                  <w:szCs w:val="18"/>
                  <w:color w:val="0000EE"/>
                  <w:w w:val="99"/>
                </w:rPr>
                <w:t>Executive Compensation</w:t>
              </w:r>
            </w:hyperlink>
          </w:p>
        </w:tc>
        <w:tc>
          <w:tcPr>
            <w:tcW w:w="2500" w:type="dxa"/>
            <w:vAlign w:val="bottom"/>
            <w:tcBorders>
              <w:top w:val="single" w:sz="8" w:color="0000EE"/>
            </w:tcBorders>
            <w:gridSpan w:val="5"/>
          </w:tcPr>
          <w:p>
            <w:pPr>
              <w:spacing w:after="0"/>
              <w:rPr>
                <w:sz w:val="15"/>
                <w:szCs w:val="15"/>
                <w:color w:val="auto"/>
              </w:rPr>
            </w:pPr>
          </w:p>
        </w:tc>
        <w:tc>
          <w:tcPr>
            <w:tcW w:w="5160" w:type="dxa"/>
            <w:vAlign w:val="bottom"/>
            <w:gridSpan w:val="7"/>
          </w:tcPr>
          <w:p>
            <w:pPr>
              <w:spacing w:after="0"/>
              <w:rPr>
                <w:sz w:val="15"/>
                <w:szCs w:val="15"/>
                <w:color w:val="auto"/>
              </w:rPr>
            </w:pPr>
          </w:p>
        </w:tc>
        <w:tc>
          <w:tcPr>
            <w:tcW w:w="800" w:type="dxa"/>
            <w:vAlign w:val="bottom"/>
          </w:tcPr>
          <w:p>
            <w:pPr>
              <w:jc w:val="right"/>
              <w:spacing w:after="0" w:line="182" w:lineRule="exact"/>
              <w:rPr>
                <w:sz w:val="20"/>
                <w:szCs w:val="20"/>
                <w:color w:val="auto"/>
              </w:rPr>
            </w:pPr>
            <w:r>
              <w:rPr>
                <w:rFonts w:ascii="Arial" w:cs="Arial" w:eastAsia="Arial" w:hAnsi="Arial"/>
                <w:sz w:val="18"/>
                <w:szCs w:val="18"/>
                <w:color w:val="auto"/>
              </w:rPr>
              <w:t>93</w:t>
            </w:r>
          </w:p>
        </w:tc>
        <w:tc>
          <w:tcPr>
            <w:tcW w:w="0" w:type="dxa"/>
            <w:vAlign w:val="bottom"/>
          </w:tcPr>
          <w:p>
            <w:pPr>
              <w:spacing w:after="0"/>
              <w:rPr>
                <w:sz w:val="1"/>
                <w:szCs w:val="1"/>
                <w:color w:val="auto"/>
              </w:rPr>
            </w:pPr>
          </w:p>
        </w:tc>
      </w:tr>
      <w:tr>
        <w:trPr>
          <w:trHeight w:val="183"/>
        </w:trPr>
        <w:tc>
          <w:tcPr>
            <w:tcW w:w="960" w:type="dxa"/>
            <w:vAlign w:val="bottom"/>
          </w:tcPr>
          <w:p>
            <w:pPr>
              <w:spacing w:after="0" w:line="182" w:lineRule="exact"/>
              <w:rPr>
                <w:sz w:val="20"/>
                <w:szCs w:val="20"/>
                <w:color w:val="auto"/>
              </w:rPr>
            </w:pPr>
            <w:r>
              <w:rPr>
                <w:rFonts w:ascii="Arial" w:cs="Arial" w:eastAsia="Arial" w:hAnsi="Arial"/>
                <w:sz w:val="18"/>
                <w:szCs w:val="18"/>
                <w:color w:val="auto"/>
              </w:rPr>
              <w:t>Item 12.</w:t>
            </w:r>
          </w:p>
        </w:tc>
        <w:tc>
          <w:tcPr>
            <w:tcW w:w="9660" w:type="dxa"/>
            <w:vAlign w:val="bottom"/>
            <w:gridSpan w:val="22"/>
          </w:tcPr>
          <w:p>
            <w:pPr>
              <w:spacing w:after="0" w:line="182" w:lineRule="exact"/>
              <w:rPr>
                <w:rFonts w:ascii="Arial" w:cs="Arial" w:eastAsia="Arial" w:hAnsi="Arial"/>
                <w:sz w:val="18"/>
                <w:szCs w:val="18"/>
                <w:color w:val="0000EE"/>
              </w:rPr>
            </w:pPr>
            <w:hyperlink w:anchor="page93">
              <w:r>
                <w:rPr>
                  <w:rFonts w:ascii="Arial" w:cs="Arial" w:eastAsia="Arial" w:hAnsi="Arial"/>
                  <w:sz w:val="18"/>
                  <w:szCs w:val="18"/>
                  <w:color w:val="0000EE"/>
                </w:rPr>
                <w:t>Security Ownership of Certain Beneficial Owners and Management and Related Stockholder Matters</w:t>
              </w:r>
            </w:hyperlink>
          </w:p>
        </w:tc>
        <w:tc>
          <w:tcPr>
            <w:tcW w:w="800" w:type="dxa"/>
            <w:vAlign w:val="bottom"/>
          </w:tcPr>
          <w:p>
            <w:pPr>
              <w:jc w:val="right"/>
              <w:spacing w:after="0" w:line="182" w:lineRule="exact"/>
              <w:rPr>
                <w:sz w:val="20"/>
                <w:szCs w:val="20"/>
                <w:color w:val="auto"/>
              </w:rPr>
            </w:pPr>
            <w:r>
              <w:rPr>
                <w:rFonts w:ascii="Arial" w:cs="Arial" w:eastAsia="Arial" w:hAnsi="Arial"/>
                <w:sz w:val="18"/>
                <w:szCs w:val="18"/>
                <w:color w:val="auto"/>
              </w:rPr>
              <w:t>93</w:t>
            </w:r>
          </w:p>
        </w:tc>
        <w:tc>
          <w:tcPr>
            <w:tcW w:w="0" w:type="dxa"/>
            <w:vAlign w:val="bottom"/>
          </w:tcPr>
          <w:p>
            <w:pPr>
              <w:spacing w:after="0"/>
              <w:rPr>
                <w:sz w:val="1"/>
                <w:szCs w:val="1"/>
                <w:color w:val="auto"/>
              </w:rPr>
            </w:pPr>
          </w:p>
        </w:tc>
      </w:tr>
      <w:tr>
        <w:trPr>
          <w:trHeight w:val="183"/>
        </w:trPr>
        <w:tc>
          <w:tcPr>
            <w:tcW w:w="960" w:type="dxa"/>
            <w:vAlign w:val="bottom"/>
          </w:tcPr>
          <w:p>
            <w:pPr>
              <w:spacing w:after="0" w:line="182" w:lineRule="exact"/>
              <w:rPr>
                <w:sz w:val="20"/>
                <w:szCs w:val="20"/>
                <w:color w:val="auto"/>
              </w:rPr>
            </w:pPr>
            <w:r>
              <w:rPr>
                <w:rFonts w:ascii="Arial" w:cs="Arial" w:eastAsia="Arial" w:hAnsi="Arial"/>
                <w:sz w:val="18"/>
                <w:szCs w:val="18"/>
                <w:color w:val="auto"/>
              </w:rPr>
              <w:t>Item 13.</w:t>
            </w:r>
          </w:p>
        </w:tc>
        <w:tc>
          <w:tcPr>
            <w:tcW w:w="8020" w:type="dxa"/>
            <w:vAlign w:val="bottom"/>
            <w:tcBorders>
              <w:top w:val="single" w:sz="8" w:color="0000EE"/>
            </w:tcBorders>
            <w:gridSpan w:val="20"/>
          </w:tcPr>
          <w:p>
            <w:pPr>
              <w:spacing w:after="0" w:line="182" w:lineRule="exact"/>
              <w:rPr>
                <w:rFonts w:ascii="Arial" w:cs="Arial" w:eastAsia="Arial" w:hAnsi="Arial"/>
                <w:sz w:val="18"/>
                <w:szCs w:val="18"/>
                <w:color w:val="0000EE"/>
              </w:rPr>
            </w:pPr>
            <w:hyperlink w:anchor="page93">
              <w:r>
                <w:rPr>
                  <w:rFonts w:ascii="Arial" w:cs="Arial" w:eastAsia="Arial" w:hAnsi="Arial"/>
                  <w:sz w:val="18"/>
                  <w:szCs w:val="18"/>
                  <w:color w:val="0000EE"/>
                </w:rPr>
                <w:t>Certain Relationships and Related Transactions, and Director Independence</w:t>
              </w:r>
            </w:hyperlink>
          </w:p>
        </w:tc>
        <w:tc>
          <w:tcPr>
            <w:tcW w:w="1640" w:type="dxa"/>
            <w:vAlign w:val="bottom"/>
            <w:gridSpan w:val="2"/>
          </w:tcPr>
          <w:p>
            <w:pPr>
              <w:spacing w:after="0"/>
              <w:rPr>
                <w:sz w:val="15"/>
                <w:szCs w:val="15"/>
                <w:color w:val="auto"/>
              </w:rPr>
            </w:pPr>
          </w:p>
        </w:tc>
        <w:tc>
          <w:tcPr>
            <w:tcW w:w="800" w:type="dxa"/>
            <w:vAlign w:val="bottom"/>
          </w:tcPr>
          <w:p>
            <w:pPr>
              <w:jc w:val="right"/>
              <w:spacing w:after="0" w:line="182" w:lineRule="exact"/>
              <w:rPr>
                <w:sz w:val="20"/>
                <w:szCs w:val="20"/>
                <w:color w:val="auto"/>
              </w:rPr>
            </w:pPr>
            <w:r>
              <w:rPr>
                <w:rFonts w:ascii="Arial" w:cs="Arial" w:eastAsia="Arial" w:hAnsi="Arial"/>
                <w:sz w:val="18"/>
                <w:szCs w:val="18"/>
                <w:color w:val="auto"/>
              </w:rPr>
              <w:t>93</w:t>
            </w:r>
          </w:p>
        </w:tc>
        <w:tc>
          <w:tcPr>
            <w:tcW w:w="0" w:type="dxa"/>
            <w:vAlign w:val="bottom"/>
          </w:tcPr>
          <w:p>
            <w:pPr>
              <w:spacing w:after="0"/>
              <w:rPr>
                <w:sz w:val="1"/>
                <w:szCs w:val="1"/>
                <w:color w:val="auto"/>
              </w:rPr>
            </w:pPr>
          </w:p>
        </w:tc>
      </w:tr>
      <w:tr>
        <w:trPr>
          <w:trHeight w:val="183"/>
        </w:trPr>
        <w:tc>
          <w:tcPr>
            <w:tcW w:w="960" w:type="dxa"/>
            <w:vAlign w:val="bottom"/>
          </w:tcPr>
          <w:p>
            <w:pPr>
              <w:spacing w:after="0" w:line="182" w:lineRule="exact"/>
              <w:rPr>
                <w:sz w:val="20"/>
                <w:szCs w:val="20"/>
                <w:color w:val="auto"/>
              </w:rPr>
            </w:pPr>
            <w:r>
              <w:rPr>
                <w:rFonts w:ascii="Arial" w:cs="Arial" w:eastAsia="Arial" w:hAnsi="Arial"/>
                <w:sz w:val="18"/>
                <w:szCs w:val="18"/>
                <w:color w:val="auto"/>
              </w:rPr>
              <w:t>Item 14.</w:t>
            </w:r>
          </w:p>
        </w:tc>
        <w:tc>
          <w:tcPr>
            <w:tcW w:w="6080" w:type="dxa"/>
            <w:vAlign w:val="bottom"/>
            <w:tcBorders>
              <w:top w:val="single" w:sz="8" w:color="0000EE"/>
            </w:tcBorders>
            <w:gridSpan w:val="17"/>
          </w:tcPr>
          <w:p>
            <w:pPr>
              <w:spacing w:after="0" w:line="182" w:lineRule="exact"/>
              <w:rPr>
                <w:rFonts w:ascii="Arial" w:cs="Arial" w:eastAsia="Arial" w:hAnsi="Arial"/>
                <w:sz w:val="18"/>
                <w:szCs w:val="18"/>
                <w:color w:val="0000EE"/>
              </w:rPr>
            </w:pPr>
            <w:hyperlink w:anchor="page93">
              <w:r>
                <w:rPr>
                  <w:rFonts w:ascii="Arial" w:cs="Arial" w:eastAsia="Arial" w:hAnsi="Arial"/>
                  <w:sz w:val="18"/>
                  <w:szCs w:val="18"/>
                  <w:color w:val="0000EE"/>
                </w:rPr>
                <w:t>Principal Accounting Fees and Services</w:t>
              </w:r>
            </w:hyperlink>
          </w:p>
        </w:tc>
        <w:tc>
          <w:tcPr>
            <w:tcW w:w="3580" w:type="dxa"/>
            <w:vAlign w:val="bottom"/>
            <w:gridSpan w:val="5"/>
          </w:tcPr>
          <w:p>
            <w:pPr>
              <w:spacing w:after="0"/>
              <w:rPr>
                <w:sz w:val="15"/>
                <w:szCs w:val="15"/>
                <w:color w:val="auto"/>
              </w:rPr>
            </w:pPr>
          </w:p>
        </w:tc>
        <w:tc>
          <w:tcPr>
            <w:tcW w:w="800" w:type="dxa"/>
            <w:vAlign w:val="bottom"/>
          </w:tcPr>
          <w:p>
            <w:pPr>
              <w:jc w:val="right"/>
              <w:spacing w:after="0" w:line="182" w:lineRule="exact"/>
              <w:rPr>
                <w:sz w:val="20"/>
                <w:szCs w:val="20"/>
                <w:color w:val="auto"/>
              </w:rPr>
            </w:pPr>
            <w:r>
              <w:rPr>
                <w:rFonts w:ascii="Arial" w:cs="Arial" w:eastAsia="Arial" w:hAnsi="Arial"/>
                <w:sz w:val="18"/>
                <w:szCs w:val="18"/>
                <w:color w:val="auto"/>
              </w:rPr>
              <w:t>93</w:t>
            </w:r>
          </w:p>
        </w:tc>
        <w:tc>
          <w:tcPr>
            <w:tcW w:w="0" w:type="dxa"/>
            <w:vAlign w:val="bottom"/>
          </w:tcPr>
          <w:p>
            <w:pPr>
              <w:spacing w:after="0"/>
              <w:rPr>
                <w:sz w:val="1"/>
                <w:szCs w:val="1"/>
                <w:color w:val="auto"/>
              </w:rPr>
            </w:pPr>
          </w:p>
        </w:tc>
      </w:tr>
      <w:tr>
        <w:trPr>
          <w:trHeight w:val="209"/>
        </w:trPr>
        <w:tc>
          <w:tcPr>
            <w:tcW w:w="960" w:type="dxa"/>
            <w:vAlign w:val="bottom"/>
          </w:tcPr>
          <w:p>
            <w:pPr>
              <w:spacing w:after="0"/>
              <w:rPr>
                <w:sz w:val="18"/>
                <w:szCs w:val="18"/>
                <w:color w:val="auto"/>
              </w:rPr>
            </w:pPr>
          </w:p>
        </w:tc>
        <w:tc>
          <w:tcPr>
            <w:tcW w:w="74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40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920" w:type="dxa"/>
            <w:vAlign w:val="bottom"/>
            <w:tcBorders>
              <w:top w:val="single" w:sz="8" w:color="0000EE"/>
            </w:tcBorders>
          </w:tcPr>
          <w:p>
            <w:pPr>
              <w:spacing w:after="0"/>
              <w:rPr>
                <w:sz w:val="18"/>
                <w:szCs w:val="18"/>
                <w:color w:val="auto"/>
              </w:rPr>
            </w:pPr>
          </w:p>
        </w:tc>
        <w:tc>
          <w:tcPr>
            <w:tcW w:w="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5940" w:type="dxa"/>
            <w:vAlign w:val="bottom"/>
            <w:gridSpan w:val="8"/>
          </w:tcPr>
          <w:p>
            <w:pPr>
              <w:jc w:val="center"/>
              <w:ind w:right="3880"/>
              <w:spacing w:after="0"/>
              <w:rPr>
                <w:sz w:val="20"/>
                <w:szCs w:val="20"/>
                <w:color w:val="auto"/>
              </w:rPr>
            </w:pPr>
            <w:r>
              <w:rPr>
                <w:rFonts w:ascii="Arial" w:cs="Arial" w:eastAsia="Arial" w:hAnsi="Arial"/>
                <w:sz w:val="18"/>
                <w:szCs w:val="18"/>
                <w:b w:val="1"/>
                <w:bCs w:val="1"/>
                <w:color w:val="auto"/>
                <w:w w:val="98"/>
              </w:rPr>
              <w:t>PART IV</w:t>
            </w: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960" w:type="dxa"/>
            <w:vAlign w:val="bottom"/>
          </w:tcPr>
          <w:p>
            <w:pPr>
              <w:spacing w:after="0" w:line="176" w:lineRule="exact"/>
              <w:rPr>
                <w:sz w:val="20"/>
                <w:szCs w:val="20"/>
                <w:color w:val="auto"/>
              </w:rPr>
            </w:pPr>
            <w:r>
              <w:rPr>
                <w:rFonts w:ascii="Arial" w:cs="Arial" w:eastAsia="Arial" w:hAnsi="Arial"/>
                <w:sz w:val="18"/>
                <w:szCs w:val="18"/>
                <w:color w:val="auto"/>
              </w:rPr>
              <w:t>Item 15.</w:t>
            </w:r>
          </w:p>
        </w:tc>
        <w:tc>
          <w:tcPr>
            <w:tcW w:w="3220" w:type="dxa"/>
            <w:vAlign w:val="bottom"/>
            <w:tcBorders>
              <w:bottom w:val="single" w:sz="8" w:color="0000EE"/>
            </w:tcBorders>
            <w:gridSpan w:val="13"/>
          </w:tcPr>
          <w:p>
            <w:pPr>
              <w:spacing w:after="0" w:line="176" w:lineRule="exact"/>
              <w:rPr>
                <w:rFonts w:ascii="Arial" w:cs="Arial" w:eastAsia="Arial" w:hAnsi="Arial"/>
                <w:sz w:val="18"/>
                <w:szCs w:val="18"/>
                <w:color w:val="0000EE"/>
                <w:w w:val="99"/>
              </w:rPr>
            </w:pPr>
            <w:hyperlink w:anchor="page94">
              <w:r>
                <w:rPr>
                  <w:rFonts w:ascii="Arial" w:cs="Arial" w:eastAsia="Arial" w:hAnsi="Arial"/>
                  <w:sz w:val="18"/>
                  <w:szCs w:val="18"/>
                  <w:color w:val="0000EE"/>
                  <w:w w:val="99"/>
                </w:rPr>
                <w:t>Exhibits, Financial Statement Schedules</w:t>
              </w:r>
            </w:hyperlink>
          </w:p>
        </w:tc>
        <w:tc>
          <w:tcPr>
            <w:tcW w:w="6440" w:type="dxa"/>
            <w:vAlign w:val="bottom"/>
            <w:gridSpan w:val="9"/>
          </w:tcPr>
          <w:p>
            <w:pPr>
              <w:spacing w:after="0"/>
              <w:rPr>
                <w:sz w:val="15"/>
                <w:szCs w:val="15"/>
                <w:color w:val="auto"/>
              </w:rPr>
            </w:pPr>
          </w:p>
        </w:tc>
        <w:tc>
          <w:tcPr>
            <w:tcW w:w="800" w:type="dxa"/>
            <w:vAlign w:val="bottom"/>
          </w:tcPr>
          <w:p>
            <w:pPr>
              <w:jc w:val="right"/>
              <w:spacing w:after="0" w:line="176" w:lineRule="exact"/>
              <w:rPr>
                <w:sz w:val="20"/>
                <w:szCs w:val="20"/>
                <w:color w:val="auto"/>
              </w:rPr>
            </w:pPr>
            <w:r>
              <w:rPr>
                <w:rFonts w:ascii="Arial" w:cs="Arial" w:eastAsia="Arial" w:hAnsi="Arial"/>
                <w:sz w:val="18"/>
                <w:szCs w:val="18"/>
                <w:color w:val="auto"/>
              </w:rPr>
              <w:t>94</w:t>
            </w:r>
          </w:p>
        </w:tc>
        <w:tc>
          <w:tcPr>
            <w:tcW w:w="0" w:type="dxa"/>
            <w:vAlign w:val="bottom"/>
          </w:tcPr>
          <w:p>
            <w:pPr>
              <w:spacing w:after="0"/>
              <w:rPr>
                <w:sz w:val="1"/>
                <w:szCs w:val="1"/>
                <w:color w:val="auto"/>
              </w:rPr>
            </w:pPr>
          </w:p>
        </w:tc>
      </w:tr>
      <w:tr>
        <w:trPr>
          <w:trHeight w:val="183"/>
        </w:trPr>
        <w:tc>
          <w:tcPr>
            <w:tcW w:w="960" w:type="dxa"/>
            <w:vAlign w:val="bottom"/>
          </w:tcPr>
          <w:p>
            <w:pPr>
              <w:spacing w:after="0" w:line="182" w:lineRule="exact"/>
              <w:rPr>
                <w:sz w:val="20"/>
                <w:szCs w:val="20"/>
                <w:color w:val="auto"/>
              </w:rPr>
            </w:pPr>
            <w:r>
              <w:rPr>
                <w:rFonts w:ascii="Arial" w:cs="Arial" w:eastAsia="Arial" w:hAnsi="Arial"/>
                <w:sz w:val="18"/>
                <w:szCs w:val="18"/>
                <w:color w:val="auto"/>
              </w:rPr>
              <w:t>Item 16.</w:t>
            </w:r>
          </w:p>
        </w:tc>
        <w:tc>
          <w:tcPr>
            <w:tcW w:w="1680" w:type="dxa"/>
            <w:vAlign w:val="bottom"/>
            <w:tcBorders>
              <w:bottom w:val="single" w:sz="8" w:color="0000EE"/>
            </w:tcBorders>
            <w:gridSpan w:val="7"/>
          </w:tcPr>
          <w:p>
            <w:pPr>
              <w:spacing w:after="0" w:line="182" w:lineRule="exact"/>
              <w:rPr>
                <w:rFonts w:ascii="Arial" w:cs="Arial" w:eastAsia="Arial" w:hAnsi="Arial"/>
                <w:sz w:val="18"/>
                <w:szCs w:val="18"/>
                <w:color w:val="0000EE"/>
                <w:w w:val="99"/>
              </w:rPr>
            </w:pPr>
            <w:hyperlink w:anchor="page97">
              <w:r>
                <w:rPr>
                  <w:rFonts w:ascii="Arial" w:cs="Arial" w:eastAsia="Arial" w:hAnsi="Arial"/>
                  <w:sz w:val="18"/>
                  <w:szCs w:val="18"/>
                  <w:color w:val="0000EE"/>
                  <w:w w:val="99"/>
                </w:rPr>
                <w:t>Form 10-K Summary</w:t>
              </w:r>
            </w:hyperlink>
          </w:p>
        </w:tc>
        <w:tc>
          <w:tcPr>
            <w:tcW w:w="7980" w:type="dxa"/>
            <w:vAlign w:val="bottom"/>
            <w:gridSpan w:val="15"/>
          </w:tcPr>
          <w:p>
            <w:pPr>
              <w:spacing w:after="0"/>
              <w:rPr>
                <w:sz w:val="15"/>
                <w:szCs w:val="15"/>
                <w:color w:val="auto"/>
              </w:rPr>
            </w:pPr>
          </w:p>
        </w:tc>
        <w:tc>
          <w:tcPr>
            <w:tcW w:w="800" w:type="dxa"/>
            <w:vAlign w:val="bottom"/>
          </w:tcPr>
          <w:p>
            <w:pPr>
              <w:jc w:val="right"/>
              <w:spacing w:after="0" w:line="182" w:lineRule="exact"/>
              <w:rPr>
                <w:sz w:val="20"/>
                <w:szCs w:val="20"/>
                <w:color w:val="auto"/>
              </w:rPr>
            </w:pPr>
            <w:r>
              <w:rPr>
                <w:rFonts w:ascii="Arial" w:cs="Arial" w:eastAsia="Arial" w:hAnsi="Arial"/>
                <w:sz w:val="18"/>
                <w:szCs w:val="18"/>
                <w:color w:val="auto"/>
              </w:rPr>
              <w:t>97</w:t>
            </w:r>
          </w:p>
        </w:tc>
        <w:tc>
          <w:tcPr>
            <w:tcW w:w="0" w:type="dxa"/>
            <w:vAlign w:val="bottom"/>
          </w:tcPr>
          <w:p>
            <w:pPr>
              <w:spacing w:after="0"/>
              <w:rPr>
                <w:sz w:val="1"/>
                <w:szCs w:val="1"/>
                <w:color w:val="auto"/>
              </w:rPr>
            </w:pPr>
          </w:p>
        </w:tc>
      </w:tr>
      <w:tr>
        <w:trPr>
          <w:trHeight w:val="183"/>
        </w:trPr>
        <w:tc>
          <w:tcPr>
            <w:tcW w:w="960" w:type="dxa"/>
            <w:vAlign w:val="bottom"/>
          </w:tcPr>
          <w:p>
            <w:pPr>
              <w:spacing w:after="0"/>
              <w:rPr>
                <w:sz w:val="15"/>
                <w:szCs w:val="15"/>
                <w:color w:val="auto"/>
              </w:rPr>
            </w:pPr>
          </w:p>
        </w:tc>
        <w:tc>
          <w:tcPr>
            <w:tcW w:w="9660" w:type="dxa"/>
            <w:vAlign w:val="bottom"/>
            <w:gridSpan w:val="22"/>
          </w:tcPr>
          <w:p>
            <w:pPr>
              <w:spacing w:after="0" w:line="182" w:lineRule="exact"/>
              <w:rPr>
                <w:rFonts w:ascii="Arial" w:cs="Arial" w:eastAsia="Arial" w:hAnsi="Arial"/>
                <w:sz w:val="18"/>
                <w:szCs w:val="18"/>
                <w:color w:val="0000EE"/>
              </w:rPr>
            </w:pPr>
            <w:hyperlink w:anchor="page98">
              <w:r>
                <w:rPr>
                  <w:rFonts w:ascii="Arial" w:cs="Arial" w:eastAsia="Arial" w:hAnsi="Arial"/>
                  <w:sz w:val="18"/>
                  <w:szCs w:val="18"/>
                  <w:color w:val="0000EE"/>
                </w:rPr>
                <w:t>Signatures</w:t>
              </w:r>
            </w:hyperlink>
          </w:p>
        </w:tc>
        <w:tc>
          <w:tcPr>
            <w:tcW w:w="800" w:type="dxa"/>
            <w:vAlign w:val="bottom"/>
          </w:tcPr>
          <w:p>
            <w:pPr>
              <w:jc w:val="right"/>
              <w:spacing w:after="0" w:line="182" w:lineRule="exact"/>
              <w:rPr>
                <w:sz w:val="20"/>
                <w:szCs w:val="20"/>
                <w:color w:val="auto"/>
              </w:rPr>
            </w:pPr>
            <w:r>
              <w:rPr>
                <w:rFonts w:ascii="Arial" w:cs="Arial" w:eastAsia="Arial" w:hAnsi="Arial"/>
                <w:sz w:val="18"/>
                <w:szCs w:val="18"/>
                <w:color w:val="auto"/>
              </w:rPr>
              <w:t>98</w:t>
            </w:r>
          </w:p>
        </w:tc>
        <w:tc>
          <w:tcPr>
            <w:tcW w:w="0" w:type="dxa"/>
            <w:vAlign w:val="bottom"/>
          </w:tcPr>
          <w:p>
            <w:pPr>
              <w:spacing w:after="0"/>
              <w:rPr>
                <w:sz w:val="1"/>
                <w:szCs w:val="1"/>
                <w:color w:val="auto"/>
              </w:rPr>
            </w:pPr>
          </w:p>
        </w:tc>
      </w:tr>
      <w:tr>
        <w:trPr>
          <w:trHeight w:val="439"/>
        </w:trPr>
        <w:tc>
          <w:tcPr>
            <w:tcW w:w="960" w:type="dxa"/>
            <w:vAlign w:val="bottom"/>
          </w:tcPr>
          <w:p>
            <w:pPr>
              <w:spacing w:after="0"/>
              <w:rPr>
                <w:sz w:val="24"/>
                <w:szCs w:val="24"/>
                <w:color w:val="auto"/>
              </w:rPr>
            </w:pPr>
          </w:p>
        </w:tc>
        <w:tc>
          <w:tcPr>
            <w:tcW w:w="860" w:type="dxa"/>
            <w:vAlign w:val="bottom"/>
            <w:tcBorders>
              <w:top w:val="single" w:sz="8" w:color="0000EE"/>
            </w:tcBorders>
            <w:gridSpan w:val="3"/>
          </w:tcPr>
          <w:p>
            <w:pPr>
              <w:spacing w:after="0"/>
              <w:rPr>
                <w:sz w:val="24"/>
                <w:szCs w:val="24"/>
                <w:color w:val="auto"/>
              </w:rPr>
            </w:pPr>
          </w:p>
        </w:tc>
        <w:tc>
          <w:tcPr>
            <w:tcW w:w="5220" w:type="dxa"/>
            <w:vAlign w:val="bottom"/>
            <w:gridSpan w:val="14"/>
          </w:tcPr>
          <w:p>
            <w:pPr>
              <w:jc w:val="center"/>
              <w:ind w:left="2470"/>
              <w:spacing w:after="0"/>
              <w:rPr>
                <w:sz w:val="20"/>
                <w:szCs w:val="20"/>
                <w:color w:val="auto"/>
              </w:rPr>
            </w:pPr>
            <w:r>
              <w:rPr>
                <w:rFonts w:ascii="Arial" w:cs="Arial" w:eastAsia="Arial" w:hAnsi="Arial"/>
                <w:sz w:val="18"/>
                <w:szCs w:val="18"/>
                <w:color w:val="auto"/>
                <w:w w:val="99"/>
              </w:rPr>
              <w:t>2</w:t>
            </w:r>
          </w:p>
        </w:tc>
        <w:tc>
          <w:tcPr>
            <w:tcW w:w="10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2"/>
        </w:trPr>
        <w:tc>
          <w:tcPr>
            <w:tcW w:w="960" w:type="dxa"/>
            <w:vAlign w:val="bottom"/>
            <w:tcBorders>
              <w:bottom w:val="single" w:sz="8" w:color="9A9A9A"/>
            </w:tcBorders>
          </w:tcPr>
          <w:p>
            <w:pPr>
              <w:spacing w:after="0"/>
              <w:rPr>
                <w:sz w:val="8"/>
                <w:szCs w:val="8"/>
                <w:color w:val="auto"/>
              </w:rPr>
            </w:pPr>
          </w:p>
        </w:tc>
        <w:tc>
          <w:tcPr>
            <w:tcW w:w="740" w:type="dxa"/>
            <w:vAlign w:val="bottom"/>
            <w:tcBorders>
              <w:bottom w:val="single" w:sz="8" w:color="9A9A9A"/>
            </w:tcBorders>
          </w:tcPr>
          <w:p>
            <w:pPr>
              <w:spacing w:after="0"/>
              <w:rPr>
                <w:sz w:val="8"/>
                <w:szCs w:val="8"/>
                <w:color w:val="auto"/>
              </w:rPr>
            </w:pPr>
          </w:p>
        </w:tc>
        <w:tc>
          <w:tcPr>
            <w:tcW w:w="80" w:type="dxa"/>
            <w:vAlign w:val="bottom"/>
            <w:tcBorders>
              <w:bottom w:val="single" w:sz="8" w:color="9A9A9A"/>
            </w:tcBorders>
          </w:tcPr>
          <w:p>
            <w:pPr>
              <w:spacing w:after="0"/>
              <w:rPr>
                <w:sz w:val="8"/>
                <w:szCs w:val="8"/>
                <w:color w:val="auto"/>
              </w:rPr>
            </w:pPr>
          </w:p>
        </w:tc>
        <w:tc>
          <w:tcPr>
            <w:tcW w:w="40" w:type="dxa"/>
            <w:vAlign w:val="bottom"/>
            <w:tcBorders>
              <w:bottom w:val="single" w:sz="8" w:color="9A9A9A"/>
            </w:tcBorders>
          </w:tcPr>
          <w:p>
            <w:pPr>
              <w:spacing w:after="0"/>
              <w:rPr>
                <w:sz w:val="8"/>
                <w:szCs w:val="8"/>
                <w:color w:val="auto"/>
              </w:rPr>
            </w:pPr>
          </w:p>
        </w:tc>
        <w:tc>
          <w:tcPr>
            <w:tcW w:w="140" w:type="dxa"/>
            <w:vAlign w:val="bottom"/>
            <w:tcBorders>
              <w:bottom w:val="single" w:sz="8" w:color="9A9A9A"/>
            </w:tcBorders>
          </w:tcPr>
          <w:p>
            <w:pPr>
              <w:spacing w:after="0"/>
              <w:rPr>
                <w:sz w:val="8"/>
                <w:szCs w:val="8"/>
                <w:color w:val="auto"/>
              </w:rPr>
            </w:pPr>
          </w:p>
        </w:tc>
        <w:tc>
          <w:tcPr>
            <w:tcW w:w="40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180" w:type="dxa"/>
            <w:vAlign w:val="bottom"/>
            <w:tcBorders>
              <w:bottom w:val="single" w:sz="8" w:color="9A9A9A"/>
            </w:tcBorders>
          </w:tcPr>
          <w:p>
            <w:pPr>
              <w:spacing w:after="0"/>
              <w:rPr>
                <w:sz w:val="8"/>
                <w:szCs w:val="8"/>
                <w:color w:val="auto"/>
              </w:rPr>
            </w:pPr>
          </w:p>
        </w:tc>
        <w:tc>
          <w:tcPr>
            <w:tcW w:w="220" w:type="dxa"/>
            <w:vAlign w:val="bottom"/>
            <w:tcBorders>
              <w:bottom w:val="single" w:sz="8" w:color="9A9A9A"/>
            </w:tcBorders>
          </w:tcPr>
          <w:p>
            <w:pPr>
              <w:spacing w:after="0"/>
              <w:rPr>
                <w:sz w:val="8"/>
                <w:szCs w:val="8"/>
                <w:color w:val="auto"/>
              </w:rPr>
            </w:pPr>
          </w:p>
        </w:tc>
        <w:tc>
          <w:tcPr>
            <w:tcW w:w="40" w:type="dxa"/>
            <w:vAlign w:val="bottom"/>
            <w:tcBorders>
              <w:bottom w:val="single" w:sz="8" w:color="9A9A9A"/>
            </w:tcBorders>
          </w:tcPr>
          <w:p>
            <w:pPr>
              <w:spacing w:after="0"/>
              <w:rPr>
                <w:sz w:val="8"/>
                <w:szCs w:val="8"/>
                <w:color w:val="auto"/>
              </w:rPr>
            </w:pPr>
          </w:p>
        </w:tc>
        <w:tc>
          <w:tcPr>
            <w:tcW w:w="60" w:type="dxa"/>
            <w:vAlign w:val="bottom"/>
            <w:tcBorders>
              <w:bottom w:val="single" w:sz="8" w:color="9A9A9A"/>
            </w:tcBorders>
          </w:tcPr>
          <w:p>
            <w:pPr>
              <w:spacing w:after="0"/>
              <w:rPr>
                <w:sz w:val="8"/>
                <w:szCs w:val="8"/>
                <w:color w:val="auto"/>
              </w:rPr>
            </w:pPr>
          </w:p>
        </w:tc>
        <w:tc>
          <w:tcPr>
            <w:tcW w:w="260" w:type="dxa"/>
            <w:vAlign w:val="bottom"/>
            <w:tcBorders>
              <w:bottom w:val="single" w:sz="8" w:color="9A9A9A"/>
            </w:tcBorders>
          </w:tcPr>
          <w:p>
            <w:pPr>
              <w:spacing w:after="0"/>
              <w:rPr>
                <w:sz w:val="8"/>
                <w:szCs w:val="8"/>
                <w:color w:val="auto"/>
              </w:rPr>
            </w:pPr>
          </w:p>
        </w:tc>
        <w:tc>
          <w:tcPr>
            <w:tcW w:w="920" w:type="dxa"/>
            <w:vAlign w:val="bottom"/>
            <w:tcBorders>
              <w:bottom w:val="single" w:sz="8" w:color="9A9A9A"/>
            </w:tcBorders>
          </w:tcPr>
          <w:p>
            <w:pPr>
              <w:spacing w:after="0"/>
              <w:rPr>
                <w:sz w:val="8"/>
                <w:szCs w:val="8"/>
                <w:color w:val="auto"/>
              </w:rPr>
            </w:pPr>
          </w:p>
        </w:tc>
        <w:tc>
          <w:tcPr>
            <w:tcW w:w="40" w:type="dxa"/>
            <w:vAlign w:val="bottom"/>
            <w:tcBorders>
              <w:bottom w:val="single" w:sz="8" w:color="9A9A9A"/>
            </w:tcBorders>
          </w:tcPr>
          <w:p>
            <w:pPr>
              <w:spacing w:after="0"/>
              <w:rPr>
                <w:sz w:val="8"/>
                <w:szCs w:val="8"/>
                <w:color w:val="auto"/>
              </w:rPr>
            </w:pPr>
          </w:p>
        </w:tc>
        <w:tc>
          <w:tcPr>
            <w:tcW w:w="500" w:type="dxa"/>
            <w:vAlign w:val="bottom"/>
            <w:tcBorders>
              <w:bottom w:val="single" w:sz="8" w:color="9A9A9A"/>
            </w:tcBorders>
          </w:tcPr>
          <w:p>
            <w:pPr>
              <w:spacing w:after="0"/>
              <w:rPr>
                <w:sz w:val="8"/>
                <w:szCs w:val="8"/>
                <w:color w:val="auto"/>
              </w:rPr>
            </w:pPr>
          </w:p>
        </w:tc>
        <w:tc>
          <w:tcPr>
            <w:tcW w:w="780" w:type="dxa"/>
            <w:vAlign w:val="bottom"/>
            <w:tcBorders>
              <w:bottom w:val="single" w:sz="8" w:color="9A9A9A"/>
            </w:tcBorders>
          </w:tcPr>
          <w:p>
            <w:pPr>
              <w:spacing w:after="0"/>
              <w:rPr>
                <w:sz w:val="8"/>
                <w:szCs w:val="8"/>
                <w:color w:val="auto"/>
              </w:rPr>
            </w:pPr>
          </w:p>
        </w:tc>
        <w:tc>
          <w:tcPr>
            <w:tcW w:w="220" w:type="dxa"/>
            <w:vAlign w:val="bottom"/>
            <w:tcBorders>
              <w:bottom w:val="single" w:sz="8" w:color="9A9A9A"/>
            </w:tcBorders>
          </w:tcPr>
          <w:p>
            <w:pPr>
              <w:spacing w:after="0"/>
              <w:rPr>
                <w:sz w:val="8"/>
                <w:szCs w:val="8"/>
                <w:color w:val="auto"/>
              </w:rPr>
            </w:pPr>
          </w:p>
        </w:tc>
        <w:tc>
          <w:tcPr>
            <w:tcW w:w="1360" w:type="dxa"/>
            <w:vAlign w:val="bottom"/>
            <w:tcBorders>
              <w:bottom w:val="single" w:sz="8" w:color="9A9A9A"/>
            </w:tcBorders>
          </w:tcPr>
          <w:p>
            <w:pPr>
              <w:spacing w:after="0"/>
              <w:rPr>
                <w:sz w:val="8"/>
                <w:szCs w:val="8"/>
                <w:color w:val="auto"/>
              </w:rPr>
            </w:pPr>
          </w:p>
        </w:tc>
        <w:tc>
          <w:tcPr>
            <w:tcW w:w="1000" w:type="dxa"/>
            <w:vAlign w:val="bottom"/>
            <w:tcBorders>
              <w:bottom w:val="single" w:sz="8" w:color="9A9A9A"/>
            </w:tcBorders>
          </w:tcPr>
          <w:p>
            <w:pPr>
              <w:spacing w:after="0"/>
              <w:rPr>
                <w:sz w:val="8"/>
                <w:szCs w:val="8"/>
                <w:color w:val="auto"/>
              </w:rPr>
            </w:pPr>
          </w:p>
        </w:tc>
        <w:tc>
          <w:tcPr>
            <w:tcW w:w="60" w:type="dxa"/>
            <w:vAlign w:val="bottom"/>
            <w:tcBorders>
              <w:bottom w:val="single" w:sz="8" w:color="9A9A9A"/>
            </w:tcBorders>
          </w:tcPr>
          <w:p>
            <w:pPr>
              <w:spacing w:after="0"/>
              <w:rPr>
                <w:sz w:val="8"/>
                <w:szCs w:val="8"/>
                <w:color w:val="auto"/>
              </w:rPr>
            </w:pPr>
          </w:p>
        </w:tc>
        <w:tc>
          <w:tcPr>
            <w:tcW w:w="880" w:type="dxa"/>
            <w:vAlign w:val="bottom"/>
            <w:tcBorders>
              <w:bottom w:val="single" w:sz="8" w:color="9A9A9A"/>
            </w:tcBorders>
          </w:tcPr>
          <w:p>
            <w:pPr>
              <w:spacing w:after="0"/>
              <w:rPr>
                <w:sz w:val="8"/>
                <w:szCs w:val="8"/>
                <w:color w:val="auto"/>
              </w:rPr>
            </w:pPr>
          </w:p>
        </w:tc>
        <w:tc>
          <w:tcPr>
            <w:tcW w:w="860" w:type="dxa"/>
            <w:vAlign w:val="bottom"/>
            <w:tcBorders>
              <w:bottom w:val="single" w:sz="8" w:color="9A9A9A"/>
            </w:tcBorders>
          </w:tcPr>
          <w:p>
            <w:pPr>
              <w:spacing w:after="0"/>
              <w:rPr>
                <w:sz w:val="8"/>
                <w:szCs w:val="8"/>
                <w:color w:val="auto"/>
              </w:rPr>
            </w:pPr>
          </w:p>
        </w:tc>
        <w:tc>
          <w:tcPr>
            <w:tcW w:w="780" w:type="dxa"/>
            <w:vAlign w:val="bottom"/>
            <w:tcBorders>
              <w:bottom w:val="single" w:sz="8" w:color="9A9A9A"/>
            </w:tcBorders>
          </w:tcPr>
          <w:p>
            <w:pPr>
              <w:spacing w:after="0"/>
              <w:rPr>
                <w:sz w:val="8"/>
                <w:szCs w:val="8"/>
                <w:color w:val="auto"/>
              </w:rPr>
            </w:pPr>
          </w:p>
        </w:tc>
        <w:tc>
          <w:tcPr>
            <w:tcW w:w="800" w:type="dxa"/>
            <w:vAlign w:val="bottom"/>
            <w:tcBorders>
              <w:bottom w:val="single" w:sz="8" w:color="9A9A9A"/>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7230110</wp:posOffset>
            </wp:positionH>
            <wp:positionV relativeFrom="paragraph">
              <wp:posOffset>-29210</wp:posOffset>
            </wp:positionV>
            <wp:extent cx="3429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20"/>
          </w:cols>
          <w:pgMar w:left="240" w:top="328" w:right="239" w:bottom="1440" w:gutter="0" w:footer="0" w:header="0"/>
        </w:sectPr>
      </w:pPr>
    </w:p>
    <w:bookmarkStart w:id="2" w:name="page3"/>
    <w:bookmarkEnd w:id="2"/>
    <w:p>
      <w:pPr>
        <w:jc w:val="center"/>
        <w:ind w:right="-39"/>
        <w:spacing w:after="0"/>
        <w:rPr>
          <w:sz w:val="20"/>
          <w:szCs w:val="20"/>
          <w:color w:val="auto"/>
        </w:rPr>
      </w:pPr>
      <w:r>
        <w:rPr>
          <w:rFonts w:ascii="Arial" w:cs="Arial" w:eastAsia="Arial" w:hAnsi="Arial"/>
          <w:sz w:val="18"/>
          <w:szCs w:val="18"/>
          <w:b w:val="1"/>
          <w:bCs w:val="1"/>
          <w:color w:val="auto"/>
        </w:rPr>
        <w:t>PART I</w:t>
      </w:r>
    </w:p>
    <w:p>
      <w:pPr>
        <w:spacing w:after="0" w:line="212"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SPECIAL NOTE REGARDING FORWARD-LOOKING STATEMENTS</w:t>
      </w:r>
    </w:p>
    <w:p>
      <w:pPr>
        <w:spacing w:after="0" w:line="234" w:lineRule="exact"/>
        <w:rPr>
          <w:sz w:val="20"/>
          <w:szCs w:val="20"/>
          <w:color w:val="auto"/>
        </w:rPr>
      </w:pPr>
    </w:p>
    <w:p>
      <w:pPr>
        <w:ind w:right="20" w:firstLine="518"/>
        <w:spacing w:after="0" w:line="235" w:lineRule="auto"/>
        <w:rPr>
          <w:sz w:val="20"/>
          <w:szCs w:val="20"/>
          <w:color w:val="auto"/>
        </w:rPr>
      </w:pPr>
      <w:r>
        <w:rPr>
          <w:rFonts w:ascii="Arial" w:cs="Arial" w:eastAsia="Arial" w:hAnsi="Arial"/>
          <w:sz w:val="18"/>
          <w:szCs w:val="18"/>
          <w:color w:val="auto"/>
        </w:rPr>
        <w:t>This Annual Report on Form 10-K contains forward-looking statements within the meaning of Section 27A of the Securities Act of 1933, as amended, and Section 21E of the Securities Exchange Act of 1934, as amended, which statements involve substantial risk and uncertainties. In some cases, you can identify forward-looking statements by terminology such as “may,” “will,” “should,” “could,” “expect,” “plan,” “anticipate,” “believe,” “estimate,” “predict,” “intend,” “potential,” “would,” “continue,” “ongoing” or the negative of these terms or other comparable terminology. All statements other than statements of historical fact are statements that could be deemed forward-looking statements, including, but not limited to, statements regarding future financial and operational performance; statements concerning growth strategies including extension of distribution channels and strategic relationships, product innovation, international expansion, customer growth and expansion, customer service initiatives, expectations regarding contract size and increased focus on strategic products, expectations for hiring new talent and expanding our sales organization; our ability to accurately forecast revenue and appropriately plan expenses and investments; the demand for and benefits from the use of our current and future solutions; market acceptance of our solutions; and changes in the competitive environment in our industry and the markets in which we operate. These statements are based upon our historical performance and our current plans, estimates and expectations and are not a representation that such plans, estimates, or expectations will be achieved. Forward-looking statements are based on information available at the time those statements are made and/or management’s good faith beliefs and assumptions as of that time with respect to future events, and are subject to risks and uncertainty. If any of these risks or uncertainties materialize or if any assumptions prove incorrect, actual performance or results may differ materially from those expressed in or suggested by the forward-looking statements. Readers are cautioned that these forward-looking statements are only predictions and are subject to risks, uncertainty, and assumptions that are difficult to predict, including those identified below, under “Part II-Other Information, Item 1A. Risk Factors” and elsewhere herein. Forward-looking statements should not be read as a guarantee of future performance or results, and you should not place undue reliance on such statements. Furthermore, we undertake no obligation to revise or update any forward-looking statements for any reason.</w:t>
      </w:r>
    </w:p>
    <w:p>
      <w:pPr>
        <w:spacing w:after="0" w:line="214" w:lineRule="exact"/>
        <w:rPr>
          <w:sz w:val="20"/>
          <w:szCs w:val="20"/>
          <w:color w:val="auto"/>
        </w:rPr>
      </w:pPr>
    </w:p>
    <w:p>
      <w:pPr>
        <w:ind w:right="20" w:firstLine="518"/>
        <w:spacing w:after="0" w:line="238" w:lineRule="auto"/>
        <w:rPr>
          <w:sz w:val="20"/>
          <w:szCs w:val="20"/>
          <w:color w:val="auto"/>
        </w:rPr>
      </w:pPr>
      <w:r>
        <w:rPr>
          <w:rFonts w:ascii="Arial" w:cs="Arial" w:eastAsia="Arial" w:hAnsi="Arial"/>
          <w:sz w:val="18"/>
          <w:szCs w:val="18"/>
          <w:color w:val="auto"/>
        </w:rPr>
        <w:t>Unless the context otherwise requires, the terms “BlackLine, Inc.,” “the Company,” “we,” “us” and “our” in this Annual Report on Form 10-K refer to the consolidated operations of BlackLine, Inc. and its consolidated subsidiaries as a whole, references to “Silver Lake Sumeru” refers to either or both of Silver Lake Sumeru Fund, L.P. and Silver Lake Technology Investors Sumeru, L.P., and references to “Iconiq” refer to any or all of Iconiq Strategic Partners, L.P., ICONIQ Strategic Partners-B, L.P. and Iconiq Strategic Partners Co-Invest, L.P., BL Series. We refer to Iconiq, Therese Tucker, and Mario Spanicciati collectively as our Principal Stockholders.</w:t>
      </w:r>
    </w:p>
    <w:p>
      <w:pPr>
        <w:spacing w:after="0" w:line="289"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7"/>
          <w:szCs w:val="17"/>
          <w:b w:val="1"/>
          <w:bCs w:val="1"/>
          <w:i w:val="1"/>
          <w:iCs w:val="1"/>
          <w:color w:val="auto"/>
        </w:rPr>
        <w:t>Business</w:t>
      </w:r>
    </w:p>
    <w:p>
      <w:pPr>
        <w:spacing w:after="0" w:line="212"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Overview</w:t>
      </w:r>
    </w:p>
    <w:p>
      <w:pPr>
        <w:spacing w:after="0" w:line="234" w:lineRule="exact"/>
        <w:rPr>
          <w:sz w:val="20"/>
          <w:szCs w:val="20"/>
          <w:color w:val="auto"/>
        </w:rPr>
      </w:pPr>
    </w:p>
    <w:p>
      <w:pPr>
        <w:ind w:right="60" w:firstLine="518"/>
        <w:spacing w:after="0" w:line="238" w:lineRule="auto"/>
        <w:rPr>
          <w:sz w:val="20"/>
          <w:szCs w:val="20"/>
          <w:color w:val="auto"/>
        </w:rPr>
      </w:pPr>
      <w:r>
        <w:rPr>
          <w:rFonts w:ascii="Arial" w:cs="Arial" w:eastAsia="Arial" w:hAnsi="Arial"/>
          <w:sz w:val="18"/>
          <w:szCs w:val="18"/>
          <w:color w:val="auto"/>
        </w:rPr>
        <w:t>We have created a comprehensive cloud-based software platform designed to transform and modernize accounting and finance operations for organizations of all types and sizes. Our secure, scalable platform supports critical accounting processes such as the financial close, account reconciliations, intercompany accounting, and controls assurance. By introducing software to automate these processes and to enable them to function continuously, we empower our customers to improve the integrity of their financial reporting, increase efficiency in their accounting and finance processes and enhance real-time visibility into their results and operations.</w:t>
      </w:r>
    </w:p>
    <w:p>
      <w:pPr>
        <w:spacing w:after="0" w:line="203" w:lineRule="exact"/>
        <w:rPr>
          <w:sz w:val="20"/>
          <w:szCs w:val="20"/>
          <w:color w:val="auto"/>
        </w:rPr>
      </w:pPr>
    </w:p>
    <w:p>
      <w:pPr>
        <w:ind w:firstLine="518"/>
        <w:spacing w:after="0" w:line="236" w:lineRule="auto"/>
        <w:rPr>
          <w:sz w:val="20"/>
          <w:szCs w:val="20"/>
          <w:color w:val="auto"/>
        </w:rPr>
      </w:pPr>
      <w:r>
        <w:rPr>
          <w:rFonts w:ascii="Arial" w:cs="Arial" w:eastAsia="Arial" w:hAnsi="Arial"/>
          <w:sz w:val="18"/>
          <w:szCs w:val="18"/>
          <w:color w:val="auto"/>
        </w:rPr>
        <w:t>Critical accounting and finance processes underlie the integrity of an organization’s financial reports. The lack of effective accounting and finance tools can result in inefficient and cumbersome processes and, in some cases, accounting errors, restatements and write-offs, as well as material weaknesses and significant deficiencies. Traditional enterprise resource planning, or ERP, systems do not generally provide effective solutions for processes handled outside of an organization’s general ledger, such as balance sheet account reconciliation, intercompany transaction accounting and the broader financial close process. Many organizations also use multiple ERPs and other financial systems without a platform to efficiently integrate them. As a result, to manage these tasks, organizations rely on spreadsheets and other error-prone and labor-intensive processes that are unsuited for the increasing regulatory complexity and transaction volumes encountered by many modern businesses. We believe that we are creating a new category of powerful cloud-based software that is capable of automating and streamlining accounting and finance operations, in a manner that complements and supports traditional ERP systems. We believe our customers benefit from cost savings through improvements in process management and staff productivity, in addition to managing a faster financial close.</w:t>
      </w:r>
    </w:p>
    <w:p>
      <w:pPr>
        <w:spacing w:after="0" w:line="20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2720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00"/>
          </w:cols>
          <w:pgMar w:left="240" w:top="333" w:right="259" w:bottom="1440" w:gutter="0" w:footer="0" w:header="0"/>
        </w:sectPr>
      </w:pPr>
    </w:p>
    <w:bookmarkStart w:id="3" w:name="page4"/>
    <w:bookmarkEnd w:id="3"/>
    <w:p>
      <w:pPr>
        <w:ind w:right="120" w:firstLine="518"/>
        <w:spacing w:after="0" w:line="236" w:lineRule="auto"/>
        <w:rPr>
          <w:sz w:val="20"/>
          <w:szCs w:val="20"/>
          <w:color w:val="auto"/>
        </w:rPr>
      </w:pPr>
      <w:r>
        <w:rPr>
          <w:rFonts w:ascii="Arial" w:cs="Arial" w:eastAsia="Arial" w:hAnsi="Arial"/>
          <w:sz w:val="18"/>
          <w:szCs w:val="18"/>
          <w:color w:val="auto"/>
        </w:rPr>
        <w:t>Our mission is to transform how accounting and finance departments operate. Our approach modernizes what historically has been done through batch processing and manual controls typically applied only during the month, quarter or year-end financial close, and delivers dynamic workflows embedded within a real-time, highly automated framework, a process we refer to as “continuous accounting.” It also enables up-to-date analytics, provides industry-benchmarked metrics and is designed to help customers run more efficiently while achieving greater accuracy, control and transparency. We believe the need for our software has been driven by growing business and information technology complexities, transaction volumes and expanding regulatory requirements. Our software integrates with, and obtains data from, more than 30 different ERP systems, including NetSuite, Oracle, SAP, and Workday, as well as many other financial systems and applications such as bank accounts, sub-ledgers and in-house databases.</w:t>
      </w:r>
    </w:p>
    <w:p>
      <w:pPr>
        <w:spacing w:after="0" w:line="208" w:lineRule="exact"/>
        <w:rPr>
          <w:sz w:val="20"/>
          <w:szCs w:val="20"/>
          <w:color w:val="auto"/>
        </w:rPr>
      </w:pPr>
    </w:p>
    <w:p>
      <w:pPr>
        <w:jc w:val="both"/>
        <w:ind w:right="560" w:firstLine="518"/>
        <w:spacing w:after="0" w:line="234" w:lineRule="auto"/>
        <w:rPr>
          <w:sz w:val="20"/>
          <w:szCs w:val="20"/>
          <w:color w:val="auto"/>
        </w:rPr>
      </w:pPr>
      <w:r>
        <w:rPr>
          <w:rFonts w:ascii="Arial" w:cs="Arial" w:eastAsia="Arial" w:hAnsi="Arial"/>
          <w:sz w:val="18"/>
          <w:szCs w:val="18"/>
          <w:color w:val="auto"/>
        </w:rPr>
        <w:t>We are a holding company and conduct our operations through our wholly-owned subsidiary, BlackLine Systems, Inc. (“BlackLine Systems”). BlackLine Systems funded its business with investments from our founder and cash flows from operations until September 3,</w:t>
      </w:r>
    </w:p>
    <w:p>
      <w:pPr>
        <w:spacing w:after="0" w:line="2" w:lineRule="exact"/>
        <w:rPr>
          <w:sz w:val="20"/>
          <w:szCs w:val="20"/>
          <w:color w:val="auto"/>
        </w:rPr>
      </w:pPr>
    </w:p>
    <w:p>
      <w:pPr>
        <w:jc w:val="both"/>
        <w:ind w:right="20"/>
        <w:spacing w:after="0"/>
        <w:rPr>
          <w:sz w:val="20"/>
          <w:szCs w:val="20"/>
          <w:color w:val="auto"/>
        </w:rPr>
      </w:pPr>
      <w:r>
        <w:rPr>
          <w:rFonts w:ascii="Arial" w:cs="Arial" w:eastAsia="Arial" w:hAnsi="Arial"/>
          <w:sz w:val="18"/>
          <w:szCs w:val="18"/>
          <w:color w:val="auto"/>
        </w:rPr>
        <w:t>2013. On September 3, 2013, we acquired BlackLine Systems, and Silver Lake Sumeru and Iconiq acquired a controlling interest in us, which we refer to as the “2013 Acquisition.” The 2013 Acquisition was accounted for as a business combination under accounting principles generally accepted in the United States (“GAAP”) and resulted in a change in accounting basis as of the date of the 2013 Acquisition.</w:t>
      </w:r>
    </w:p>
    <w:p>
      <w:pPr>
        <w:spacing w:after="0" w:line="203" w:lineRule="exact"/>
        <w:rPr>
          <w:sz w:val="20"/>
          <w:szCs w:val="20"/>
          <w:color w:val="auto"/>
        </w:rPr>
      </w:pPr>
    </w:p>
    <w:p>
      <w:pPr>
        <w:ind w:left="520"/>
        <w:spacing w:after="0"/>
        <w:rPr>
          <w:sz w:val="20"/>
          <w:szCs w:val="20"/>
          <w:color w:val="auto"/>
        </w:rPr>
      </w:pPr>
      <w:r>
        <w:rPr>
          <w:rFonts w:ascii="Arial" w:cs="Arial" w:eastAsia="Arial" w:hAnsi="Arial"/>
          <w:sz w:val="18"/>
          <w:szCs w:val="18"/>
          <w:color w:val="auto"/>
        </w:rPr>
        <w:t>On August 31, 2016 we acquired Runbook Company B.V. (“Runbook”), which is referred to as the “Runbook Acquisition.”</w:t>
      </w:r>
    </w:p>
    <w:p>
      <w:pPr>
        <w:spacing w:after="0" w:line="212" w:lineRule="exact"/>
        <w:rPr>
          <w:sz w:val="20"/>
          <w:szCs w:val="20"/>
          <w:color w:val="auto"/>
        </w:rPr>
      </w:pPr>
    </w:p>
    <w:p>
      <w:pPr>
        <w:ind w:firstLine="518"/>
        <w:spacing w:after="0" w:line="238" w:lineRule="auto"/>
        <w:rPr>
          <w:sz w:val="20"/>
          <w:szCs w:val="20"/>
          <w:color w:val="auto"/>
        </w:rPr>
      </w:pPr>
      <w:r>
        <w:rPr>
          <w:rFonts w:ascii="Arial" w:cs="Arial" w:eastAsia="Arial" w:hAnsi="Arial"/>
          <w:sz w:val="18"/>
          <w:szCs w:val="18"/>
          <w:color w:val="auto"/>
        </w:rPr>
        <w:t>Our platform consists of eight core cloud-based products, including Transaction Matching, Account Reconciliations, Consolidation Integrity Manager, Daily Reconciliations, Journal Entry, Variance Analysis, Task Management, and Compliance. Customers typically purchase these products in packages that we refer to as solutions, but they have the option to purchase these products individually. Current solutions include Balance Sheet Integrity, Close Process Management, Accounting Process Automation, Finance Transformation, Intercompany Hub and Smart Close.</w:t>
      </w:r>
    </w:p>
    <w:p>
      <w:pPr>
        <w:spacing w:after="0" w:line="28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The BlackLine Solution</w:t>
      </w:r>
    </w:p>
    <w:p>
      <w:pPr>
        <w:spacing w:after="0" w:line="234" w:lineRule="exact"/>
        <w:rPr>
          <w:sz w:val="20"/>
          <w:szCs w:val="20"/>
          <w:color w:val="auto"/>
        </w:rPr>
      </w:pPr>
    </w:p>
    <w:p>
      <w:pPr>
        <w:ind w:right="80" w:firstLine="518"/>
        <w:spacing w:after="0" w:line="246" w:lineRule="auto"/>
        <w:rPr>
          <w:sz w:val="20"/>
          <w:szCs w:val="20"/>
          <w:color w:val="auto"/>
        </w:rPr>
      </w:pPr>
      <w:r>
        <w:rPr>
          <w:rFonts w:ascii="Arial" w:cs="Arial" w:eastAsia="Arial" w:hAnsi="Arial"/>
          <w:sz w:val="18"/>
          <w:szCs w:val="18"/>
          <w:color w:val="auto"/>
        </w:rPr>
        <w:t>We provide a powerful cloud-based software platform designed to automate and streamline accounting and finance operations. The key elements of our solutions include:</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Comprehensive Platform</w:t>
      </w:r>
    </w:p>
    <w:p>
      <w:pPr>
        <w:spacing w:after="0" w:line="126" w:lineRule="exact"/>
        <w:rPr>
          <w:sz w:val="20"/>
          <w:szCs w:val="20"/>
          <w:color w:val="auto"/>
        </w:rPr>
      </w:pPr>
    </w:p>
    <w:p>
      <w:pPr>
        <w:jc w:val="both"/>
        <w:ind w:right="60" w:firstLine="518"/>
        <w:spacing w:after="0"/>
        <w:rPr>
          <w:sz w:val="20"/>
          <w:szCs w:val="20"/>
          <w:color w:val="auto"/>
        </w:rPr>
      </w:pPr>
      <w:r>
        <w:rPr>
          <w:rFonts w:ascii="Arial" w:cs="Arial" w:eastAsia="Arial" w:hAnsi="Arial"/>
          <w:sz w:val="18"/>
          <w:szCs w:val="18"/>
          <w:color w:val="auto"/>
        </w:rPr>
        <w:t>We offer an integrated suite of applications that delivers a broad range of capabilities that would otherwise require the purchase and use of multiple products to support critical accounting processes such as the financial close, account reconciliations, intercompany accounting, and controls assurance.</w:t>
      </w:r>
    </w:p>
    <w:p>
      <w:pPr>
        <w:spacing w:after="0" w:line="203" w:lineRule="exact"/>
        <w:rPr>
          <w:sz w:val="20"/>
          <w:szCs w:val="20"/>
          <w:color w:val="auto"/>
        </w:rPr>
      </w:pPr>
    </w:p>
    <w:p>
      <w:pPr>
        <w:ind w:right="480" w:firstLine="518"/>
        <w:spacing w:after="0" w:line="246" w:lineRule="auto"/>
        <w:rPr>
          <w:sz w:val="20"/>
          <w:szCs w:val="20"/>
          <w:color w:val="auto"/>
        </w:rPr>
      </w:pPr>
      <w:r>
        <w:rPr>
          <w:rFonts w:ascii="Arial" w:cs="Arial" w:eastAsia="Arial" w:hAnsi="Arial"/>
          <w:sz w:val="18"/>
          <w:szCs w:val="18"/>
          <w:color w:val="auto"/>
        </w:rPr>
        <w:t>The technology underpinning our platform includes a comprehensive base of accounting-specific business logic and rules engines, which enable our customers to implement continuous accounting.</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Enterprise Integration</w:t>
      </w:r>
    </w:p>
    <w:p>
      <w:pPr>
        <w:spacing w:after="0" w:line="126" w:lineRule="exact"/>
        <w:rPr>
          <w:sz w:val="20"/>
          <w:szCs w:val="20"/>
          <w:color w:val="auto"/>
        </w:rPr>
      </w:pPr>
    </w:p>
    <w:p>
      <w:pPr>
        <w:ind w:right="400" w:firstLine="518"/>
        <w:spacing w:after="0" w:line="238" w:lineRule="auto"/>
        <w:rPr>
          <w:sz w:val="20"/>
          <w:szCs w:val="20"/>
          <w:color w:val="auto"/>
        </w:rPr>
      </w:pPr>
      <w:r>
        <w:rPr>
          <w:rFonts w:ascii="Arial" w:cs="Arial" w:eastAsia="Arial" w:hAnsi="Arial"/>
          <w:sz w:val="18"/>
          <w:szCs w:val="18"/>
          <w:color w:val="auto"/>
        </w:rPr>
        <w:t>Our platform provides simple, secure and automated tools and integrations to transfer data to and from a range of enterprise-wide processes and systems, including ERPs, financial systems and in-house databases, and other custom applications and data. Our platform integrates with over 30 ERP systems, including NetSuite, Oracle, SAP, and Workday. In addition, for companies with multiple systems and complex needs, we can connect with any number of general ledger systems simultaneously, resolving many of the issues associated with consolidating data across systems.</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Independence</w:t>
      </w:r>
    </w:p>
    <w:p>
      <w:pPr>
        <w:spacing w:after="0" w:line="126" w:lineRule="exact"/>
        <w:rPr>
          <w:sz w:val="20"/>
          <w:szCs w:val="20"/>
          <w:color w:val="auto"/>
        </w:rPr>
      </w:pPr>
    </w:p>
    <w:p>
      <w:pPr>
        <w:ind w:right="320" w:firstLine="518"/>
        <w:spacing w:after="0" w:line="239" w:lineRule="auto"/>
        <w:rPr>
          <w:sz w:val="20"/>
          <w:szCs w:val="20"/>
          <w:color w:val="auto"/>
        </w:rPr>
      </w:pPr>
      <w:r>
        <w:rPr>
          <w:rFonts w:ascii="Arial" w:cs="Arial" w:eastAsia="Arial" w:hAnsi="Arial"/>
          <w:sz w:val="18"/>
          <w:szCs w:val="18"/>
          <w:color w:val="auto"/>
        </w:rPr>
        <w:t>Our platform is not dependent on any single operating system and works with most major ERP systems our customers may use. Our cross-system functionality allows us to reach a broader group of customers. We are also able to focus on and innovate for the needs of our customers irrespective of updates or changes in their existing systems. We believe this independence provides us with a competitive advantage in the industry over traditional methods.</w:t>
      </w:r>
    </w:p>
    <w:p>
      <w:pPr>
        <w:spacing w:after="0" w:line="2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2720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00"/>
          </w:cols>
          <w:pgMar w:left="240" w:top="571" w:right="259" w:bottom="1440" w:gutter="0" w:footer="0" w:header="0"/>
        </w:sectPr>
      </w:pPr>
    </w:p>
    <w:bookmarkStart w:id="4" w:name="page5"/>
    <w:bookmarkEnd w:id="4"/>
    <w:p>
      <w:pPr>
        <w:spacing w:after="0"/>
        <w:rPr>
          <w:sz w:val="20"/>
          <w:szCs w:val="20"/>
          <w:color w:val="auto"/>
        </w:rPr>
      </w:pPr>
      <w:r>
        <w:rPr>
          <w:rFonts w:ascii="Arial" w:cs="Arial" w:eastAsia="Arial" w:hAnsi="Arial"/>
          <w:sz w:val="18"/>
          <w:szCs w:val="18"/>
          <w:b w:val="1"/>
          <w:bCs w:val="1"/>
          <w:i w:val="1"/>
          <w:iCs w:val="1"/>
          <w:color w:val="auto"/>
        </w:rPr>
        <w:t>Ease of Use</w:t>
      </w:r>
    </w:p>
    <w:p>
      <w:pPr>
        <w:spacing w:after="0" w:line="126" w:lineRule="exact"/>
        <w:rPr>
          <w:sz w:val="20"/>
          <w:szCs w:val="20"/>
          <w:color w:val="auto"/>
        </w:rPr>
      </w:pPr>
    </w:p>
    <w:p>
      <w:pPr>
        <w:ind w:right="80" w:firstLine="518"/>
        <w:spacing w:after="0"/>
        <w:rPr>
          <w:sz w:val="20"/>
          <w:szCs w:val="20"/>
          <w:color w:val="auto"/>
        </w:rPr>
      </w:pPr>
      <w:r>
        <w:rPr>
          <w:rFonts w:ascii="Arial" w:cs="Arial" w:eastAsia="Arial" w:hAnsi="Arial"/>
          <w:sz w:val="18"/>
          <w:szCs w:val="18"/>
          <w:color w:val="auto"/>
        </w:rPr>
        <w:t>Our platform is designed by accountants, for accountants, to be intuitive and easy to use. We strive to enable any user to rapidly implement our platform to manage their accounting and finance activities, from the simplest to the most sophisticated tasks. Our user-friendly interface provides clear visualization of accounting and finance data, enables user collaboration and streamlines business processes.</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Innovation</w:t>
      </w:r>
    </w:p>
    <w:p>
      <w:pPr>
        <w:spacing w:after="0" w:line="126" w:lineRule="exact"/>
        <w:rPr>
          <w:sz w:val="20"/>
          <w:szCs w:val="20"/>
          <w:color w:val="auto"/>
        </w:rPr>
      </w:pPr>
    </w:p>
    <w:p>
      <w:pPr>
        <w:ind w:right="220" w:firstLine="518"/>
        <w:spacing w:after="0" w:line="239" w:lineRule="auto"/>
        <w:rPr>
          <w:sz w:val="20"/>
          <w:szCs w:val="20"/>
          <w:color w:val="auto"/>
        </w:rPr>
      </w:pPr>
      <w:r>
        <w:rPr>
          <w:rFonts w:ascii="Arial" w:cs="Arial" w:eastAsia="Arial" w:hAnsi="Arial"/>
          <w:sz w:val="18"/>
          <w:szCs w:val="18"/>
          <w:color w:val="auto"/>
        </w:rPr>
        <w:t>Our ability to develop innovative products has been a key driver of our success and organic growth. Through a history and culture of thought leadership, we have created a new category of powerful software that automates and streamlines antiquated, manual accounting processes to better meet our clients’ diverse and rapidly changing needs, and we continue to focus on providing advanced solutions to time and labor intensive accounting practices.</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Security</w:t>
      </w:r>
    </w:p>
    <w:p>
      <w:pPr>
        <w:spacing w:after="0" w:line="126" w:lineRule="exact"/>
        <w:rPr>
          <w:sz w:val="20"/>
          <w:szCs w:val="20"/>
          <w:color w:val="auto"/>
        </w:rPr>
      </w:pPr>
    </w:p>
    <w:p>
      <w:pPr>
        <w:ind w:firstLine="518"/>
        <w:spacing w:after="0" w:line="237" w:lineRule="auto"/>
        <w:rPr>
          <w:sz w:val="20"/>
          <w:szCs w:val="20"/>
          <w:color w:val="auto"/>
        </w:rPr>
      </w:pPr>
      <w:r>
        <w:rPr>
          <w:rFonts w:ascii="Arial" w:cs="Arial" w:eastAsia="Arial" w:hAnsi="Arial"/>
          <w:sz w:val="18"/>
          <w:szCs w:val="18"/>
          <w:color w:val="auto"/>
        </w:rPr>
        <w:t>Our platform and services incorporate industry best practices and meet internationally recognized standards with respect to information security management. We have implemented and maintain our certified Information Security Management System in accordance with the ISO/IEC 27001 standard requirements. We meet a breadth of requirements for our security control environment, including information security policies, organization of information security, human resource security, access control, cryptography, physical and environmental security, operations security, communications security, information security incident management, and information security aspects of business continuity management. In our continued commitment to customer trust, transparency, and security in service, we provide customers independently validated testing and evaluation of our control environment through issued reports and certifications.</w:t>
      </w:r>
    </w:p>
    <w:p>
      <w:pPr>
        <w:spacing w:after="0" w:line="289"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Key Benefits</w:t>
      </w:r>
    </w:p>
    <w:p>
      <w:pPr>
        <w:spacing w:after="0" w:line="234" w:lineRule="exact"/>
        <w:rPr>
          <w:sz w:val="20"/>
          <w:szCs w:val="20"/>
          <w:color w:val="auto"/>
        </w:rPr>
      </w:pPr>
    </w:p>
    <w:p>
      <w:pPr>
        <w:ind w:left="520"/>
        <w:spacing w:after="0"/>
        <w:rPr>
          <w:sz w:val="20"/>
          <w:szCs w:val="20"/>
          <w:color w:val="auto"/>
        </w:rPr>
      </w:pPr>
      <w:r>
        <w:rPr>
          <w:rFonts w:ascii="Arial" w:cs="Arial" w:eastAsia="Arial" w:hAnsi="Arial"/>
          <w:sz w:val="18"/>
          <w:szCs w:val="18"/>
          <w:color w:val="auto"/>
        </w:rPr>
        <w:t>Our platform is designed to provide the following benefits to our customers:</w:t>
      </w:r>
    </w:p>
    <w:p>
      <w:pPr>
        <w:spacing w:after="0" w:line="29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Flexibility and scalability</w:t>
      </w:r>
    </w:p>
    <w:p>
      <w:pPr>
        <w:spacing w:after="0" w:line="126" w:lineRule="exact"/>
        <w:rPr>
          <w:sz w:val="20"/>
          <w:szCs w:val="20"/>
          <w:color w:val="auto"/>
        </w:rPr>
      </w:pPr>
    </w:p>
    <w:p>
      <w:pPr>
        <w:ind w:right="640" w:firstLine="518"/>
        <w:spacing w:after="0"/>
        <w:rPr>
          <w:sz w:val="20"/>
          <w:szCs w:val="20"/>
          <w:color w:val="auto"/>
        </w:rPr>
      </w:pPr>
      <w:r>
        <w:rPr>
          <w:rFonts w:ascii="Arial" w:cs="Arial" w:eastAsia="Arial" w:hAnsi="Arial"/>
          <w:sz w:val="18"/>
          <w:szCs w:val="18"/>
          <w:color w:val="auto"/>
        </w:rPr>
        <w:t>Our unified cloud platform is designed for modern business environments and has broad applicability across large and small organizations in almost any industry. The platform supports complex corporate structures, provides integration across all core financial systems, manages multiple currencies and languages, and scales to support high transaction volumes.</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Embedded controls and workflow</w:t>
      </w:r>
    </w:p>
    <w:p>
      <w:pPr>
        <w:spacing w:after="0" w:line="126" w:lineRule="exact"/>
        <w:rPr>
          <w:sz w:val="20"/>
          <w:szCs w:val="20"/>
          <w:color w:val="auto"/>
        </w:rPr>
      </w:pPr>
    </w:p>
    <w:p>
      <w:pPr>
        <w:ind w:right="340" w:firstLine="518"/>
        <w:spacing w:after="0"/>
        <w:rPr>
          <w:sz w:val="20"/>
          <w:szCs w:val="20"/>
          <w:color w:val="auto"/>
        </w:rPr>
      </w:pPr>
      <w:r>
        <w:rPr>
          <w:rFonts w:ascii="Arial" w:cs="Arial" w:eastAsia="Arial" w:hAnsi="Arial"/>
          <w:sz w:val="18"/>
          <w:szCs w:val="18"/>
          <w:color w:val="auto"/>
        </w:rPr>
        <w:t>Our platform was designed for the complex global regulatory environment. Our platform embeds key controls within standardized, repeatable and well-documented workflows, which are designed to result in substantially reduced risk of non-compliance or negative audit findings, greater tolerance for regulatory complexity and increased confidence in financial reports.</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Real-time visibility</w:t>
      </w:r>
    </w:p>
    <w:p>
      <w:pPr>
        <w:spacing w:after="0" w:line="126" w:lineRule="exact"/>
        <w:rPr>
          <w:sz w:val="20"/>
          <w:szCs w:val="20"/>
          <w:color w:val="auto"/>
        </w:rPr>
      </w:pPr>
    </w:p>
    <w:p>
      <w:pPr>
        <w:ind w:right="280" w:firstLine="518"/>
        <w:spacing w:after="0"/>
        <w:rPr>
          <w:sz w:val="20"/>
          <w:szCs w:val="20"/>
          <w:color w:val="auto"/>
        </w:rPr>
      </w:pPr>
      <w:r>
        <w:rPr>
          <w:rFonts w:ascii="Arial" w:cs="Arial" w:eastAsia="Arial" w:hAnsi="Arial"/>
          <w:sz w:val="18"/>
          <w:szCs w:val="18"/>
          <w:color w:val="auto"/>
        </w:rPr>
        <w:t>We provide users with real-time visibility into the status, progress and quality of their accounting processes. With configurable dashboards, user-defined reporting and the ability to drill down to individual reconciliations, journals and tasks, users can track open items, identify bottlenecks within a process or intervene to prevent mistakes.</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Automation and efficiency</w:t>
      </w:r>
    </w:p>
    <w:p>
      <w:pPr>
        <w:spacing w:after="0" w:line="126" w:lineRule="exact"/>
        <w:rPr>
          <w:sz w:val="20"/>
          <w:szCs w:val="20"/>
          <w:color w:val="auto"/>
        </w:rPr>
      </w:pPr>
    </w:p>
    <w:p>
      <w:pPr>
        <w:ind w:right="120" w:firstLine="518"/>
        <w:spacing w:after="0" w:line="239" w:lineRule="auto"/>
        <w:rPr>
          <w:sz w:val="20"/>
          <w:szCs w:val="20"/>
          <w:color w:val="auto"/>
        </w:rPr>
      </w:pPr>
      <w:r>
        <w:rPr>
          <w:rFonts w:ascii="Arial" w:cs="Arial" w:eastAsia="Arial" w:hAnsi="Arial"/>
          <w:sz w:val="18"/>
          <w:szCs w:val="18"/>
          <w:color w:val="auto"/>
        </w:rPr>
        <w:t>Our platform can ingest data from a variety of sources, including ERP systems and other data repositories, and apply powerful, rules-driven automation to reconciliations, journals and transactions. This streamlines accounting processes, minimizes manual data entry and improves individual productivity to help ensure that accounting processes are completed on time. As a result, this automation allows users to focus on value-added activities instead of process management.</w:t>
      </w:r>
    </w:p>
    <w:p>
      <w:pPr>
        <w:spacing w:after="0" w:line="202"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2720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300"/>
          </w:cols>
          <w:pgMar w:left="240" w:top="657" w:right="359" w:bottom="1440" w:gutter="0" w:footer="0" w:header="0"/>
        </w:sectPr>
      </w:pPr>
    </w:p>
    <w:bookmarkStart w:id="5" w:name="page6"/>
    <w:bookmarkEnd w:id="5"/>
    <w:p>
      <w:pPr>
        <w:spacing w:after="0"/>
        <w:rPr>
          <w:sz w:val="20"/>
          <w:szCs w:val="20"/>
          <w:color w:val="auto"/>
        </w:rPr>
      </w:pPr>
      <w:r>
        <w:rPr>
          <w:rFonts w:ascii="Arial" w:cs="Arial" w:eastAsia="Arial" w:hAnsi="Arial"/>
          <w:sz w:val="18"/>
          <w:szCs w:val="18"/>
          <w:b w:val="1"/>
          <w:bCs w:val="1"/>
          <w:i w:val="1"/>
          <w:iCs w:val="1"/>
          <w:color w:val="auto"/>
        </w:rPr>
        <w:t>Continuous processing</w:t>
      </w:r>
    </w:p>
    <w:p>
      <w:pPr>
        <w:spacing w:after="0" w:line="126" w:lineRule="exact"/>
        <w:rPr>
          <w:sz w:val="20"/>
          <w:szCs w:val="20"/>
          <w:color w:val="auto"/>
        </w:rPr>
      </w:pPr>
    </w:p>
    <w:p>
      <w:pPr>
        <w:ind w:firstLine="518"/>
        <w:spacing w:after="0"/>
        <w:rPr>
          <w:sz w:val="20"/>
          <w:szCs w:val="20"/>
          <w:color w:val="auto"/>
        </w:rPr>
      </w:pPr>
      <w:r>
        <w:rPr>
          <w:rFonts w:ascii="Arial" w:cs="Arial" w:eastAsia="Arial" w:hAnsi="Arial"/>
          <w:sz w:val="18"/>
          <w:szCs w:val="18"/>
          <w:color w:val="auto"/>
        </w:rPr>
        <w:t>Our platform helps organizations embed quality control, compliance and financial integrity into their day-to-day processes rather than rely on the traditional process of validating financial information at the end of each period. Activities such as account reconciliation and variance analysis can be performed in real-time, thus reducing the risk of errors and creating a more agile accounting environment.</w:t>
      </w:r>
    </w:p>
    <w:p>
      <w:pPr>
        <w:spacing w:after="0" w:line="28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Customers</w:t>
      </w:r>
    </w:p>
    <w:p>
      <w:pPr>
        <w:spacing w:after="0" w:line="234" w:lineRule="exact"/>
        <w:rPr>
          <w:sz w:val="20"/>
          <w:szCs w:val="20"/>
          <w:color w:val="auto"/>
        </w:rPr>
      </w:pPr>
    </w:p>
    <w:p>
      <w:pPr>
        <w:ind w:right="100" w:firstLine="518"/>
        <w:spacing w:after="0" w:line="237" w:lineRule="auto"/>
        <w:rPr>
          <w:sz w:val="20"/>
          <w:szCs w:val="20"/>
          <w:color w:val="auto"/>
        </w:rPr>
      </w:pPr>
      <w:r>
        <w:rPr>
          <w:rFonts w:ascii="Arial" w:cs="Arial" w:eastAsia="Arial" w:hAnsi="Arial"/>
          <w:sz w:val="18"/>
          <w:szCs w:val="18"/>
          <w:color w:val="auto"/>
        </w:rPr>
        <w:t>Our customers include multinational corporations, large domestic enterprises and mid-market companies across a broad array of industries. These businesses include publicly-listed entities and privately-owned enterprises, as well as non-profit entities. At December 31, 2019, we had over 267,000 individual users across more than 3,000 customers exclusive of on-premise software. We define a customer as an entity with an active subscription agreement as of the measurement date. In situations where an organization has multiple subsidiaries or divisions, each entity that is invoiced as a separate entity is treated as a separate customer. However, where an existing customer requests its invoice be divided for the sole purpose of restructuring its internal billing arrangement without any incremental increase in revenue, such customer continues to be treated as a single customer.</w:t>
      </w:r>
    </w:p>
    <w:p>
      <w:pPr>
        <w:spacing w:after="0" w:line="28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Products and Services</w:t>
      </w:r>
    </w:p>
    <w:p>
      <w:pPr>
        <w:spacing w:after="0" w:line="234" w:lineRule="exact"/>
        <w:rPr>
          <w:sz w:val="20"/>
          <w:szCs w:val="20"/>
          <w:color w:val="auto"/>
        </w:rPr>
      </w:pPr>
    </w:p>
    <w:p>
      <w:pPr>
        <w:ind w:right="180" w:firstLine="518"/>
        <w:spacing w:after="0" w:line="238" w:lineRule="auto"/>
        <w:rPr>
          <w:sz w:val="20"/>
          <w:szCs w:val="20"/>
          <w:color w:val="auto"/>
        </w:rPr>
      </w:pPr>
      <w:r>
        <w:rPr>
          <w:rFonts w:ascii="Arial" w:cs="Arial" w:eastAsia="Arial" w:hAnsi="Arial"/>
          <w:sz w:val="18"/>
          <w:szCs w:val="18"/>
          <w:color w:val="auto"/>
        </w:rPr>
        <w:t>Our platform consists of eight core cloud-based products, including Transaction Matching, Account Reconciliations, Consolidation Integrity Manager, Daily Reconciliations, Journal Entry, Variance Analysis, Task Management, and Compliance. Customers typically purchase these products in packages that we refer to as solutions, but they have the option to purchase these products individually. Current solutions include Balance Sheet Integrity, Close Process Management, Accounting Process Automation, Finance Transformation, Intercompany Hub, and Smart Close.</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Reconciliation Management</w:t>
      </w:r>
    </w:p>
    <w:p>
      <w:pPr>
        <w:spacing w:after="0" w:line="126" w:lineRule="exact"/>
        <w:rPr>
          <w:sz w:val="20"/>
          <w:szCs w:val="20"/>
          <w:color w:val="auto"/>
        </w:rPr>
      </w:pPr>
    </w:p>
    <w:p>
      <w:pPr>
        <w:ind w:right="140" w:firstLine="518"/>
        <w:spacing w:after="0"/>
        <w:rPr>
          <w:sz w:val="20"/>
          <w:szCs w:val="20"/>
          <w:color w:val="auto"/>
        </w:rPr>
      </w:pPr>
      <w:r>
        <w:rPr>
          <w:rFonts w:ascii="Arial" w:cs="Arial" w:eastAsia="Arial" w:hAnsi="Arial"/>
          <w:sz w:val="18"/>
          <w:szCs w:val="18"/>
          <w:color w:val="auto"/>
        </w:rPr>
        <w:t>The process of verifying and validating transactions, balances and consolidated financial results is referred to as account reconciliation. Our Reconciliation Management solution provides a framework for the reconciliation process, allowing users to build integrity checks and automation into the entire end-to-end work flow. The solution includes:</w:t>
      </w:r>
    </w:p>
    <w:p>
      <w:pPr>
        <w:spacing w:after="0" w:line="73" w:lineRule="exact"/>
        <w:rPr>
          <w:sz w:val="20"/>
          <w:szCs w:val="20"/>
          <w:color w:val="auto"/>
        </w:rPr>
      </w:pPr>
    </w:p>
    <w:p>
      <w:pPr>
        <w:ind w:left="1040" w:right="220" w:hanging="519"/>
        <w:spacing w:after="0" w:line="242" w:lineRule="auto"/>
        <w:tabs>
          <w:tab w:leader="none" w:pos="1040" w:val="left"/>
        </w:tabs>
        <w:numPr>
          <w:ilvl w:val="0"/>
          <w:numId w:val="3"/>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Account Reconciliations </w:t>
      </w:r>
      <w:r>
        <w:rPr>
          <w:rFonts w:ascii="Arial" w:cs="Arial" w:eastAsia="Arial" w:hAnsi="Arial"/>
          <w:sz w:val="18"/>
          <w:szCs w:val="18"/>
          <w:color w:val="auto"/>
        </w:rPr>
        <w:t>provides a centralized workspace from which users can collaborate to complete account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reconciliations. Features include standardized templates, workflows for review and approval, linkage to policies and procedures, and integrated storage of supporting documentation. The product automates otherwise manual activities in the reconciliation process, significantly reducing time and effort and increasing productivity. It also enhances internal controls by facilitating the appropriate segregation of duties, simplifying reconciliation audits and adding transparency and visibility to the reconciliation process.</w:t>
      </w:r>
    </w:p>
    <w:p>
      <w:pPr>
        <w:spacing w:after="0" w:line="71" w:lineRule="exact"/>
        <w:rPr>
          <w:rFonts w:ascii="Arial" w:cs="Arial" w:eastAsia="Arial" w:hAnsi="Arial"/>
          <w:sz w:val="18"/>
          <w:szCs w:val="18"/>
          <w:color w:val="auto"/>
        </w:rPr>
      </w:pPr>
    </w:p>
    <w:p>
      <w:pPr>
        <w:ind w:left="1040" w:right="40" w:hanging="519"/>
        <w:spacing w:after="0" w:line="247" w:lineRule="auto"/>
        <w:tabs>
          <w:tab w:leader="none" w:pos="1040" w:val="left"/>
        </w:tabs>
        <w:numPr>
          <w:ilvl w:val="0"/>
          <w:numId w:val="3"/>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Transaction Matching </w:t>
      </w:r>
      <w:r>
        <w:rPr>
          <w:rFonts w:ascii="Arial" w:cs="Arial" w:eastAsia="Arial" w:hAnsi="Arial"/>
          <w:sz w:val="18"/>
          <w:szCs w:val="18"/>
          <w:color w:val="auto"/>
        </w:rPr>
        <w:t>analyzes and reconciles high volumes of individual transactions from different sources of data based upon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user-configured logic. Our rules engine automatically identifies exceptions, errors, missing data, and variances within massive data sets. The matching engine processes millions of records per minute, can be used with any type of data and allows customers to reconcile transactions in real-time.</w:t>
      </w:r>
    </w:p>
    <w:p>
      <w:pPr>
        <w:spacing w:after="0" w:line="66" w:lineRule="exact"/>
        <w:rPr>
          <w:rFonts w:ascii="Arial" w:cs="Arial" w:eastAsia="Arial" w:hAnsi="Arial"/>
          <w:sz w:val="18"/>
          <w:szCs w:val="18"/>
          <w:color w:val="auto"/>
        </w:rPr>
      </w:pPr>
    </w:p>
    <w:p>
      <w:pPr>
        <w:ind w:left="1040" w:right="60" w:hanging="519"/>
        <w:spacing w:after="0" w:line="242" w:lineRule="auto"/>
        <w:tabs>
          <w:tab w:leader="none" w:pos="1040" w:val="left"/>
        </w:tabs>
        <w:numPr>
          <w:ilvl w:val="0"/>
          <w:numId w:val="3"/>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Consolidation Integrity Manager </w:t>
      </w:r>
      <w:r>
        <w:rPr>
          <w:rFonts w:ascii="Arial" w:cs="Arial" w:eastAsia="Arial" w:hAnsi="Arial"/>
          <w:sz w:val="18"/>
          <w:szCs w:val="18"/>
          <w:color w:val="auto"/>
        </w:rPr>
        <w:t>manages the automated system-to-system tie-out process that occurs during the consolidation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phase of the financial close. Companies with multiple ERPs utilize a consolidation system to produce their consolidated financial results. Because these systems contain and produce information that changes continually and requires constant adjustments, a final tie-out that is typically handled manually in a spreadsheet is necessary prior to publishing results. This product automates the tie-out process, aggregating balances from dozens or hundreds of different systems and allowing users to identify exceptions and create adjustments quickly.</w:t>
      </w:r>
    </w:p>
    <w:p>
      <w:pPr>
        <w:spacing w:after="0" w:line="71" w:lineRule="exact"/>
        <w:rPr>
          <w:rFonts w:ascii="Arial" w:cs="Arial" w:eastAsia="Arial" w:hAnsi="Arial"/>
          <w:sz w:val="18"/>
          <w:szCs w:val="18"/>
          <w:color w:val="auto"/>
        </w:rPr>
      </w:pPr>
    </w:p>
    <w:p>
      <w:pPr>
        <w:ind w:left="1040" w:right="340" w:hanging="519"/>
        <w:spacing w:after="0" w:line="247" w:lineRule="auto"/>
        <w:tabs>
          <w:tab w:leader="none" w:pos="1040" w:val="left"/>
        </w:tabs>
        <w:numPr>
          <w:ilvl w:val="0"/>
          <w:numId w:val="3"/>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Daily Reconciliations </w:t>
      </w:r>
      <w:r>
        <w:rPr>
          <w:rFonts w:ascii="Arial" w:cs="Arial" w:eastAsia="Arial" w:hAnsi="Arial"/>
          <w:sz w:val="18"/>
          <w:szCs w:val="18"/>
          <w:color w:val="auto"/>
        </w:rPr>
        <w:t>narrows the scope of a reconciliation to a single day’s transactions or balance detail. Users can then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perform their analysis in minutes per day, rather than attempting to review an entire month’s worth of activity in a limited time during the period-end close. Some industries, such as banking, require that organizations track the creation and certification of daily reconciliations. Daily reconciliations are a prime example of continuous accounting in action.</w:t>
      </w: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Financial Close Management</w:t>
      </w:r>
    </w:p>
    <w:p>
      <w:pPr>
        <w:spacing w:after="0" w:line="126" w:lineRule="exact"/>
        <w:rPr>
          <w:sz w:val="20"/>
          <w:szCs w:val="20"/>
          <w:color w:val="auto"/>
        </w:rPr>
      </w:pPr>
    </w:p>
    <w:p>
      <w:pPr>
        <w:jc w:val="both"/>
        <w:ind w:right="400" w:firstLine="518"/>
        <w:spacing w:after="0"/>
        <w:rPr>
          <w:sz w:val="20"/>
          <w:szCs w:val="20"/>
          <w:color w:val="auto"/>
        </w:rPr>
      </w:pPr>
      <w:r>
        <w:rPr>
          <w:rFonts w:ascii="Arial" w:cs="Arial" w:eastAsia="Arial" w:hAnsi="Arial"/>
          <w:sz w:val="18"/>
          <w:szCs w:val="18"/>
          <w:color w:val="auto"/>
        </w:rPr>
        <w:t>The collection of processes by which organizations reconcile, consolidate and report on their financial information at the end of each period is referred to as the financial close. Our Financial Close Management solution allows customers to manage the key steps within the close, applying automation where possible, and ensure that tasks are properly completed</w:t>
      </w: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2720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657" w:right="239" w:bottom="1440" w:gutter="0" w:footer="0" w:header="0"/>
        </w:sectPr>
      </w:pPr>
    </w:p>
    <w:bookmarkStart w:id="6" w:name="page7"/>
    <w:bookmarkEnd w:id="6"/>
    <w:p>
      <w:pPr>
        <w:spacing w:after="0"/>
        <w:rPr>
          <w:sz w:val="20"/>
          <w:szCs w:val="20"/>
          <w:color w:val="auto"/>
        </w:rPr>
      </w:pPr>
      <w:r>
        <w:rPr>
          <w:rFonts w:ascii="Arial" w:cs="Arial" w:eastAsia="Arial" w:hAnsi="Arial"/>
          <w:sz w:val="18"/>
          <w:szCs w:val="18"/>
          <w:color w:val="auto"/>
        </w:rPr>
        <w:t>and reviewed. This solution includes the components of the Reconciliation Management solution, as well as the following products:</w:t>
      </w:r>
    </w:p>
    <w:p>
      <w:pPr>
        <w:spacing w:after="0" w:line="82" w:lineRule="exact"/>
        <w:rPr>
          <w:sz w:val="20"/>
          <w:szCs w:val="20"/>
          <w:color w:val="auto"/>
        </w:rPr>
      </w:pPr>
    </w:p>
    <w:p>
      <w:pPr>
        <w:ind w:left="1040" w:right="20" w:hanging="519"/>
        <w:spacing w:after="0" w:line="247" w:lineRule="auto"/>
        <w:tabs>
          <w:tab w:leader="none" w:pos="1040" w:val="left"/>
        </w:tabs>
        <w:numPr>
          <w:ilvl w:val="0"/>
          <w:numId w:val="4"/>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Task Management </w:t>
      </w:r>
      <w:r>
        <w:rPr>
          <w:rFonts w:ascii="Arial" w:cs="Arial" w:eastAsia="Arial" w:hAnsi="Arial"/>
          <w:sz w:val="18"/>
          <w:szCs w:val="18"/>
          <w:color w:val="auto"/>
        </w:rPr>
        <w:t>enables users to create and manage processes and task lists. The product provides automatic and recurring</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task scheduling, includes configurable workflow and provides a management console for accounting and finance projects. Though most commonly used with the financial close, users can create task lists and projects for hundreds of different use cases ranging from external audits to environmental impact surveys.</w:t>
      </w:r>
    </w:p>
    <w:p>
      <w:pPr>
        <w:spacing w:after="0" w:line="66" w:lineRule="exact"/>
        <w:rPr>
          <w:rFonts w:ascii="Arial" w:cs="Arial" w:eastAsia="Arial" w:hAnsi="Arial"/>
          <w:sz w:val="18"/>
          <w:szCs w:val="18"/>
          <w:color w:val="auto"/>
        </w:rPr>
      </w:pPr>
    </w:p>
    <w:p>
      <w:pPr>
        <w:ind w:left="1040" w:hanging="519"/>
        <w:spacing w:after="0" w:line="244" w:lineRule="auto"/>
        <w:tabs>
          <w:tab w:leader="none" w:pos="1040" w:val="left"/>
        </w:tabs>
        <w:numPr>
          <w:ilvl w:val="0"/>
          <w:numId w:val="4"/>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Journal Entry </w:t>
      </w:r>
      <w:r>
        <w:rPr>
          <w:rFonts w:ascii="Arial" w:cs="Arial" w:eastAsia="Arial" w:hAnsi="Arial"/>
          <w:sz w:val="18"/>
          <w:szCs w:val="18"/>
          <w:color w:val="auto"/>
        </w:rPr>
        <w:t>allows users to manually or automatically generate, review and post manual journal entries. Journals can be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automatically allocated across multiple business units and calculated based on complex, client-defined logic. More importantly, the addition of validation and approval checkpoints helps ensure the integrity of information passed to other financial applications. Customers can use the Journal Entry product to pass information to hundreds of different ERPs and subsystems in a configurable, easily consumable format.</w:t>
      </w:r>
    </w:p>
    <w:p>
      <w:pPr>
        <w:spacing w:after="0" w:line="68" w:lineRule="exact"/>
        <w:rPr>
          <w:rFonts w:ascii="Arial" w:cs="Arial" w:eastAsia="Arial" w:hAnsi="Arial"/>
          <w:sz w:val="18"/>
          <w:szCs w:val="18"/>
          <w:color w:val="auto"/>
        </w:rPr>
      </w:pPr>
    </w:p>
    <w:p>
      <w:pPr>
        <w:ind w:left="1040" w:right="300" w:hanging="519"/>
        <w:spacing w:after="0" w:line="253" w:lineRule="auto"/>
        <w:tabs>
          <w:tab w:leader="none" w:pos="1040" w:val="left"/>
        </w:tabs>
        <w:numPr>
          <w:ilvl w:val="0"/>
          <w:numId w:val="4"/>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Variance Analysis </w:t>
      </w:r>
      <w:r>
        <w:rPr>
          <w:rFonts w:ascii="Arial" w:cs="Arial" w:eastAsia="Arial" w:hAnsi="Arial"/>
          <w:sz w:val="18"/>
          <w:szCs w:val="18"/>
          <w:color w:val="auto"/>
        </w:rPr>
        <w:t>provides “always-on” monitoring and automatically identifies anomalous fluctuations in balance sheet and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income statement account balances. Once an account in flux is identified, users are automatically alerted so they can research and determine the source of the fluctuation.</w:t>
      </w:r>
    </w:p>
    <w:p>
      <w:pPr>
        <w:spacing w:after="0" w:line="27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Intercompany Hub</w:t>
      </w:r>
    </w:p>
    <w:p>
      <w:pPr>
        <w:spacing w:after="0" w:line="126" w:lineRule="exact"/>
        <w:rPr>
          <w:sz w:val="20"/>
          <w:szCs w:val="20"/>
          <w:color w:val="auto"/>
        </w:rPr>
      </w:pPr>
    </w:p>
    <w:p>
      <w:pPr>
        <w:ind w:right="80" w:firstLine="518"/>
        <w:spacing w:after="0" w:line="239" w:lineRule="auto"/>
        <w:rPr>
          <w:sz w:val="20"/>
          <w:szCs w:val="20"/>
          <w:color w:val="auto"/>
        </w:rPr>
      </w:pPr>
      <w:r>
        <w:rPr>
          <w:rFonts w:ascii="Arial" w:cs="Arial" w:eastAsia="Arial" w:hAnsi="Arial"/>
          <w:sz w:val="18"/>
          <w:szCs w:val="18"/>
          <w:color w:val="auto"/>
        </w:rPr>
        <w:t>Intercompany transactions occur when entities within a corporate parent organization transact with each other. These transactions are some of the most complex and frequent sources of uncertainty for the accounting function. Our Intercompany Hub solution manages the entire intercompany transaction lifecycle within our platform and we believe it is the only widely available end-to-end intercompany solution. This solution includes the following features:</w:t>
      </w:r>
    </w:p>
    <w:p>
      <w:pPr>
        <w:spacing w:after="0" w:line="72" w:lineRule="exact"/>
        <w:rPr>
          <w:sz w:val="20"/>
          <w:szCs w:val="20"/>
          <w:color w:val="auto"/>
        </w:rPr>
      </w:pPr>
    </w:p>
    <w:p>
      <w:pPr>
        <w:ind w:left="1040" w:right="460" w:hanging="519"/>
        <w:spacing w:after="0" w:line="253" w:lineRule="auto"/>
        <w:tabs>
          <w:tab w:leader="none" w:pos="1040" w:val="left"/>
        </w:tabs>
        <w:numPr>
          <w:ilvl w:val="0"/>
          <w:numId w:val="5"/>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Intercompany Workflow </w:t>
      </w:r>
      <w:r>
        <w:rPr>
          <w:rFonts w:ascii="Arial" w:cs="Arial" w:eastAsia="Arial" w:hAnsi="Arial"/>
          <w:sz w:val="18"/>
          <w:szCs w:val="18"/>
          <w:color w:val="auto"/>
        </w:rPr>
        <w:t>replaces informal, ad-hoc intercompany requests and approvals with a simple, structured workflow</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approval process. The application stores permissions by entity and transaction type, ensuring that both the initiator and the approver of the intercompany transaction are authorized to conduct business.</w:t>
      </w:r>
    </w:p>
    <w:p>
      <w:pPr>
        <w:spacing w:after="0" w:line="61" w:lineRule="exact"/>
        <w:rPr>
          <w:rFonts w:ascii="Arial" w:cs="Arial" w:eastAsia="Arial" w:hAnsi="Arial"/>
          <w:sz w:val="18"/>
          <w:szCs w:val="18"/>
          <w:color w:val="auto"/>
        </w:rPr>
      </w:pPr>
    </w:p>
    <w:p>
      <w:pPr>
        <w:ind w:left="1040" w:right="20" w:hanging="519"/>
        <w:spacing w:after="0" w:line="247" w:lineRule="auto"/>
        <w:tabs>
          <w:tab w:leader="none" w:pos="1040" w:val="left"/>
        </w:tabs>
        <w:numPr>
          <w:ilvl w:val="0"/>
          <w:numId w:val="5"/>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Intercompany Processing </w:t>
      </w:r>
      <w:r>
        <w:rPr>
          <w:rFonts w:ascii="Arial" w:cs="Arial" w:eastAsia="Arial" w:hAnsi="Arial"/>
          <w:sz w:val="18"/>
          <w:szCs w:val="18"/>
          <w:color w:val="auto"/>
        </w:rPr>
        <w:t>records an organization’s intercompany transactions once they reach an appropriate completion level</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and posts them to the appropriate systems from a single source. The product automatically incorporates local taxes, exchange rates, invoicing requirements, and customer-specific transfer pricing so that the resulting journal entries will net, which reduces the possibility of intercompany differences and eliminates the need to perform a manual reconciliation.</w:t>
      </w:r>
    </w:p>
    <w:p>
      <w:pPr>
        <w:spacing w:after="0" w:line="66" w:lineRule="exact"/>
        <w:rPr>
          <w:rFonts w:ascii="Arial" w:cs="Arial" w:eastAsia="Arial" w:hAnsi="Arial"/>
          <w:sz w:val="18"/>
          <w:szCs w:val="18"/>
          <w:color w:val="auto"/>
        </w:rPr>
      </w:pPr>
    </w:p>
    <w:p>
      <w:pPr>
        <w:ind w:left="1040" w:right="160" w:hanging="519"/>
        <w:spacing w:after="0" w:line="253" w:lineRule="auto"/>
        <w:tabs>
          <w:tab w:leader="none" w:pos="1040" w:val="left"/>
        </w:tabs>
        <w:numPr>
          <w:ilvl w:val="0"/>
          <w:numId w:val="5"/>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Netting and Settlement </w:t>
      </w:r>
      <w:r>
        <w:rPr>
          <w:rFonts w:ascii="Arial" w:cs="Arial" w:eastAsia="Arial" w:hAnsi="Arial"/>
          <w:sz w:val="18"/>
          <w:szCs w:val="18"/>
          <w:color w:val="auto"/>
        </w:rPr>
        <w:t>automatically generate a real-time, aggregated settlement matrix, which shows the balance of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transactions across an entire organization. Users can filter the information by transaction type, currency or business relationship, easing the process of netting transactions and helping them make informed, strategic decisions.</w:t>
      </w:r>
    </w:p>
    <w:p>
      <w:pPr>
        <w:spacing w:after="0" w:line="27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Compliance</w:t>
      </w:r>
    </w:p>
    <w:p>
      <w:pPr>
        <w:spacing w:after="0" w:line="104" w:lineRule="exact"/>
        <w:rPr>
          <w:sz w:val="20"/>
          <w:szCs w:val="20"/>
          <w:color w:val="auto"/>
        </w:rPr>
      </w:pPr>
    </w:p>
    <w:p>
      <w:pPr>
        <w:ind w:left="1040" w:right="700" w:hanging="519"/>
        <w:spacing w:after="0" w:line="271" w:lineRule="auto"/>
        <w:tabs>
          <w:tab w:leader="none" w:pos="1040" w:val="left"/>
        </w:tabs>
        <w:numPr>
          <w:ilvl w:val="0"/>
          <w:numId w:val="6"/>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Compliance </w:t>
      </w:r>
      <w:r>
        <w:rPr>
          <w:rFonts w:ascii="Arial" w:cs="Arial" w:eastAsia="Arial" w:hAnsi="Arial"/>
          <w:sz w:val="18"/>
          <w:szCs w:val="18"/>
          <w:color w:val="auto"/>
        </w:rPr>
        <w:t>is an integrated solution that facilitates compliance-related initiatives, consolidates project management, and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provides visibility over control self-assessments and testing.</w:t>
      </w: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Services</w:t>
      </w:r>
    </w:p>
    <w:p>
      <w:pPr>
        <w:spacing w:after="0" w:line="126" w:lineRule="exact"/>
        <w:rPr>
          <w:sz w:val="20"/>
          <w:szCs w:val="20"/>
          <w:color w:val="auto"/>
        </w:rPr>
      </w:pPr>
    </w:p>
    <w:p>
      <w:pPr>
        <w:ind w:left="520"/>
        <w:spacing w:after="0"/>
        <w:rPr>
          <w:sz w:val="20"/>
          <w:szCs w:val="20"/>
          <w:color w:val="auto"/>
        </w:rPr>
      </w:pPr>
      <w:r>
        <w:rPr>
          <w:rFonts w:ascii="Arial" w:cs="Arial" w:eastAsia="Arial" w:hAnsi="Arial"/>
          <w:sz w:val="18"/>
          <w:szCs w:val="18"/>
          <w:color w:val="auto"/>
        </w:rPr>
        <w:t>Customer service is essential to our success. We offer the following services for our customers:</w:t>
      </w:r>
    </w:p>
    <w:p>
      <w:pPr>
        <w:spacing w:after="0" w:line="82" w:lineRule="exact"/>
        <w:rPr>
          <w:sz w:val="20"/>
          <w:szCs w:val="20"/>
          <w:color w:val="auto"/>
        </w:rPr>
      </w:pPr>
    </w:p>
    <w:p>
      <w:pPr>
        <w:ind w:left="1040" w:right="100" w:hanging="519"/>
        <w:spacing w:after="0" w:line="242" w:lineRule="auto"/>
        <w:tabs>
          <w:tab w:leader="none" w:pos="1040" w:val="left"/>
        </w:tabs>
        <w:numPr>
          <w:ilvl w:val="0"/>
          <w:numId w:val="7"/>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Implementation. </w:t>
      </w:r>
      <w:r>
        <w:rPr>
          <w:rFonts w:ascii="Arial" w:cs="Arial" w:eastAsia="Arial" w:hAnsi="Arial"/>
          <w:sz w:val="18"/>
          <w:szCs w:val="18"/>
          <w:color w:val="auto"/>
        </w:rPr>
        <w:t>With a focus on configuration over customization, our implementation approach favors rapid and efficient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deployments led by accounting experts, rather than technical resources. A typical project will focus on mapping our application to a customer’s current or ideal process, coaching them on best practices, and helping organizations become self-sufficient, instead of dependent on additional professional services. For clients that elect to work with a business process outsourcer or other company for implementation services, our implementation team provides ongoing support in order to ensure that the implementation or finance transformation projects are completed successfully. We generally provide this service for a fixed fee.</w:t>
      </w:r>
    </w:p>
    <w:p>
      <w:pPr>
        <w:spacing w:after="0" w:line="71" w:lineRule="exact"/>
        <w:rPr>
          <w:rFonts w:ascii="Arial" w:cs="Arial" w:eastAsia="Arial" w:hAnsi="Arial"/>
          <w:sz w:val="18"/>
          <w:szCs w:val="18"/>
          <w:color w:val="auto"/>
        </w:rPr>
      </w:pPr>
    </w:p>
    <w:p>
      <w:pPr>
        <w:ind w:left="1040" w:right="120" w:hanging="519"/>
        <w:spacing w:after="0" w:line="271" w:lineRule="auto"/>
        <w:tabs>
          <w:tab w:leader="none" w:pos="1040" w:val="left"/>
        </w:tabs>
        <w:numPr>
          <w:ilvl w:val="0"/>
          <w:numId w:val="7"/>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Support. </w:t>
      </w:r>
      <w:r>
        <w:rPr>
          <w:rFonts w:ascii="Arial" w:cs="Arial" w:eastAsia="Arial" w:hAnsi="Arial"/>
          <w:sz w:val="18"/>
          <w:szCs w:val="18"/>
          <w:color w:val="auto"/>
        </w:rPr>
        <w:t>We provide live customer support 24/7/365 from our offices in Woodland Hills, Sydney and London. All customers have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access to support resources by phone, email or through our portal, free of charge.</w:t>
      </w:r>
    </w:p>
    <w:p>
      <w:pPr>
        <w:spacing w:after="0" w:line="45" w:lineRule="exact"/>
        <w:rPr>
          <w:rFonts w:ascii="Arial" w:cs="Arial" w:eastAsia="Arial" w:hAnsi="Arial"/>
          <w:sz w:val="18"/>
          <w:szCs w:val="18"/>
          <w:color w:val="auto"/>
        </w:rPr>
      </w:pPr>
    </w:p>
    <w:p>
      <w:pPr>
        <w:ind w:left="1040" w:right="260" w:hanging="519"/>
        <w:spacing w:after="0" w:line="253" w:lineRule="auto"/>
        <w:tabs>
          <w:tab w:leader="none" w:pos="1040" w:val="left"/>
        </w:tabs>
        <w:numPr>
          <w:ilvl w:val="0"/>
          <w:numId w:val="7"/>
        </w:numPr>
        <w:rPr>
          <w:rFonts w:ascii="Arial" w:cs="Arial" w:eastAsia="Arial" w:hAnsi="Arial"/>
          <w:sz w:val="18"/>
          <w:szCs w:val="18"/>
          <w:color w:val="auto"/>
        </w:rPr>
      </w:pPr>
      <w:r>
        <w:rPr>
          <w:rFonts w:ascii="Arial" w:cs="Arial" w:eastAsia="Arial" w:hAnsi="Arial"/>
          <w:sz w:val="18"/>
          <w:szCs w:val="18"/>
          <w:b w:val="1"/>
          <w:bCs w:val="1"/>
          <w:color w:val="auto"/>
        </w:rPr>
        <w:t xml:space="preserve">Customer Success. </w:t>
      </w:r>
      <w:r>
        <w:rPr>
          <w:rFonts w:ascii="Arial" w:cs="Arial" w:eastAsia="Arial" w:hAnsi="Arial"/>
          <w:sz w:val="18"/>
          <w:szCs w:val="18"/>
          <w:color w:val="auto"/>
        </w:rPr>
        <w:t>Our customer success managers, many of whom are former users, provide customers with best practices</w:t>
      </w:r>
      <w:r>
        <w:rPr>
          <w:rFonts w:ascii="Arial" w:cs="Arial" w:eastAsia="Arial" w:hAnsi="Arial"/>
          <w:sz w:val="18"/>
          <w:szCs w:val="18"/>
          <w:b w:val="1"/>
          <w:bCs w:val="1"/>
          <w:color w:val="auto"/>
        </w:rPr>
        <w:t xml:space="preserve"> </w:t>
      </w:r>
      <w:r>
        <w:rPr>
          <w:rFonts w:ascii="Arial" w:cs="Arial" w:eastAsia="Arial" w:hAnsi="Arial"/>
          <w:sz w:val="18"/>
          <w:szCs w:val="18"/>
          <w:color w:val="auto"/>
        </w:rPr>
        <w:t>and help create a roadmap for expanded usage of our platform. We believe that this service, which is made available to all customers, is central to our retention and upsell efforts.</w:t>
      </w:r>
    </w:p>
    <w:p>
      <w:pPr>
        <w:spacing w:after="0" w:line="19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2720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00"/>
          </w:cols>
          <w:pgMar w:left="240" w:top="463" w:right="259" w:bottom="1440" w:gutter="0" w:footer="0" w:header="0"/>
        </w:sectPr>
      </w:pPr>
    </w:p>
    <w:bookmarkStart w:id="7" w:name="page8"/>
    <w:bookmarkEnd w:id="7"/>
    <w:p>
      <w:pPr>
        <w:ind w:left="1040" w:right="20" w:hanging="519"/>
        <w:spacing w:after="0" w:line="253" w:lineRule="auto"/>
        <w:tabs>
          <w:tab w:leader="none" w:pos="1040" w:val="left"/>
        </w:tabs>
        <w:numPr>
          <w:ilvl w:val="0"/>
          <w:numId w:val="8"/>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Training. </w:t>
      </w:r>
      <w:r>
        <w:rPr>
          <w:rFonts w:ascii="Arial" w:cs="Arial" w:eastAsia="Arial" w:hAnsi="Arial"/>
          <w:sz w:val="18"/>
          <w:szCs w:val="18"/>
          <w:color w:val="auto"/>
        </w:rPr>
        <w:t>We offer a variety of live and web-based training options, but most customers elect to consume their training through our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e-learning environment, BlackLine U. Courses cover platform functionality, as well as the underlying concepts that make reconciliation, the financial close and other accounting and finance activities necessary.</w:t>
      </w:r>
    </w:p>
    <w:p>
      <w:pPr>
        <w:spacing w:after="0" w:line="27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Sales and Marketing</w:t>
      </w:r>
    </w:p>
    <w:p>
      <w:pPr>
        <w:spacing w:after="0" w:line="234" w:lineRule="exact"/>
        <w:rPr>
          <w:sz w:val="20"/>
          <w:szCs w:val="20"/>
          <w:color w:val="auto"/>
        </w:rPr>
      </w:pPr>
    </w:p>
    <w:p>
      <w:pPr>
        <w:ind w:right="100" w:firstLine="518"/>
        <w:spacing w:after="0" w:line="238" w:lineRule="auto"/>
        <w:rPr>
          <w:sz w:val="20"/>
          <w:szCs w:val="20"/>
          <w:color w:val="auto"/>
        </w:rPr>
      </w:pPr>
      <w:r>
        <w:rPr>
          <w:rFonts w:ascii="Arial" w:cs="Arial" w:eastAsia="Arial" w:hAnsi="Arial"/>
          <w:sz w:val="18"/>
          <w:szCs w:val="18"/>
          <w:color w:val="auto"/>
        </w:rPr>
        <w:t>We sell our solutions through our direct sales force. Our direct sales force leverages our relationships with technology vendors such as SAP and NetSuite, professional services firms such as Deloitte, Ernst &amp; Young, and KPMG and business process outsourcers such as Cognizant, Genpact and IBM, to influence and drive customer growth. In particular, we offer our customers an integrated SAP-endorsed business solution in connection with our relationship with SAP. We also utilize a reseller channel that includes software vendors throughout the world and offer training in our solutions so that our reach is further extended.</w:t>
      </w:r>
    </w:p>
    <w:p>
      <w:pPr>
        <w:spacing w:after="0" w:line="203" w:lineRule="exact"/>
        <w:rPr>
          <w:sz w:val="20"/>
          <w:szCs w:val="20"/>
          <w:color w:val="auto"/>
        </w:rPr>
      </w:pPr>
    </w:p>
    <w:p>
      <w:pPr>
        <w:ind w:right="220" w:firstLine="518"/>
        <w:spacing w:after="0" w:line="236" w:lineRule="auto"/>
        <w:rPr>
          <w:sz w:val="20"/>
          <w:szCs w:val="20"/>
          <w:color w:val="auto"/>
        </w:rPr>
      </w:pPr>
      <w:r>
        <w:rPr>
          <w:rFonts w:ascii="Arial" w:cs="Arial" w:eastAsia="Arial" w:hAnsi="Arial"/>
          <w:sz w:val="18"/>
          <w:szCs w:val="18"/>
          <w:color w:val="auto"/>
        </w:rPr>
        <w:t>Our marketing efforts are focused on creating sales leads, establishing and extending our brand proposition, generating product awareness, and cultivating our community of users. We generate sales leads primarily through word-of-mouth, search engine marketing, outbound lead generation, and our network of business process outsourcers, business services organizations and resellers. We leverage online and offline marketing channels on a global basis and organize customer roundtables and user conferences and release white papers, case studies, blogs, and digital programs and seminars. We have further extended our brand awareness through sponsorships with leading industry organizations such as the American Institute of Certified Public Accountants, or AICPA, the Institute of Management Accountants, or IMA, the Financial Executives International, or FEI, the Institute of Chartered Accountants in England and Wales, or ICAEW, and the Association of Chartered Certified Accountants, or ACCA.</w:t>
      </w:r>
    </w:p>
    <w:p>
      <w:pPr>
        <w:spacing w:after="0" w:line="29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Competition</w:t>
      </w:r>
    </w:p>
    <w:p>
      <w:pPr>
        <w:spacing w:after="0" w:line="234" w:lineRule="exact"/>
        <w:rPr>
          <w:sz w:val="20"/>
          <w:szCs w:val="20"/>
          <w:color w:val="auto"/>
        </w:rPr>
      </w:pPr>
    </w:p>
    <w:p>
      <w:pPr>
        <w:ind w:right="280" w:firstLine="518"/>
        <w:spacing w:after="0" w:line="246" w:lineRule="auto"/>
        <w:rPr>
          <w:sz w:val="20"/>
          <w:szCs w:val="20"/>
          <w:color w:val="auto"/>
        </w:rPr>
      </w:pPr>
      <w:r>
        <w:rPr>
          <w:rFonts w:ascii="Arial" w:cs="Arial" w:eastAsia="Arial" w:hAnsi="Arial"/>
          <w:sz w:val="18"/>
          <w:szCs w:val="18"/>
          <w:color w:val="auto"/>
        </w:rPr>
        <w:t>The market for accounting and financial software and services is competitive, rapidly evolving and requires deep understanding of the industry standards, accounting rules and global financial regulations.</w:t>
      </w:r>
    </w:p>
    <w:p>
      <w:pPr>
        <w:spacing w:after="0" w:line="197" w:lineRule="exact"/>
        <w:rPr>
          <w:sz w:val="20"/>
          <w:szCs w:val="20"/>
          <w:color w:val="auto"/>
        </w:rPr>
      </w:pPr>
    </w:p>
    <w:p>
      <w:pPr>
        <w:jc w:val="both"/>
        <w:ind w:firstLine="518"/>
        <w:spacing w:after="0"/>
        <w:rPr>
          <w:sz w:val="20"/>
          <w:szCs w:val="20"/>
          <w:color w:val="auto"/>
        </w:rPr>
      </w:pPr>
      <w:r>
        <w:rPr>
          <w:rFonts w:ascii="Arial" w:cs="Arial" w:eastAsia="Arial" w:hAnsi="Arial"/>
          <w:sz w:val="18"/>
          <w:szCs w:val="18"/>
          <w:color w:val="auto"/>
        </w:rPr>
        <w:t>We compete with vendors of financial automation software such as Trintech, and we also compete with components of Oracle’s Hyperion software. Further, other established software vendors not currently focused on accounting and finance software and services, including some of our partners, resellers, and other parties with which we have relationships, may expand their services to compete with us.</w:t>
      </w:r>
    </w:p>
    <w:p>
      <w:pPr>
        <w:spacing w:after="0" w:line="203" w:lineRule="exact"/>
        <w:rPr>
          <w:sz w:val="20"/>
          <w:szCs w:val="20"/>
          <w:color w:val="auto"/>
        </w:rPr>
      </w:pPr>
    </w:p>
    <w:p>
      <w:pPr>
        <w:ind w:left="520"/>
        <w:spacing w:after="0"/>
        <w:rPr>
          <w:sz w:val="20"/>
          <w:szCs w:val="20"/>
          <w:color w:val="auto"/>
        </w:rPr>
      </w:pPr>
      <w:r>
        <w:rPr>
          <w:rFonts w:ascii="Arial" w:cs="Arial" w:eastAsia="Arial" w:hAnsi="Arial"/>
          <w:sz w:val="18"/>
          <w:szCs w:val="18"/>
          <w:color w:val="auto"/>
        </w:rPr>
        <w:t>We believe the principal competitive factors in our market include the following:</w:t>
      </w:r>
    </w:p>
    <w:p>
      <w:pPr>
        <w:spacing w:after="0" w:line="104" w:lineRule="exact"/>
        <w:rPr>
          <w:sz w:val="20"/>
          <w:szCs w:val="20"/>
          <w:color w:val="auto"/>
        </w:rPr>
      </w:pPr>
    </w:p>
    <w:p>
      <w:pPr>
        <w:ind w:left="1040" w:hanging="519"/>
        <w:spacing w:after="0"/>
        <w:tabs>
          <w:tab w:leader="none" w:pos="1040" w:val="left"/>
        </w:tabs>
        <w:numPr>
          <w:ilvl w:val="0"/>
          <w:numId w:val="9"/>
        </w:numPr>
        <w:rPr>
          <w:rFonts w:ascii="Arial" w:cs="Arial" w:eastAsia="Arial" w:hAnsi="Arial"/>
          <w:sz w:val="18"/>
          <w:szCs w:val="18"/>
          <w:color w:val="auto"/>
        </w:rPr>
      </w:pPr>
      <w:r>
        <w:rPr>
          <w:rFonts w:ascii="Arial" w:cs="Arial" w:eastAsia="Arial" w:hAnsi="Arial"/>
          <w:sz w:val="18"/>
          <w:szCs w:val="18"/>
          <w:color w:val="auto"/>
        </w:rPr>
        <w:t>level of customer satisfaction;</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9"/>
        </w:numPr>
        <w:rPr>
          <w:rFonts w:ascii="Arial" w:cs="Arial" w:eastAsia="Arial" w:hAnsi="Arial"/>
          <w:sz w:val="18"/>
          <w:szCs w:val="18"/>
          <w:color w:val="auto"/>
        </w:rPr>
      </w:pPr>
      <w:r>
        <w:rPr>
          <w:rFonts w:ascii="Arial" w:cs="Arial" w:eastAsia="Arial" w:hAnsi="Arial"/>
          <w:sz w:val="18"/>
          <w:szCs w:val="18"/>
          <w:color w:val="auto"/>
        </w:rPr>
        <w:t>ease of deployment and use of applications;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9"/>
        </w:numPr>
        <w:rPr>
          <w:rFonts w:ascii="Arial" w:cs="Arial" w:eastAsia="Arial" w:hAnsi="Arial"/>
          <w:sz w:val="18"/>
          <w:szCs w:val="18"/>
          <w:color w:val="auto"/>
        </w:rPr>
      </w:pPr>
      <w:r>
        <w:rPr>
          <w:rFonts w:ascii="Arial" w:cs="Arial" w:eastAsia="Arial" w:hAnsi="Arial"/>
          <w:sz w:val="18"/>
          <w:szCs w:val="18"/>
          <w:color w:val="auto"/>
        </w:rPr>
        <w:t>ability to integrate with multiple legacy enterprise infrastructures and third-party applications;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9"/>
        </w:numPr>
        <w:rPr>
          <w:rFonts w:ascii="Arial" w:cs="Arial" w:eastAsia="Arial" w:hAnsi="Arial"/>
          <w:sz w:val="18"/>
          <w:szCs w:val="18"/>
          <w:color w:val="auto"/>
        </w:rPr>
      </w:pPr>
      <w:r>
        <w:rPr>
          <w:rFonts w:ascii="Arial" w:cs="Arial" w:eastAsia="Arial" w:hAnsi="Arial"/>
          <w:sz w:val="18"/>
          <w:szCs w:val="18"/>
          <w:color w:val="auto"/>
        </w:rPr>
        <w:t>domain expertise on accounting best practices;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9"/>
        </w:numPr>
        <w:rPr>
          <w:rFonts w:ascii="Arial" w:cs="Arial" w:eastAsia="Arial" w:hAnsi="Arial"/>
          <w:sz w:val="18"/>
          <w:szCs w:val="18"/>
          <w:color w:val="auto"/>
        </w:rPr>
      </w:pPr>
      <w:r>
        <w:rPr>
          <w:rFonts w:ascii="Arial" w:cs="Arial" w:eastAsia="Arial" w:hAnsi="Arial"/>
          <w:sz w:val="18"/>
          <w:szCs w:val="18"/>
          <w:color w:val="auto"/>
        </w:rPr>
        <w:t>ability to innovate and respond to customer needs rapidly;</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9"/>
        </w:numPr>
        <w:rPr>
          <w:rFonts w:ascii="Arial" w:cs="Arial" w:eastAsia="Arial" w:hAnsi="Arial"/>
          <w:sz w:val="18"/>
          <w:szCs w:val="18"/>
          <w:color w:val="auto"/>
        </w:rPr>
      </w:pPr>
      <w:r>
        <w:rPr>
          <w:rFonts w:ascii="Arial" w:cs="Arial" w:eastAsia="Arial" w:hAnsi="Arial"/>
          <w:sz w:val="18"/>
          <w:szCs w:val="18"/>
          <w:color w:val="auto"/>
        </w:rPr>
        <w:t>capability for configurability, integration and scalability of applications;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9"/>
        </w:numPr>
        <w:rPr>
          <w:rFonts w:ascii="Arial" w:cs="Arial" w:eastAsia="Arial" w:hAnsi="Arial"/>
          <w:sz w:val="18"/>
          <w:szCs w:val="18"/>
          <w:color w:val="auto"/>
        </w:rPr>
      </w:pPr>
      <w:r>
        <w:rPr>
          <w:rFonts w:ascii="Arial" w:cs="Arial" w:eastAsia="Arial" w:hAnsi="Arial"/>
          <w:sz w:val="18"/>
          <w:szCs w:val="18"/>
          <w:color w:val="auto"/>
        </w:rPr>
        <w:t>cloud-based delivery model;</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9"/>
        </w:numPr>
        <w:rPr>
          <w:rFonts w:ascii="Arial" w:cs="Arial" w:eastAsia="Arial" w:hAnsi="Arial"/>
          <w:sz w:val="18"/>
          <w:szCs w:val="18"/>
          <w:color w:val="auto"/>
        </w:rPr>
      </w:pPr>
      <w:r>
        <w:rPr>
          <w:rFonts w:ascii="Arial" w:cs="Arial" w:eastAsia="Arial" w:hAnsi="Arial"/>
          <w:sz w:val="18"/>
          <w:szCs w:val="18"/>
          <w:color w:val="auto"/>
        </w:rPr>
        <w:t>advanced security and reliability features;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9"/>
        </w:numPr>
        <w:rPr>
          <w:rFonts w:ascii="Arial" w:cs="Arial" w:eastAsia="Arial" w:hAnsi="Arial"/>
          <w:sz w:val="18"/>
          <w:szCs w:val="18"/>
          <w:color w:val="auto"/>
        </w:rPr>
      </w:pPr>
      <w:r>
        <w:rPr>
          <w:rFonts w:ascii="Arial" w:cs="Arial" w:eastAsia="Arial" w:hAnsi="Arial"/>
          <w:sz w:val="18"/>
          <w:szCs w:val="18"/>
          <w:color w:val="auto"/>
        </w:rPr>
        <w:t>brand recognition and historical operating performance; and</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9"/>
        </w:numPr>
        <w:rPr>
          <w:rFonts w:ascii="Arial" w:cs="Arial" w:eastAsia="Arial" w:hAnsi="Arial"/>
          <w:sz w:val="18"/>
          <w:szCs w:val="18"/>
          <w:color w:val="auto"/>
        </w:rPr>
      </w:pPr>
      <w:r>
        <w:rPr>
          <w:rFonts w:ascii="Arial" w:cs="Arial" w:eastAsia="Arial" w:hAnsi="Arial"/>
          <w:sz w:val="18"/>
          <w:szCs w:val="18"/>
          <w:color w:val="auto"/>
        </w:rPr>
        <w:t>price and total cost of ownership.</w:t>
      </w:r>
    </w:p>
    <w:p>
      <w:pPr>
        <w:spacing w:after="0" w:line="225" w:lineRule="exact"/>
        <w:rPr>
          <w:sz w:val="20"/>
          <w:szCs w:val="20"/>
          <w:color w:val="auto"/>
        </w:rPr>
      </w:pPr>
    </w:p>
    <w:p>
      <w:pPr>
        <w:jc w:val="both"/>
        <w:ind w:right="220" w:firstLine="518"/>
        <w:spacing w:after="0"/>
        <w:rPr>
          <w:sz w:val="20"/>
          <w:szCs w:val="20"/>
          <w:color w:val="auto"/>
        </w:rPr>
      </w:pPr>
      <w:r>
        <w:rPr>
          <w:rFonts w:ascii="Arial" w:cs="Arial" w:eastAsia="Arial" w:hAnsi="Arial"/>
          <w:sz w:val="18"/>
          <w:szCs w:val="18"/>
          <w:color w:val="auto"/>
        </w:rPr>
        <w:t>We believe we are positioned favorably against our competitors based on these factors. However, certain of our competitors may have greater name recognition, longer operating histories, more established customer and marketing relationships, larger marketing budgets, and significantly greater resources.</w:t>
      </w: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2720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441" w:right="239" w:bottom="1440" w:gutter="0" w:footer="0" w:header="0"/>
        </w:sectPr>
      </w:pPr>
    </w:p>
    <w:bookmarkStart w:id="8" w:name="page9"/>
    <w:bookmarkEnd w:id="8"/>
    <w:p>
      <w:pPr>
        <w:jc w:val="center"/>
        <w:ind w:right="-19"/>
        <w:spacing w:after="0"/>
        <w:rPr>
          <w:sz w:val="20"/>
          <w:szCs w:val="20"/>
          <w:color w:val="auto"/>
        </w:rPr>
      </w:pPr>
      <w:r>
        <w:rPr>
          <w:rFonts w:ascii="Arial" w:cs="Arial" w:eastAsia="Arial" w:hAnsi="Arial"/>
          <w:sz w:val="18"/>
          <w:szCs w:val="18"/>
          <w:b w:val="1"/>
          <w:bCs w:val="1"/>
          <w:color w:val="auto"/>
        </w:rPr>
        <w:t>Intellectual Property and Proprietary Rights</w:t>
      </w:r>
    </w:p>
    <w:p>
      <w:pPr>
        <w:spacing w:after="0" w:line="234" w:lineRule="exact"/>
        <w:rPr>
          <w:sz w:val="20"/>
          <w:szCs w:val="20"/>
          <w:color w:val="auto"/>
        </w:rPr>
      </w:pPr>
    </w:p>
    <w:p>
      <w:pPr>
        <w:ind w:right="180" w:firstLine="518"/>
        <w:spacing w:after="0" w:line="238" w:lineRule="auto"/>
        <w:rPr>
          <w:sz w:val="20"/>
          <w:szCs w:val="20"/>
          <w:color w:val="auto"/>
        </w:rPr>
      </w:pPr>
      <w:r>
        <w:rPr>
          <w:rFonts w:ascii="Arial" w:cs="Arial" w:eastAsia="Arial" w:hAnsi="Arial"/>
          <w:sz w:val="18"/>
          <w:szCs w:val="18"/>
          <w:color w:val="auto"/>
        </w:rPr>
        <w:t>Our intellectual property and proprietary rights are important to our business. We currently have one patent, which was issued on October 1, 2019. We primarily rely on copyright, trade secret and trademark laws, trade secret protection, and confidentiality or license agreements with our employees, customers, partners, and others to protect our intellectual property rights. Though we rely in part upon these legal and contractual protections, we believe that factors such as the skills and ingenuity of our employees and the functionality and frequent enhancements to our solutions are larger contributors to our success in the marketplace.</w:t>
      </w:r>
    </w:p>
    <w:p>
      <w:pPr>
        <w:spacing w:after="0" w:line="203" w:lineRule="exact"/>
        <w:rPr>
          <w:sz w:val="20"/>
          <w:szCs w:val="20"/>
          <w:color w:val="auto"/>
        </w:rPr>
      </w:pPr>
    </w:p>
    <w:p>
      <w:pPr>
        <w:ind w:right="20" w:firstLine="518"/>
        <w:spacing w:after="0" w:line="237" w:lineRule="auto"/>
        <w:rPr>
          <w:sz w:val="20"/>
          <w:szCs w:val="20"/>
          <w:color w:val="auto"/>
        </w:rPr>
      </w:pPr>
      <w:r>
        <w:rPr>
          <w:rFonts w:ascii="Arial" w:cs="Arial" w:eastAsia="Arial" w:hAnsi="Arial"/>
          <w:sz w:val="18"/>
          <w:szCs w:val="18"/>
          <w:color w:val="auto"/>
        </w:rPr>
        <w:t>Despite our efforts to preserve and protect our intellectual property and proprietary rights, unauthorized third parties may attempt to copy, reverse engineer or otherwise obtain portions of our software. Competitors may attempt to develop similar products that could compete in the same market as our products. Unauthorized disclosure of our confidential information by our employees or third parties could occur. Laws of other jurisdictions may not protect our intellectual property and proprietary rights from unauthorized use or disclosure in the same manner as the United States. The risk of unauthorized use of our proprietary and intellectual property rights may increase as our company continues to expand outside of the United States.</w:t>
      </w:r>
    </w:p>
    <w:p>
      <w:pPr>
        <w:spacing w:after="0" w:line="205" w:lineRule="exact"/>
        <w:rPr>
          <w:sz w:val="20"/>
          <w:szCs w:val="20"/>
          <w:color w:val="auto"/>
        </w:rPr>
      </w:pPr>
    </w:p>
    <w:p>
      <w:pPr>
        <w:ind w:right="340" w:firstLine="518"/>
        <w:spacing w:after="0" w:line="246" w:lineRule="auto"/>
        <w:rPr>
          <w:sz w:val="20"/>
          <w:szCs w:val="20"/>
          <w:color w:val="auto"/>
        </w:rPr>
      </w:pPr>
      <w:r>
        <w:rPr>
          <w:rFonts w:ascii="Arial" w:cs="Arial" w:eastAsia="Arial" w:hAnsi="Arial"/>
          <w:sz w:val="18"/>
          <w:szCs w:val="18"/>
          <w:color w:val="auto"/>
        </w:rPr>
        <w:t>Third-party infringement claims are also possible in our industry, especially as software functionality and features expand, evolve and overlap with other industry segments.</w:t>
      </w:r>
    </w:p>
    <w:p>
      <w:pPr>
        <w:spacing w:after="0" w:line="28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Employees and Culture</w:t>
      </w:r>
    </w:p>
    <w:p>
      <w:pPr>
        <w:spacing w:after="0" w:line="234" w:lineRule="exact"/>
        <w:rPr>
          <w:sz w:val="20"/>
          <w:szCs w:val="20"/>
          <w:color w:val="auto"/>
        </w:rPr>
      </w:pPr>
    </w:p>
    <w:p>
      <w:pPr>
        <w:ind w:right="20" w:firstLine="518"/>
        <w:spacing w:after="0" w:line="239" w:lineRule="auto"/>
        <w:rPr>
          <w:sz w:val="20"/>
          <w:szCs w:val="20"/>
          <w:color w:val="auto"/>
        </w:rPr>
      </w:pPr>
      <w:r>
        <w:rPr>
          <w:rFonts w:ascii="Arial" w:cs="Arial" w:eastAsia="Arial" w:hAnsi="Arial"/>
          <w:sz w:val="18"/>
          <w:szCs w:val="18"/>
          <w:color w:val="auto"/>
        </w:rPr>
        <w:t>We believe our employees and culture are fundamental to our success. Therese Tucker, our founder and Chief Executive Officer, has led our company since its inception in 2001 and has built and maintained a culture committed to empowering our employees and communities around us. Our motto “Think. Create. Serve.” expresses our core values as a company dedicated to innovation and creativity, collaboration and action, and service to each other and our customers.</w:t>
      </w:r>
    </w:p>
    <w:p>
      <w:pPr>
        <w:spacing w:after="0" w:line="202" w:lineRule="exact"/>
        <w:rPr>
          <w:sz w:val="20"/>
          <w:szCs w:val="20"/>
          <w:color w:val="auto"/>
        </w:rPr>
      </w:pPr>
    </w:p>
    <w:p>
      <w:pPr>
        <w:ind w:right="80" w:firstLine="518"/>
        <w:spacing w:after="0" w:line="246" w:lineRule="auto"/>
        <w:rPr>
          <w:sz w:val="20"/>
          <w:szCs w:val="20"/>
          <w:color w:val="auto"/>
        </w:rPr>
      </w:pPr>
      <w:r>
        <w:rPr>
          <w:rFonts w:ascii="Arial" w:cs="Arial" w:eastAsia="Arial" w:hAnsi="Arial"/>
          <w:sz w:val="18"/>
          <w:szCs w:val="18"/>
          <w:color w:val="auto"/>
        </w:rPr>
        <w:t>At December 31, 2019, we employed 1,055 people globally. None of our employees are represented by a labor union or covered by a collective bargaining agreement. We have not experienced any work stoppages, and we consider our relations with our employees to be good.</w:t>
      </w:r>
    </w:p>
    <w:p>
      <w:pPr>
        <w:spacing w:after="0" w:line="28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Corporate Information</w:t>
      </w:r>
    </w:p>
    <w:p>
      <w:pPr>
        <w:spacing w:after="0" w:line="231" w:lineRule="exact"/>
        <w:rPr>
          <w:sz w:val="20"/>
          <w:szCs w:val="20"/>
          <w:color w:val="auto"/>
        </w:rPr>
      </w:pPr>
    </w:p>
    <w:p>
      <w:pPr>
        <w:ind w:right="40" w:firstLine="518"/>
        <w:spacing w:after="0" w:line="238" w:lineRule="auto"/>
        <w:rPr>
          <w:sz w:val="20"/>
          <w:szCs w:val="20"/>
          <w:color w:val="auto"/>
        </w:rPr>
      </w:pPr>
      <w:r>
        <w:rPr>
          <w:rFonts w:ascii="Arial" w:cs="Arial" w:eastAsia="Arial" w:hAnsi="Arial"/>
          <w:sz w:val="18"/>
          <w:szCs w:val="18"/>
          <w:color w:val="auto"/>
        </w:rPr>
        <w:t>We were incorporated in May 2001. Our principal executive offices are located at 21300 Victory Blvd., 12</w:t>
      </w:r>
      <w:r>
        <w:rPr>
          <w:rFonts w:ascii="Arial" w:cs="Arial" w:eastAsia="Arial" w:hAnsi="Arial"/>
          <w:sz w:val="15"/>
          <w:szCs w:val="15"/>
          <w:color w:val="auto"/>
        </w:rPr>
        <w:t>th</w:t>
      </w:r>
      <w:r>
        <w:rPr>
          <w:rFonts w:ascii="Arial" w:cs="Arial" w:eastAsia="Arial" w:hAnsi="Arial"/>
          <w:sz w:val="18"/>
          <w:szCs w:val="18"/>
          <w:color w:val="auto"/>
        </w:rPr>
        <w:t xml:space="preserve"> Floor, Woodland Hills, California 91367, and our telephone number is (818) 223-9008. On September 3, 2013, BlackLine, Inc., a newly-formed Delaware C-Corporation, acquired BlackLine Systems, Inc., a California S-Corporation, and Silver Lake Sumeru and Iconiq acquired a controlling interest in us, which we refer to as the “2013 Acquisition”. We completed our initial public offering in November 2016, and our common stock is listed on the NASDAQ Global Select Market under the symbol “BL.”</w:t>
      </w:r>
    </w:p>
    <w:p>
      <w:pPr>
        <w:spacing w:after="0" w:line="205" w:lineRule="exact"/>
        <w:rPr>
          <w:sz w:val="20"/>
          <w:szCs w:val="20"/>
          <w:color w:val="auto"/>
        </w:rPr>
      </w:pPr>
    </w:p>
    <w:p>
      <w:pPr>
        <w:jc w:val="both"/>
        <w:ind w:right="120" w:firstLine="518"/>
        <w:spacing w:after="0"/>
        <w:rPr>
          <w:sz w:val="20"/>
          <w:szCs w:val="20"/>
          <w:color w:val="auto"/>
        </w:rPr>
      </w:pPr>
      <w:r>
        <w:rPr>
          <w:rFonts w:ascii="Arial" w:cs="Arial" w:eastAsia="Arial" w:hAnsi="Arial"/>
          <w:sz w:val="18"/>
          <w:szCs w:val="18"/>
          <w:color w:val="auto"/>
        </w:rPr>
        <w:t xml:space="preserve">The names “BlackLine,” “BlackLine Systems,” “Intercompany Hub,” and our logo are our trademarks. This Annual Report on Form 10-K also contains trademarks and trade names of other businesses that are the property of their respective holders. We have omitted the </w:t>
      </w:r>
      <w:r>
        <w:rPr>
          <w:rFonts w:ascii="Arial" w:cs="Arial" w:eastAsia="Arial" w:hAnsi="Arial"/>
          <w:sz w:val="15"/>
          <w:szCs w:val="15"/>
          <w:color w:val="auto"/>
        </w:rPr>
        <w:t>®</w:t>
      </w:r>
      <w:r>
        <w:rPr>
          <w:rFonts w:ascii="Arial" w:cs="Arial" w:eastAsia="Arial" w:hAnsi="Arial"/>
          <w:sz w:val="18"/>
          <w:szCs w:val="18"/>
          <w:color w:val="auto"/>
        </w:rPr>
        <w:t xml:space="preserve"> and ™ designations, as applicable, for the trademarks we name in this Annual Report on Form 10-K.</w:t>
      </w:r>
    </w:p>
    <w:p>
      <w:pPr>
        <w:spacing w:after="0" w:line="28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Available Information</w:t>
      </w:r>
    </w:p>
    <w:p>
      <w:pPr>
        <w:spacing w:after="0" w:line="234" w:lineRule="exact"/>
        <w:rPr>
          <w:sz w:val="20"/>
          <w:szCs w:val="20"/>
          <w:color w:val="auto"/>
        </w:rPr>
      </w:pPr>
    </w:p>
    <w:p>
      <w:pPr>
        <w:ind w:firstLine="518"/>
        <w:spacing w:after="0" w:line="237" w:lineRule="auto"/>
        <w:rPr>
          <w:sz w:val="20"/>
          <w:szCs w:val="20"/>
          <w:color w:val="auto"/>
        </w:rPr>
      </w:pPr>
      <w:r>
        <w:rPr>
          <w:rFonts w:ascii="Arial" w:cs="Arial" w:eastAsia="Arial" w:hAnsi="Arial"/>
          <w:sz w:val="18"/>
          <w:szCs w:val="18"/>
          <w:color w:val="auto"/>
        </w:rPr>
        <w:t>Our website is located at www.blackline.com, and our investor relations website is located at http://investors.blackline.com. We have used, and intend to continue to use, our Investor Relations website as a means of disclosing material non-public information and for complying with our disclosure obligations under Regulation FD. Copies of our Annual Reports on Form 10-K, Quarterly Reports on Form 10-Q, Current Reports on Form 8-K, and amendments to these reports filed or furnished pursuant to Section 13(a) or 15(d) of the Securities Exchange Act of 1934, as amended, or the Exchange Act, are available, free of charge, on our investor relations website as soon as reasonably practicable after we file such material electronically with or furnish it to the Securities and Exchange Commission, or the SEC. The SEC also maintains a website that contains our SEC filings. The address of the site is www.sec.gov.</w:t>
      </w: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2720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657" w:right="239" w:bottom="1440" w:gutter="0" w:footer="0" w:header="0"/>
        </w:sectPr>
      </w:pPr>
    </w:p>
    <w:bookmarkStart w:id="9" w:name="page10"/>
    <w:bookmarkEnd w:id="9"/>
    <w:p>
      <w:pPr>
        <w:spacing w:after="0"/>
        <w:tabs>
          <w:tab w:leader="none" w:pos="102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7"/>
          <w:szCs w:val="17"/>
          <w:b w:val="1"/>
          <w:bCs w:val="1"/>
          <w:color w:val="auto"/>
        </w:rPr>
        <w:t>Risk Factors</w:t>
      </w:r>
    </w:p>
    <w:p>
      <w:pPr>
        <w:spacing w:after="0" w:line="108" w:lineRule="exact"/>
        <w:rPr>
          <w:sz w:val="20"/>
          <w:szCs w:val="20"/>
          <w:color w:val="auto"/>
        </w:rPr>
      </w:pPr>
    </w:p>
    <w:p>
      <w:pPr>
        <w:ind w:right="20" w:firstLine="518"/>
        <w:spacing w:after="0" w:line="239" w:lineRule="auto"/>
        <w:rPr>
          <w:sz w:val="20"/>
          <w:szCs w:val="20"/>
          <w:color w:val="auto"/>
        </w:rPr>
      </w:pPr>
      <w:r>
        <w:rPr>
          <w:rFonts w:ascii="Arial" w:cs="Arial" w:eastAsia="Arial" w:hAnsi="Arial"/>
          <w:sz w:val="18"/>
          <w:szCs w:val="18"/>
          <w:i w:val="1"/>
          <w:iCs w:val="1"/>
          <w:color w:val="auto"/>
        </w:rPr>
        <w:t>Investing in our common stock involves a high degree of risk. You should carefully consider the risks and uncertainties described below, together with all of the other information in this Annual Report on Form 10-K, including “Management’s Discussion and Analysis of Financial Condition and Results of Operations” and our consolidated financial statements and related notes, before making a decision to invest in our common stock. The risks and uncertainties described below are not the only ones we face. Additional risk and uncertainties not presently known to us or that we presently deem less significant may also impair our business operations. If any of the events or circumstances described in the following risk factors actually occurs, our business, operating results, financial condition, cash flows, and prospects could be materially and adversely affected. In that event, the market price of our common stock could decline, and you could lose part or all of your investment.</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Business and Industry</w:t>
      </w:r>
    </w:p>
    <w:p>
      <w:pPr>
        <w:spacing w:after="0" w:line="104" w:lineRule="exact"/>
        <w:rPr>
          <w:sz w:val="20"/>
          <w:szCs w:val="20"/>
          <w:color w:val="auto"/>
        </w:rPr>
      </w:pPr>
    </w:p>
    <w:p>
      <w:pPr>
        <w:ind w:right="380"/>
        <w:spacing w:after="0" w:line="271" w:lineRule="auto"/>
        <w:rPr>
          <w:sz w:val="20"/>
          <w:szCs w:val="20"/>
          <w:color w:val="auto"/>
        </w:rPr>
      </w:pPr>
      <w:r>
        <w:rPr>
          <w:rFonts w:ascii="Arial" w:cs="Arial" w:eastAsia="Arial" w:hAnsi="Arial"/>
          <w:sz w:val="18"/>
          <w:szCs w:val="18"/>
          <w:b w:val="1"/>
          <w:bCs w:val="1"/>
          <w:i w:val="1"/>
          <w:iCs w:val="1"/>
          <w:color w:val="auto"/>
        </w:rPr>
        <w:t>If we are unable to attract new customers and expand sales to existing customers, our business growth could be slower than we expect and our business may be harmed.</w:t>
      </w:r>
    </w:p>
    <w:p>
      <w:pPr>
        <w:spacing w:after="0" w:line="68" w:lineRule="exact"/>
        <w:rPr>
          <w:sz w:val="20"/>
          <w:szCs w:val="20"/>
          <w:color w:val="auto"/>
        </w:rPr>
      </w:pPr>
    </w:p>
    <w:p>
      <w:pPr>
        <w:ind w:right="100" w:firstLine="518"/>
        <w:spacing w:after="0" w:line="238" w:lineRule="auto"/>
        <w:rPr>
          <w:sz w:val="20"/>
          <w:szCs w:val="20"/>
          <w:color w:val="auto"/>
        </w:rPr>
      </w:pPr>
      <w:r>
        <w:rPr>
          <w:rFonts w:ascii="Arial" w:cs="Arial" w:eastAsia="Arial" w:hAnsi="Arial"/>
          <w:sz w:val="18"/>
          <w:szCs w:val="18"/>
          <w:color w:val="auto"/>
        </w:rPr>
        <w:t>Our future growth depends in part upon increasing our customer base. Our ability to achieve significant growth in revenues in the future will depend, in large part, upon the effectiveness of our sales and marketing efforts, both domestically and internationally. We may have difficulty attracting a potential client that has already invested substantial personnel and financial resources to integrate on-premise software into its business, as such organizations may be reluctant or unwilling to invest in a new product. If we fail to attract new customers or maintain and expand those customer relationships, our revenues will grow more slowly than expected and our business will be harmed.</w:t>
      </w:r>
    </w:p>
    <w:p>
      <w:pPr>
        <w:spacing w:after="0" w:line="203" w:lineRule="exact"/>
        <w:rPr>
          <w:sz w:val="20"/>
          <w:szCs w:val="20"/>
          <w:color w:val="auto"/>
        </w:rPr>
      </w:pPr>
    </w:p>
    <w:p>
      <w:pPr>
        <w:ind w:firstLine="518"/>
        <w:spacing w:after="0" w:line="236" w:lineRule="auto"/>
        <w:rPr>
          <w:sz w:val="20"/>
          <w:szCs w:val="20"/>
          <w:color w:val="auto"/>
        </w:rPr>
      </w:pPr>
      <w:r>
        <w:rPr>
          <w:rFonts w:ascii="Arial" w:cs="Arial" w:eastAsia="Arial" w:hAnsi="Arial"/>
          <w:sz w:val="18"/>
          <w:szCs w:val="18"/>
          <w:color w:val="auto"/>
        </w:rPr>
        <w:t>Our future growth also depends upon our ability to add users and sell additional products to our existing customers. It is important for the future growth of our business that our existing customers make additional significant purchases of our products and add additional users to our platform. Although our customers, users, and revenue have grown rapidly in the past, in recent periods our slower growth rates have reflected the size and scale of our business, as well as our focus on our strategic products. We cannot be assured that we will achieve similar growth rates in future periods as our customers, users, and revenue could decline or grow more slowly than we expect. Our business also depends on retaining existing customers. If we do not retain customers, including due to the acquisition of our customers by other companies, our customers do not purchase additional products or we do not add additional users to our platform, our revenues may grow more slowly than expected, may not grow at all or may decline. Additionally, increasing incremental sales to our current customer base may require additional sales efforts that are targeted at senior management. There can be no assurance that our efforts will result in increased sales to existing customers or additional revenues.</w:t>
      </w:r>
    </w:p>
    <w:p>
      <w:pPr>
        <w:spacing w:after="0" w:line="293" w:lineRule="exact"/>
        <w:rPr>
          <w:sz w:val="20"/>
          <w:szCs w:val="20"/>
          <w:color w:val="auto"/>
        </w:rPr>
      </w:pPr>
    </w:p>
    <w:p>
      <w:pPr>
        <w:ind w:right="40"/>
        <w:spacing w:after="0" w:line="271" w:lineRule="auto"/>
        <w:rPr>
          <w:sz w:val="20"/>
          <w:szCs w:val="20"/>
          <w:color w:val="auto"/>
        </w:rPr>
      </w:pPr>
      <w:r>
        <w:rPr>
          <w:rFonts w:ascii="Arial" w:cs="Arial" w:eastAsia="Arial" w:hAnsi="Arial"/>
          <w:sz w:val="18"/>
          <w:szCs w:val="18"/>
          <w:b w:val="1"/>
          <w:bCs w:val="1"/>
          <w:i w:val="1"/>
          <w:iCs w:val="1"/>
          <w:color w:val="auto"/>
        </w:rPr>
        <w:t>Our business and growth depend substantially on customers renewing their subscription agreements with us and any decline in our customer renewals could adversely affect our future operating results.</w:t>
      </w:r>
    </w:p>
    <w:p>
      <w:pPr>
        <w:spacing w:after="0" w:line="68" w:lineRule="exact"/>
        <w:rPr>
          <w:sz w:val="20"/>
          <w:szCs w:val="20"/>
          <w:color w:val="auto"/>
        </w:rPr>
      </w:pPr>
    </w:p>
    <w:p>
      <w:pPr>
        <w:ind w:right="60" w:firstLine="518"/>
        <w:spacing w:after="0" w:line="236" w:lineRule="auto"/>
        <w:rPr>
          <w:sz w:val="20"/>
          <w:szCs w:val="20"/>
          <w:color w:val="auto"/>
        </w:rPr>
      </w:pPr>
      <w:r>
        <w:rPr>
          <w:rFonts w:ascii="Arial" w:cs="Arial" w:eastAsia="Arial" w:hAnsi="Arial"/>
          <w:sz w:val="18"/>
          <w:szCs w:val="18"/>
          <w:color w:val="auto"/>
        </w:rPr>
        <w:t>Our initial subscription period for the majority of our customers is one to three years. In order for us to continue to increase our revenue, it is important that our existing customers renew their subscription agreements when the initial contract term expires. Although our agreements typically include automatic renewal language, our customers may cancel their agreements at the expiration of the initial term. In addition, our customers may renew for fewer users, renew for shorter contract lengths or renew for fewer products or solutions. Renewal rates may decline or fluctuate as a result of a variety of factors, including satisfaction or dissatisfaction with our software or professional services, our pricing or pricing structure, the pricing or capabilities of products or services offered by our competitors, the effects of economic conditions, or reductions in our customers’ spending levels. As the markets for our existing solutions mature, or as current and future competitors introduce new products or services that compete with ours, we may experience pricing pressure and be unable to renew our agreements with existing customers or attract new customers at prices that are profitable to us. If this were to occur, it is possible that we would have to change our pricing model, offer price incentives or reduce our prices. If our customers do not renew their agreements with us or renew on terms less favorable to us, our revenues may decline.</w:t>
      </w:r>
    </w:p>
    <w:p>
      <w:pPr>
        <w:spacing w:after="0" w:line="20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2720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380"/>
          </w:cols>
          <w:pgMar w:left="240" w:top="657" w:right="279" w:bottom="1440" w:gutter="0" w:footer="0" w:header="0"/>
        </w:sectPr>
      </w:pPr>
    </w:p>
    <w:bookmarkStart w:id="10" w:name="page11"/>
    <w:bookmarkEnd w:id="10"/>
    <w:p>
      <w:pPr>
        <w:spacing w:after="0"/>
        <w:rPr>
          <w:sz w:val="20"/>
          <w:szCs w:val="20"/>
          <w:color w:val="auto"/>
        </w:rPr>
      </w:pPr>
      <w:r>
        <w:rPr>
          <w:rFonts w:ascii="Arial" w:cs="Arial" w:eastAsia="Arial" w:hAnsi="Arial"/>
          <w:sz w:val="18"/>
          <w:szCs w:val="18"/>
          <w:b w:val="1"/>
          <w:bCs w:val="1"/>
          <w:i w:val="1"/>
          <w:iCs w:val="1"/>
          <w:color w:val="auto"/>
        </w:rPr>
        <w:t>We have a history of losses and we may not be able to generate sufficient revenue to achieve or sustain profitability.</w:t>
      </w:r>
    </w:p>
    <w:p>
      <w:pPr>
        <w:spacing w:after="0" w:line="126" w:lineRule="exact"/>
        <w:rPr>
          <w:sz w:val="20"/>
          <w:szCs w:val="20"/>
          <w:color w:val="auto"/>
        </w:rPr>
      </w:pPr>
    </w:p>
    <w:p>
      <w:pPr>
        <w:ind w:firstLine="518"/>
        <w:spacing w:after="0" w:line="239" w:lineRule="auto"/>
        <w:rPr>
          <w:sz w:val="20"/>
          <w:szCs w:val="20"/>
          <w:color w:val="auto"/>
        </w:rPr>
      </w:pPr>
      <w:r>
        <w:rPr>
          <w:rFonts w:ascii="Arial" w:cs="Arial" w:eastAsia="Arial" w:hAnsi="Arial"/>
          <w:sz w:val="18"/>
          <w:szCs w:val="18"/>
          <w:color w:val="auto"/>
        </w:rPr>
        <w:t>We have incurred net losses attributable to BlackLine, Inc. in recent periods, including $32.5 million, $28.7 million, and $33.4 million for the years ended December 31, 2019, 2018, and 2017 respectively. We had an accumulated deficit of $163.6 million at December 31, 2019. We may not be able to generate sufficient revenue to achieve and sustain profitability. We also expect our costs to increase in future periods as we continue to expend substantial financial and other resources on:</w:t>
      </w:r>
    </w:p>
    <w:p>
      <w:pPr>
        <w:spacing w:after="0" w:line="94" w:lineRule="exact"/>
        <w:rPr>
          <w:sz w:val="20"/>
          <w:szCs w:val="20"/>
          <w:color w:val="auto"/>
        </w:rPr>
      </w:pPr>
    </w:p>
    <w:p>
      <w:pPr>
        <w:ind w:left="1040" w:right="160" w:hanging="519"/>
        <w:spacing w:after="0" w:line="246" w:lineRule="auto"/>
        <w:tabs>
          <w:tab w:leader="none" w:pos="10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development of our cloud-based platform, including investments in research and development, product innovation to expand the features and functionality of our software solutions and improvements to the scalability and security of our platform;</w:t>
      </w:r>
    </w:p>
    <w:p>
      <w:pPr>
        <w:spacing w:after="0" w:line="88" w:lineRule="exact"/>
        <w:rPr>
          <w:rFonts w:ascii="Arial" w:cs="Arial" w:eastAsia="Arial" w:hAnsi="Arial"/>
          <w:sz w:val="18"/>
          <w:szCs w:val="18"/>
          <w:color w:val="auto"/>
        </w:rPr>
      </w:pPr>
    </w:p>
    <w:p>
      <w:pPr>
        <w:ind w:left="1040" w:right="360" w:hanging="519"/>
        <w:spacing w:after="0" w:line="246" w:lineRule="auto"/>
        <w:tabs>
          <w:tab w:leader="none" w:pos="10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sales and marketing, including expansion of our direct sales force and our relationships with technology vendors, professional services firms, business process outsourcers and resellers;</w:t>
      </w:r>
    </w:p>
    <w:p>
      <w:pPr>
        <w:spacing w:after="0" w:line="88" w:lineRule="exact"/>
        <w:rPr>
          <w:rFonts w:ascii="Arial" w:cs="Arial" w:eastAsia="Arial" w:hAnsi="Arial"/>
          <w:sz w:val="18"/>
          <w:szCs w:val="18"/>
          <w:color w:val="auto"/>
        </w:rPr>
      </w:pPr>
    </w:p>
    <w:p>
      <w:pPr>
        <w:ind w:left="1040" w:hanging="519"/>
        <w:spacing w:after="0"/>
        <w:tabs>
          <w:tab w:leader="none" w:pos="10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additional international expansion in an effort to increase our customer base and sales; and</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general administration, including legal, accounting and other expenses related to being a public company.</w:t>
      </w:r>
    </w:p>
    <w:p>
      <w:pPr>
        <w:spacing w:after="0" w:line="225" w:lineRule="exact"/>
        <w:rPr>
          <w:sz w:val="20"/>
          <w:szCs w:val="20"/>
          <w:color w:val="auto"/>
        </w:rPr>
      </w:pPr>
    </w:p>
    <w:p>
      <w:pPr>
        <w:ind w:right="100" w:firstLine="518"/>
        <w:spacing w:after="0" w:line="246" w:lineRule="auto"/>
        <w:rPr>
          <w:sz w:val="20"/>
          <w:szCs w:val="20"/>
          <w:color w:val="auto"/>
        </w:rPr>
      </w:pPr>
      <w:r>
        <w:rPr>
          <w:rFonts w:ascii="Arial" w:cs="Arial" w:eastAsia="Arial" w:hAnsi="Arial"/>
          <w:sz w:val="18"/>
          <w:szCs w:val="18"/>
          <w:color w:val="auto"/>
        </w:rPr>
        <w:t>These investments may not result in increased revenue or growth of our business or any growth in revenue and may not be sufficient to offset the expense and may harm our profitability. If we fail to continue to grow our revenue, we may not achieve or sustain profitability.</w:t>
      </w:r>
    </w:p>
    <w:p>
      <w:pPr>
        <w:spacing w:after="0" w:line="283" w:lineRule="exact"/>
        <w:rPr>
          <w:sz w:val="20"/>
          <w:szCs w:val="20"/>
          <w:color w:val="auto"/>
        </w:rPr>
      </w:pPr>
    </w:p>
    <w:p>
      <w:pPr>
        <w:spacing w:after="0" w:line="271" w:lineRule="auto"/>
        <w:rPr>
          <w:sz w:val="20"/>
          <w:szCs w:val="20"/>
          <w:color w:val="auto"/>
        </w:rPr>
      </w:pPr>
      <w:r>
        <w:rPr>
          <w:rFonts w:ascii="Arial" w:cs="Arial" w:eastAsia="Arial" w:hAnsi="Arial"/>
          <w:sz w:val="18"/>
          <w:szCs w:val="18"/>
          <w:b w:val="1"/>
          <w:bCs w:val="1"/>
          <w:i w:val="1"/>
          <w:iCs w:val="1"/>
          <w:color w:val="auto"/>
        </w:rPr>
        <w:t>We continue to experience rapid growth and organizational change and if we fail to manage our growth effectively, we may be unable to execute our business plan.</w:t>
      </w:r>
    </w:p>
    <w:p>
      <w:pPr>
        <w:spacing w:after="0" w:line="68" w:lineRule="exact"/>
        <w:rPr>
          <w:sz w:val="20"/>
          <w:szCs w:val="20"/>
          <w:color w:val="auto"/>
        </w:rPr>
      </w:pPr>
    </w:p>
    <w:p>
      <w:pPr>
        <w:ind w:right="20" w:firstLine="518"/>
        <w:spacing w:after="0" w:line="236" w:lineRule="auto"/>
        <w:rPr>
          <w:sz w:val="20"/>
          <w:szCs w:val="20"/>
          <w:color w:val="auto"/>
        </w:rPr>
      </w:pPr>
      <w:r>
        <w:rPr>
          <w:rFonts w:ascii="Arial" w:cs="Arial" w:eastAsia="Arial" w:hAnsi="Arial"/>
          <w:sz w:val="18"/>
          <w:szCs w:val="18"/>
          <w:color w:val="auto"/>
        </w:rPr>
        <w:t>We increased our number of full-time employees from 183 at December 31, 2013 to 1,055 at December 31, 2019 as we have experienced growth in number of customers and expanded our operations. Our growth has placed, and may continue to place, a significant strain on our managerial, administrative, operational, financial and other resources. We intend to further expand our headcount and operations both domestically and internationally, with no assurance that our business or revenue will continue to grow. Continuing to create a global organization and managing a geographically dispersed workforce will require substantial management effort, the allocation of valuable management resources and significant additional investment in our infrastructure. We will be required to continually improve our operational, financial and management controls and our reporting procedures and we may not be able to do so effectively, which could negatively affect our results of operations and overall business. In addition, we may be unable to manage our expenses effectively in the future, which may negatively impact our gross margins or operating expenses in any particular quarter. Moreover, if we fail to manage our anticipated growth and change in a manner that preserves the key aspects of our corporate culture, the quality of our software solutions may suffer, which could negatively affect our brand and reputation and harm our ability to retain and attract customers.</w:t>
      </w:r>
    </w:p>
    <w:p>
      <w:pPr>
        <w:spacing w:after="0" w:line="292" w:lineRule="exact"/>
        <w:rPr>
          <w:sz w:val="20"/>
          <w:szCs w:val="20"/>
          <w:color w:val="auto"/>
        </w:rPr>
      </w:pPr>
    </w:p>
    <w:p>
      <w:pPr>
        <w:ind w:right="160"/>
        <w:spacing w:after="0" w:line="271" w:lineRule="auto"/>
        <w:rPr>
          <w:sz w:val="20"/>
          <w:szCs w:val="20"/>
          <w:color w:val="auto"/>
        </w:rPr>
      </w:pPr>
      <w:r>
        <w:rPr>
          <w:rFonts w:ascii="Arial" w:cs="Arial" w:eastAsia="Arial" w:hAnsi="Arial"/>
          <w:sz w:val="18"/>
          <w:szCs w:val="18"/>
          <w:b w:val="1"/>
          <w:bCs w:val="1"/>
          <w:i w:val="1"/>
          <w:iCs w:val="1"/>
          <w:color w:val="auto"/>
        </w:rPr>
        <w:t>Our quarterly results may fluctuate, and if we fail to meet the expectations of analysts or investors, our stock price and the value of your investment could decline substantially.</w:t>
      </w:r>
    </w:p>
    <w:p>
      <w:pPr>
        <w:spacing w:after="0" w:line="68" w:lineRule="exact"/>
        <w:rPr>
          <w:sz w:val="20"/>
          <w:szCs w:val="20"/>
          <w:color w:val="auto"/>
        </w:rPr>
      </w:pPr>
    </w:p>
    <w:p>
      <w:pPr>
        <w:ind w:right="240" w:firstLine="518"/>
        <w:spacing w:after="0" w:line="239" w:lineRule="auto"/>
        <w:rPr>
          <w:sz w:val="20"/>
          <w:szCs w:val="20"/>
          <w:color w:val="auto"/>
        </w:rPr>
      </w:pPr>
      <w:r>
        <w:rPr>
          <w:rFonts w:ascii="Arial" w:cs="Arial" w:eastAsia="Arial" w:hAnsi="Arial"/>
          <w:sz w:val="18"/>
          <w:szCs w:val="18"/>
          <w:color w:val="auto"/>
        </w:rPr>
        <w:t>Our quarterly financial results may fluctuate as a result of a variety of factors, many of which are outside of our control. If our quarterly financial results fall below the expectations of investors or any securities analysts who may follow our stock, the price of our common stock could decline substantially. Some of the important factors that may cause our revenue, operating results and cash flows to fluctuate from quarter to quarter include:</w:t>
      </w:r>
    </w:p>
    <w:p>
      <w:pPr>
        <w:spacing w:after="0" w:line="94" w:lineRule="exact"/>
        <w:rPr>
          <w:sz w:val="20"/>
          <w:szCs w:val="20"/>
          <w:color w:val="auto"/>
        </w:rPr>
      </w:pPr>
    </w:p>
    <w:p>
      <w:pPr>
        <w:ind w:left="1040" w:hanging="519"/>
        <w:spacing w:after="0"/>
        <w:tabs>
          <w:tab w:leader="none" w:pos="10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our ability to attract new customers and retain and increase sales to existing customers;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number of new employees added;</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rate of expansion and productivity of our sales force;</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long sales cycles and the timing of large contracts;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changes in our or our competitors’ pricing policies;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amount and timing of operating costs and capital expenditures related to the operations and expansion of our business;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new products, features or functionalities introduced by us and our competitors;</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2720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380"/>
          </w:cols>
          <w:pgMar w:left="240" w:top="657" w:right="279" w:bottom="1440" w:gutter="0" w:footer="0" w:header="0"/>
        </w:sectPr>
      </w:pPr>
    </w:p>
    <w:bookmarkStart w:id="11" w:name="page12"/>
    <w:bookmarkEnd w:id="11"/>
    <w:p>
      <w:pPr>
        <w:ind w:left="1040" w:hanging="519"/>
        <w:spacing w:after="0"/>
        <w:tabs>
          <w:tab w:leader="none" w:pos="10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significant security breaches, technical difficulties or interruptions to our platform;</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timing of customer payments and payment defaults by customers;</w:t>
      </w:r>
    </w:p>
    <w:p>
      <w:pPr>
        <w:spacing w:after="0" w:line="117" w:lineRule="exact"/>
        <w:rPr>
          <w:rFonts w:ascii="Arial" w:cs="Arial" w:eastAsia="Arial" w:hAnsi="Arial"/>
          <w:sz w:val="18"/>
          <w:szCs w:val="18"/>
          <w:color w:val="auto"/>
        </w:rPr>
      </w:pPr>
    </w:p>
    <w:p>
      <w:pPr>
        <w:ind w:left="1040" w:right="140" w:hanging="519"/>
        <w:spacing w:after="0" w:line="246" w:lineRule="auto"/>
        <w:tabs>
          <w:tab w:leader="none" w:pos="10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general economic conditions that may adversely affect either our customers’ ability or willingness to purchase additional products or services, delay a prospective customer’s purchasing decision or affect customer retention;</w:t>
      </w:r>
    </w:p>
    <w:p>
      <w:pPr>
        <w:spacing w:after="0" w:line="88" w:lineRule="exact"/>
        <w:rPr>
          <w:rFonts w:ascii="Arial" w:cs="Arial" w:eastAsia="Arial" w:hAnsi="Arial"/>
          <w:sz w:val="18"/>
          <w:szCs w:val="18"/>
          <w:color w:val="auto"/>
        </w:rPr>
      </w:pPr>
    </w:p>
    <w:p>
      <w:pPr>
        <w:ind w:left="1040" w:hanging="519"/>
        <w:spacing w:after="0"/>
        <w:tabs>
          <w:tab w:leader="none" w:pos="10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changes in foreign currency exchange rates;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impact of new accounting pronouncements;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impact and timing of taxes or changes in tax law;</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timing and the amount of grants or vesting of equity awards to employees;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seasonality of our business; and</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changes in customer buying patterns.</w:t>
      </w:r>
    </w:p>
    <w:p>
      <w:pPr>
        <w:spacing w:after="0" w:line="225" w:lineRule="exact"/>
        <w:rPr>
          <w:sz w:val="20"/>
          <w:szCs w:val="20"/>
          <w:color w:val="auto"/>
        </w:rPr>
      </w:pPr>
    </w:p>
    <w:p>
      <w:pPr>
        <w:ind w:right="100" w:firstLine="518"/>
        <w:spacing w:after="0"/>
        <w:rPr>
          <w:sz w:val="20"/>
          <w:szCs w:val="20"/>
          <w:color w:val="auto"/>
        </w:rPr>
      </w:pPr>
      <w:r>
        <w:rPr>
          <w:rFonts w:ascii="Arial" w:cs="Arial" w:eastAsia="Arial" w:hAnsi="Arial"/>
          <w:sz w:val="18"/>
          <w:szCs w:val="18"/>
          <w:color w:val="auto"/>
        </w:rPr>
        <w:t>Many of these factors are outside of our control, and the occurrence of one or more of them might cause our revenue, operating results, and cash flows to vary widely. As such, we believe that quarter-to-quarter comparisons of our revenue, operating results and cash flows may not be meaningful and should not be relied upon as an indication of future performance.</w:t>
      </w:r>
    </w:p>
    <w:p>
      <w:pPr>
        <w:spacing w:after="0" w:line="95" w:lineRule="exact"/>
        <w:rPr>
          <w:sz w:val="20"/>
          <w:szCs w:val="20"/>
          <w:color w:val="auto"/>
        </w:rPr>
      </w:pPr>
    </w:p>
    <w:p>
      <w:pPr>
        <w:ind w:firstLine="518"/>
        <w:spacing w:after="0" w:line="237" w:lineRule="auto"/>
        <w:rPr>
          <w:sz w:val="20"/>
          <w:szCs w:val="20"/>
          <w:color w:val="auto"/>
        </w:rPr>
      </w:pPr>
      <w:r>
        <w:rPr>
          <w:rFonts w:ascii="Arial" w:cs="Arial" w:eastAsia="Arial" w:hAnsi="Arial"/>
          <w:sz w:val="18"/>
          <w:szCs w:val="18"/>
          <w:color w:val="auto"/>
        </w:rPr>
        <w:t>We typically add fewer customers in the first quarter of the year than other quarters. We also experience a higher volume of sales at the end of each quarter and year, which is often the result of buying decisions by our customers. Seasonality may be reflected to a much lesser extent, and sometimes may not be immediately apparent, in our revenue, due to the fact that we recognize subscription revenue over the term of our agreements. We may also increase expenses in a period in anticipation of future revenues. Changes in the number of customers and users in different periods will cause fluctuations in our financial metrics and, to a lesser extent, revenues. Those changes and fluctuations in our expenses will affect our results on a quarterly basis, and will make forecasting our future operating results and financial metrics difficult.</w:t>
      </w:r>
    </w:p>
    <w:p>
      <w:pPr>
        <w:spacing w:after="0" w:line="291" w:lineRule="exact"/>
        <w:rPr>
          <w:sz w:val="20"/>
          <w:szCs w:val="20"/>
          <w:color w:val="auto"/>
        </w:rPr>
      </w:pPr>
    </w:p>
    <w:p>
      <w:pPr>
        <w:ind w:right="140"/>
        <w:spacing w:after="0" w:line="271" w:lineRule="auto"/>
        <w:rPr>
          <w:sz w:val="20"/>
          <w:szCs w:val="20"/>
          <w:color w:val="auto"/>
        </w:rPr>
      </w:pPr>
      <w:r>
        <w:rPr>
          <w:rFonts w:ascii="Arial" w:cs="Arial" w:eastAsia="Arial" w:hAnsi="Arial"/>
          <w:sz w:val="18"/>
          <w:szCs w:val="18"/>
          <w:b w:val="1"/>
          <w:bCs w:val="1"/>
          <w:i w:val="1"/>
          <w:iCs w:val="1"/>
          <w:color w:val="auto"/>
        </w:rPr>
        <w:t>If we are not able to provide successful enhancements, new features or modifications to our software solutions, our business could be adversely affected.</w:t>
      </w:r>
    </w:p>
    <w:p>
      <w:pPr>
        <w:spacing w:after="0" w:line="68" w:lineRule="exact"/>
        <w:rPr>
          <w:sz w:val="20"/>
          <w:szCs w:val="20"/>
          <w:color w:val="auto"/>
        </w:rPr>
      </w:pPr>
    </w:p>
    <w:p>
      <w:pPr>
        <w:ind w:firstLine="518"/>
        <w:spacing w:after="0" w:line="236" w:lineRule="auto"/>
        <w:rPr>
          <w:sz w:val="20"/>
          <w:szCs w:val="20"/>
          <w:color w:val="auto"/>
        </w:rPr>
      </w:pPr>
      <w:r>
        <w:rPr>
          <w:rFonts w:ascii="Arial" w:cs="Arial" w:eastAsia="Arial" w:hAnsi="Arial"/>
          <w:sz w:val="18"/>
          <w:szCs w:val="18"/>
          <w:color w:val="auto"/>
        </w:rPr>
        <w:t>If we are unable to provide enhancements and new features for our existing solutions or new solutions that achieve market acceptance or that keep pace with rapid technological developments, our business could be adversely affected. The success of enhancements, new products and solutions depends on several factors, including timely completion, introduction and market acceptance. We must continue to meet changing expectations and requirements of our customers and, because our platform is designed to operate on a variety of systems, we will need to continuously modify and enhance our solutions to keep pace with changes in internet-related hardware and other software, communication, browser and database technologies. Our platform is also designed to integrate with existing enterprise resource planning (“ERP”) systems such as NetSuite, Oracle, SAP and Workday, and will require modifications and enhancements as these systems change over time. Any failure of our solutions to operate effectively with future platforms and technologies could reduce the demand for our solutions or result in customer dissatisfaction. Furthermore, uncertainties about the timing and nature of new solutions or technologies, or modifications to existing solutions or technologies, could increase our research and development expenses. If we are not successful in developing modifications and enhancements to our solutions or if we fail to bring them to market in a timely fashion, our solutions may become less marketable, less competitive or obsolete, our revenue growth may be significantly impaired and our business could be adversely affected.</w:t>
      </w:r>
    </w:p>
    <w:p>
      <w:pPr>
        <w:spacing w:after="0" w:line="291" w:lineRule="exact"/>
        <w:rPr>
          <w:sz w:val="20"/>
          <w:szCs w:val="20"/>
          <w:color w:val="auto"/>
        </w:rPr>
      </w:pPr>
    </w:p>
    <w:p>
      <w:pPr>
        <w:ind w:right="120"/>
        <w:spacing w:after="0" w:line="271" w:lineRule="auto"/>
        <w:rPr>
          <w:sz w:val="20"/>
          <w:szCs w:val="20"/>
          <w:color w:val="auto"/>
        </w:rPr>
      </w:pPr>
      <w:r>
        <w:rPr>
          <w:rFonts w:ascii="Arial" w:cs="Arial" w:eastAsia="Arial" w:hAnsi="Arial"/>
          <w:sz w:val="18"/>
          <w:szCs w:val="18"/>
          <w:b w:val="1"/>
          <w:bCs w:val="1"/>
          <w:i w:val="1"/>
          <w:iCs w:val="1"/>
          <w:color w:val="auto"/>
        </w:rPr>
        <w:t>We derive substantially all of our revenues from a limited number of software solutions, and our future growth is dependent on their success.</w:t>
      </w:r>
    </w:p>
    <w:p>
      <w:pPr>
        <w:spacing w:after="0" w:line="68" w:lineRule="exact"/>
        <w:rPr>
          <w:sz w:val="20"/>
          <w:szCs w:val="20"/>
          <w:color w:val="auto"/>
        </w:rPr>
      </w:pPr>
    </w:p>
    <w:p>
      <w:pPr>
        <w:ind w:right="200" w:firstLine="518"/>
        <w:spacing w:after="0" w:line="239" w:lineRule="auto"/>
        <w:rPr>
          <w:sz w:val="20"/>
          <w:szCs w:val="20"/>
          <w:color w:val="auto"/>
        </w:rPr>
      </w:pPr>
      <w:r>
        <w:rPr>
          <w:rFonts w:ascii="Arial" w:cs="Arial" w:eastAsia="Arial" w:hAnsi="Arial"/>
          <w:sz w:val="18"/>
          <w:szCs w:val="18"/>
          <w:color w:val="auto"/>
        </w:rPr>
        <w:t>We currently derive and expect to continue to derive substantially all of our revenues from our Close Process Management solution. As such, the continued growth in market demand for this solution is critical to our continued success. In 2016, we introduced two software solutions, Intercompany Hub and Smart Close, and one software product, Insights, but cannot be certain that they will generate significant revenues. Accordingly, our business and financial results have been and will be substantially dependent on a limited number of solutions.</w:t>
      </w:r>
    </w:p>
    <w:p>
      <w:pPr>
        <w:spacing w:after="0" w:line="2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2720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463" w:right="239" w:bottom="1440" w:gutter="0" w:footer="0" w:header="0"/>
        </w:sectPr>
      </w:pPr>
    </w:p>
    <w:bookmarkStart w:id="12" w:name="page13"/>
    <w:bookmarkEnd w:id="12"/>
    <w:p>
      <w:pPr>
        <w:ind w:right="120"/>
        <w:spacing w:after="0" w:line="271" w:lineRule="auto"/>
        <w:rPr>
          <w:sz w:val="20"/>
          <w:szCs w:val="20"/>
          <w:color w:val="auto"/>
        </w:rPr>
      </w:pPr>
      <w:r>
        <w:rPr>
          <w:rFonts w:ascii="Arial" w:cs="Arial" w:eastAsia="Arial" w:hAnsi="Arial"/>
          <w:sz w:val="18"/>
          <w:szCs w:val="18"/>
          <w:b w:val="1"/>
          <w:bCs w:val="1"/>
          <w:i w:val="1"/>
          <w:iCs w:val="1"/>
          <w:color w:val="auto"/>
        </w:rPr>
        <w:t>If our relationships with technology vendors and business process outsourcers are not successful, our business and growth will be harmed.</w:t>
      </w:r>
    </w:p>
    <w:p>
      <w:pPr>
        <w:spacing w:after="0" w:line="68" w:lineRule="exact"/>
        <w:rPr>
          <w:sz w:val="20"/>
          <w:szCs w:val="20"/>
          <w:color w:val="auto"/>
        </w:rPr>
      </w:pPr>
    </w:p>
    <w:p>
      <w:pPr>
        <w:ind w:firstLine="518"/>
        <w:spacing w:after="0" w:line="236" w:lineRule="auto"/>
        <w:rPr>
          <w:sz w:val="20"/>
          <w:szCs w:val="20"/>
          <w:color w:val="auto"/>
        </w:rPr>
      </w:pPr>
      <w:r>
        <w:rPr>
          <w:rFonts w:ascii="Arial" w:cs="Arial" w:eastAsia="Arial" w:hAnsi="Arial"/>
          <w:sz w:val="18"/>
          <w:szCs w:val="18"/>
          <w:color w:val="auto"/>
        </w:rPr>
        <w:t>We depend on, and anticipate that we will continue to depend on, various strategic relationships in order to sustain and grow our business. We have established strong relationships with technology vendors such as SAP and NetSuite to market our solutions to users of their ERP solutions, and professional services firms such as Deloitte, Ernst &amp; Young, and KPMG, and business process outsourcers such as Cognizant, Genpact and IBM to supplement delivery and implementation of our applications. We believe these relationships enable us to effectively market our solutions by offering a complementary suite of services. In particular, our solution is an SAP-endorsed business solution that integrates with SAP’s ERP solutions. In the fourth quarter of 2018, SAP became part of the reseller channel that we use in the ordinary course of business. SAP has the ability to resell our accounting solutions, for which we receive a percentage of the revenues. Since October 1, 2018, we are no longer obligated to pay SAP a fee based on a percentage of revenues from our customers that use an SAP ERP solution. If we are unsuccessful in maintaining our relationship with SAP, if our reseller arrangement with SAP is less successful than we anticipate, if our customers that use an SAP ERP solution do not renew their subscriptions directly with us and instead purchase our solution through the SAP reseller channel or if we are unsuccessful in supporting or expanding our relationships with other companies, our business would be adversely affected.</w:t>
      </w:r>
    </w:p>
    <w:p>
      <w:pPr>
        <w:spacing w:after="0" w:line="205" w:lineRule="exact"/>
        <w:rPr>
          <w:sz w:val="20"/>
          <w:szCs w:val="20"/>
          <w:color w:val="auto"/>
        </w:rPr>
      </w:pPr>
    </w:p>
    <w:p>
      <w:pPr>
        <w:ind w:right="40" w:firstLine="518"/>
        <w:spacing w:after="0" w:line="236" w:lineRule="auto"/>
        <w:rPr>
          <w:sz w:val="20"/>
          <w:szCs w:val="20"/>
          <w:color w:val="auto"/>
        </w:rPr>
      </w:pPr>
      <w:r>
        <w:rPr>
          <w:rFonts w:ascii="Arial" w:cs="Arial" w:eastAsia="Arial" w:hAnsi="Arial"/>
          <w:sz w:val="18"/>
          <w:szCs w:val="18"/>
          <w:color w:val="auto"/>
        </w:rPr>
        <w:t>Identifying, negotiating and documenting relationships with other companies require significant time and resources. Our agreements with technology vendors are typically limited in duration, non-exclusive, cancellable upon notice and do not prohibit the counterparties from working with our competitors or from offering competing services. For example, our agreement with SAP can be terminated by either party upon six months’ notice and there is no assurance that our relationship with SAP will continue. If our solution is no longer an SAP-endorsed business solution, our business could be adversely affected. Our competitors may be effective in providing incentives to third parties to favor their products or services or to prevent or reduce subscriptions to our platform. If we are unsuccessful in establishing or maintaining our relationships, or if the counterparties to our relationships offer competing solutions, our ability to compete in the marketplace or to grow our revenue could be impaired and our operating results could suffer. Even if we are successful, we cannot assure you that these relationships will result in improved operating results.</w:t>
      </w:r>
    </w:p>
    <w:p>
      <w:pPr>
        <w:spacing w:after="0" w:line="294" w:lineRule="exact"/>
        <w:rPr>
          <w:sz w:val="20"/>
          <w:szCs w:val="20"/>
          <w:color w:val="auto"/>
        </w:rPr>
      </w:pPr>
    </w:p>
    <w:p>
      <w:pPr>
        <w:jc w:val="both"/>
        <w:ind w:right="520"/>
        <w:spacing w:after="0" w:line="253" w:lineRule="auto"/>
        <w:rPr>
          <w:sz w:val="20"/>
          <w:szCs w:val="20"/>
          <w:color w:val="auto"/>
        </w:rPr>
      </w:pPr>
      <w:r>
        <w:rPr>
          <w:rFonts w:ascii="Arial" w:cs="Arial" w:eastAsia="Arial" w:hAnsi="Arial"/>
          <w:sz w:val="18"/>
          <w:szCs w:val="18"/>
          <w:b w:val="1"/>
          <w:bCs w:val="1"/>
          <w:i w:val="1"/>
          <w:iCs w:val="1"/>
          <w:color w:val="auto"/>
        </w:rPr>
        <w:t>If our security controls are breached or unauthorized, or inadvertent access to customer, employee or other confidential data is otherwise obtained, our software solutions may be perceived as insecure, we may lose existing customers or fail to attract new customers, our business may be harmed and we may incur significant liabilities.</w:t>
      </w:r>
    </w:p>
    <w:p>
      <w:pPr>
        <w:spacing w:after="0" w:line="83" w:lineRule="exact"/>
        <w:rPr>
          <w:sz w:val="20"/>
          <w:szCs w:val="20"/>
          <w:color w:val="auto"/>
        </w:rPr>
      </w:pPr>
    </w:p>
    <w:p>
      <w:pPr>
        <w:ind w:firstLine="518"/>
        <w:spacing w:after="0" w:line="237" w:lineRule="auto"/>
        <w:rPr>
          <w:sz w:val="20"/>
          <w:szCs w:val="20"/>
          <w:color w:val="auto"/>
        </w:rPr>
      </w:pPr>
      <w:r>
        <w:rPr>
          <w:rFonts w:ascii="Arial" w:cs="Arial" w:eastAsia="Arial" w:hAnsi="Arial"/>
          <w:sz w:val="18"/>
          <w:szCs w:val="18"/>
          <w:color w:val="auto"/>
        </w:rPr>
        <w:t>Use of our platform involves the storage, transmission and processing of our customers’ proprietary data, including highly confidential financial information regarding their business and personal or identifying information regarding their customers or employees. Our platform is at risk for breaches as a result of third-party action, employee, vendor or contractor error, malfeasance or other factors. If any unauthorized or inadvertent access to or a security breach of our platform occurs, or is believed to occur, such an event could result in the loss of data, loss of business, severe reputational damage adversely affecting customer or investor confidence, regulatory investigations and orders, litigation, indemnity obligations, damages for contract breach or penalties for violation of applicable laws or regulations. As we rely more on third-party and public-cloud infrastructure, such as Google Cloud Platform, and other third-party service providers, we will become more dependent on third-party security measures to protect against unauthorized access, cyberattacks and the mishandling of customer, employee and other confidential data and we may be required to expend significant time and resources to address any incidents related to the failure of those third-party security measures. We may also suffer breaches of our internal systems. Security breaches of our platform or our internal systems could also result in significant costs for remediation that may include liability for stolen assets or information and repair of system damage that may have been caused, incentives offered to customers or other business partners in an effort to maintain business relationships after a breach, and other liabilities.</w:t>
      </w:r>
    </w:p>
    <w:p>
      <w:pPr>
        <w:spacing w:after="0" w:line="206" w:lineRule="exact"/>
        <w:rPr>
          <w:sz w:val="20"/>
          <w:szCs w:val="20"/>
          <w:color w:val="auto"/>
        </w:rPr>
      </w:pPr>
    </w:p>
    <w:p>
      <w:pPr>
        <w:ind w:right="40" w:firstLine="518"/>
        <w:spacing w:after="0" w:line="239" w:lineRule="auto"/>
        <w:rPr>
          <w:sz w:val="20"/>
          <w:szCs w:val="20"/>
          <w:color w:val="auto"/>
        </w:rPr>
      </w:pPr>
      <w:r>
        <w:rPr>
          <w:rFonts w:ascii="Arial" w:cs="Arial" w:eastAsia="Arial" w:hAnsi="Arial"/>
          <w:sz w:val="18"/>
          <w:szCs w:val="18"/>
          <w:color w:val="auto"/>
        </w:rPr>
        <w:t>Additionally, many jurisdictions have enacted or may enact laws and regulations requiring companies to notify individuals of data security breaches involving certain types of personal data. These mandatory disclosures regarding a security breach could result in negative publicity to us, which may cause our customers to lose confidence in the effectiveness of our data security measures which could impact our operating results.</w:t>
      </w:r>
    </w:p>
    <w:p>
      <w:pPr>
        <w:spacing w:after="0" w:line="202" w:lineRule="exact"/>
        <w:rPr>
          <w:sz w:val="20"/>
          <w:szCs w:val="20"/>
          <w:color w:val="auto"/>
        </w:rPr>
      </w:pPr>
    </w:p>
    <w:p>
      <w:pPr>
        <w:ind w:right="160" w:firstLine="518"/>
        <w:spacing w:after="0" w:line="239" w:lineRule="auto"/>
        <w:rPr>
          <w:sz w:val="20"/>
          <w:szCs w:val="20"/>
          <w:color w:val="auto"/>
        </w:rPr>
      </w:pPr>
      <w:r>
        <w:rPr>
          <w:rFonts w:ascii="Arial" w:cs="Arial" w:eastAsia="Arial" w:hAnsi="Arial"/>
          <w:sz w:val="18"/>
          <w:szCs w:val="18"/>
          <w:color w:val="auto"/>
        </w:rPr>
        <w:t>We incur significant expenses to prevent security breaches, including deploying additional personnel and protection technologies, training employees, and engaging third-party experts and contractors. If a high profile security breach occurs with respect to another Software as a Service (“SaaS”) provider or other technology companies, our clients and potential clients may lose trust in the security of our platform or in the SaaS business model generally, which could</w:t>
      </w:r>
    </w:p>
    <w:p>
      <w:pPr>
        <w:spacing w:after="0" w:line="2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2720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657" w:right="239" w:bottom="1440" w:gutter="0" w:footer="0" w:header="0"/>
        </w:sectPr>
      </w:pPr>
    </w:p>
    <w:bookmarkStart w:id="13" w:name="page14"/>
    <w:bookmarkEnd w:id="13"/>
    <w:p>
      <w:pPr>
        <w:spacing w:after="0" w:line="238" w:lineRule="auto"/>
        <w:rPr>
          <w:sz w:val="20"/>
          <w:szCs w:val="20"/>
          <w:color w:val="auto"/>
        </w:rPr>
      </w:pPr>
      <w:r>
        <w:rPr>
          <w:rFonts w:ascii="Arial" w:cs="Arial" w:eastAsia="Arial" w:hAnsi="Arial"/>
          <w:sz w:val="18"/>
          <w:szCs w:val="18"/>
          <w:color w:val="auto"/>
        </w:rPr>
        <w:t>adversely impact our ability to retain existing clients or attract new ones. Even in the absence of any security breach, customer concerns about, privacy, security, or data protection may deter them from using our platform for activities that involve personal or other sensitive information. Our errors and omissions insurance policies covering certain security and privacy damages and claim expenses may not be sufficient to compensate for all potential liability. Although we maintain cyber liability insurance, we cannot be certain that our coverage will be adequate for liabilities actually incurred or that insurance will continue to be available to us on economically reasonable terms, or at all.</w:t>
      </w:r>
    </w:p>
    <w:p>
      <w:pPr>
        <w:spacing w:after="0" w:line="203" w:lineRule="exact"/>
        <w:rPr>
          <w:sz w:val="20"/>
          <w:szCs w:val="20"/>
          <w:color w:val="auto"/>
        </w:rPr>
      </w:pPr>
    </w:p>
    <w:p>
      <w:pPr>
        <w:ind w:firstLine="518"/>
        <w:spacing w:after="0" w:line="236" w:lineRule="auto"/>
        <w:rPr>
          <w:sz w:val="20"/>
          <w:szCs w:val="20"/>
          <w:color w:val="auto"/>
        </w:rPr>
      </w:pPr>
      <w:r>
        <w:rPr>
          <w:rFonts w:ascii="Arial" w:cs="Arial" w:eastAsia="Arial" w:hAnsi="Arial"/>
          <w:sz w:val="18"/>
          <w:szCs w:val="18"/>
          <w:color w:val="auto"/>
        </w:rPr>
        <w:t>Because the techniques used to obtain unauthorized access or to sabotage systems change frequently and generally are not identified until they are launched against a target, we may be unable to anticipate these techniques or to implement adequate preventative measures. We may also experience security breaches that may remain undetected for an extended period. From time to time, we experience cyber security events including directed “phishing” attacks against our employees, web attacks and other information technology incidents that are typical for a SaaS company of our size. These threats continue to evolve in sophistication and volume and are difficult to detect and predict due to advances in computer capabilities, new discoveries in the field of cryptography and new and sophisticated methods used by criminals including phishing, social engineering or other illicit acts. There can be no assurances that our defensive measures will prevent cyber-attacks and any incidents could damage our brand and reputation and negatively impact our business.</w:t>
      </w:r>
    </w:p>
    <w:p>
      <w:pPr>
        <w:spacing w:after="0" w:line="208" w:lineRule="exact"/>
        <w:rPr>
          <w:sz w:val="20"/>
          <w:szCs w:val="20"/>
          <w:color w:val="auto"/>
        </w:rPr>
      </w:pPr>
    </w:p>
    <w:p>
      <w:pPr>
        <w:ind w:right="220" w:firstLine="518"/>
        <w:spacing w:after="0" w:line="237" w:lineRule="auto"/>
        <w:rPr>
          <w:sz w:val="20"/>
          <w:szCs w:val="20"/>
          <w:color w:val="auto"/>
        </w:rPr>
      </w:pPr>
      <w:r>
        <w:rPr>
          <w:rFonts w:ascii="Arial" w:cs="Arial" w:eastAsia="Arial" w:hAnsi="Arial"/>
          <w:sz w:val="18"/>
          <w:szCs w:val="18"/>
          <w:color w:val="auto"/>
        </w:rPr>
        <w:t>Because data security is a critical competitive factor in our industry, we make numerous statements in our privacy policy and customer agreements, through our certifications to privacy standards and in our marketing materials, providing assurances about the security of our platform including detailed descriptions of security measures we employ. Should any of these statements be untrue or become untrue, even through circumstances beyond our reasonable control, we may face claims of misrepresentation or deceptiveness by the U.S. Federal Trade Commission, state and foreign regulators and private litigants. Our errors and omissions insurance coverage covering privacy, security, and data protection damages and claim expenses may not be sufficient to compensate for all liabilities.</w:t>
      </w:r>
    </w:p>
    <w:p>
      <w:pPr>
        <w:spacing w:after="0" w:line="291" w:lineRule="exact"/>
        <w:rPr>
          <w:sz w:val="20"/>
          <w:szCs w:val="20"/>
          <w:color w:val="auto"/>
        </w:rPr>
      </w:pPr>
    </w:p>
    <w:p>
      <w:pPr>
        <w:ind w:right="320"/>
        <w:spacing w:after="0" w:line="271" w:lineRule="auto"/>
        <w:rPr>
          <w:sz w:val="20"/>
          <w:szCs w:val="20"/>
          <w:color w:val="auto"/>
        </w:rPr>
      </w:pPr>
      <w:r>
        <w:rPr>
          <w:rFonts w:ascii="Arial" w:cs="Arial" w:eastAsia="Arial" w:hAnsi="Arial"/>
          <w:sz w:val="18"/>
          <w:szCs w:val="18"/>
          <w:b w:val="1"/>
          <w:bCs w:val="1"/>
          <w:i w:val="1"/>
          <w:iCs w:val="1"/>
          <w:color w:val="auto"/>
        </w:rPr>
        <w:t>Interruptions or performance problems associated with our software solutions, platform and technology may adversely affect our business and operating results.</w:t>
      </w:r>
    </w:p>
    <w:p>
      <w:pPr>
        <w:spacing w:after="0" w:line="68" w:lineRule="exact"/>
        <w:rPr>
          <w:sz w:val="20"/>
          <w:szCs w:val="20"/>
          <w:color w:val="auto"/>
        </w:rPr>
      </w:pPr>
    </w:p>
    <w:p>
      <w:pPr>
        <w:ind w:right="40" w:firstLine="518"/>
        <w:spacing w:after="0" w:line="236" w:lineRule="auto"/>
        <w:rPr>
          <w:sz w:val="20"/>
          <w:szCs w:val="20"/>
          <w:color w:val="auto"/>
        </w:rPr>
      </w:pPr>
      <w:r>
        <w:rPr>
          <w:rFonts w:ascii="Arial" w:cs="Arial" w:eastAsia="Arial" w:hAnsi="Arial"/>
          <w:sz w:val="18"/>
          <w:szCs w:val="18"/>
          <w:color w:val="auto"/>
        </w:rPr>
        <w:t>Our continued growth depends in part on the ability of our existing and potential customers to access our platform at any time. Our platform is proprietary, and we rely on the expertise of members of our engineering, operations and software development teams for its continued performance. We have experienced, and may in the future experience, disruptions, outages and other performance problems due to a variety of factors, including infrastructure changes, introductions of new functionality, human or software errors, capacity constraints due to an overwhelming number of users accessing our platform simultaneously, denial of service attacks or other security related incidents. In some instances, we may not be able to identify the cause or causes of these performance problems within an acceptable period of time. Because of the seasonal nature of financial close activities, increasing complexity of our platform and expanding user population, it may become difficult to accurately predict and timely address performance and capacity needs during peak load times. If our platform is unavailable or if our users are unable to access it within a reasonable amount of time or at all, our business would be harmed. In addition, our infrastructure does not currently include the real-time mirroring of data. Therefore, in the event of any of the factors described above, or other failures of our infrastructure, customer data may be permanently lost. Our customer agreements typically include performance guarantees and service level standards that obligate us to provide credits in the event of a significant disruption in our platform. To the extent that we do not effectively address capacity constraints, upgrade our systems and continually develop our technology and network architecture to accommodate actual and anticipated changes in technology, our business and operating results may be adversely affected.</w:t>
      </w:r>
    </w:p>
    <w:p>
      <w:pPr>
        <w:spacing w:after="0" w:line="289" w:lineRule="exact"/>
        <w:rPr>
          <w:sz w:val="20"/>
          <w:szCs w:val="20"/>
          <w:color w:val="auto"/>
        </w:rPr>
      </w:pPr>
    </w:p>
    <w:p>
      <w:pPr>
        <w:ind w:right="360"/>
        <w:spacing w:after="0" w:line="271" w:lineRule="auto"/>
        <w:rPr>
          <w:sz w:val="20"/>
          <w:szCs w:val="20"/>
          <w:color w:val="auto"/>
        </w:rPr>
      </w:pPr>
      <w:r>
        <w:rPr>
          <w:rFonts w:ascii="Arial" w:cs="Arial" w:eastAsia="Arial" w:hAnsi="Arial"/>
          <w:sz w:val="18"/>
          <w:szCs w:val="18"/>
          <w:b w:val="1"/>
          <w:bCs w:val="1"/>
          <w:i w:val="1"/>
          <w:iCs w:val="1"/>
          <w:color w:val="auto"/>
        </w:rPr>
        <w:t>If our software contains serious errors or defects, we may lose revenue and market acceptance and may incur costs to defend or settle product liability claims.</w:t>
      </w:r>
    </w:p>
    <w:p>
      <w:pPr>
        <w:spacing w:after="0" w:line="68" w:lineRule="exact"/>
        <w:rPr>
          <w:sz w:val="20"/>
          <w:szCs w:val="20"/>
          <w:color w:val="auto"/>
        </w:rPr>
      </w:pPr>
    </w:p>
    <w:p>
      <w:pPr>
        <w:ind w:right="80" w:firstLine="518"/>
        <w:spacing w:after="0"/>
        <w:rPr>
          <w:sz w:val="20"/>
          <w:szCs w:val="20"/>
          <w:color w:val="auto"/>
        </w:rPr>
      </w:pPr>
      <w:r>
        <w:rPr>
          <w:rFonts w:ascii="Arial" w:cs="Arial" w:eastAsia="Arial" w:hAnsi="Arial"/>
          <w:sz w:val="18"/>
          <w:szCs w:val="18"/>
          <w:color w:val="auto"/>
        </w:rPr>
        <w:t>Complex software such as ours often contains errors or defects, particularly when first introduced or when new versions or enhancements are released. Despite internal and third-party testing and testing by our customers, our current and future software may contain serious defects, which could result in lost revenue or a delay in market acceptance.</w:t>
      </w:r>
    </w:p>
    <w:p>
      <w:pPr>
        <w:spacing w:after="0" w:line="203" w:lineRule="exact"/>
        <w:rPr>
          <w:sz w:val="20"/>
          <w:szCs w:val="20"/>
          <w:color w:val="auto"/>
        </w:rPr>
      </w:pPr>
    </w:p>
    <w:p>
      <w:pPr>
        <w:ind w:right="140" w:firstLine="518"/>
        <w:spacing w:after="0" w:line="237" w:lineRule="auto"/>
        <w:rPr>
          <w:sz w:val="20"/>
          <w:szCs w:val="20"/>
          <w:color w:val="auto"/>
        </w:rPr>
      </w:pPr>
      <w:r>
        <w:rPr>
          <w:rFonts w:ascii="Arial" w:cs="Arial" w:eastAsia="Arial" w:hAnsi="Arial"/>
          <w:sz w:val="18"/>
          <w:szCs w:val="18"/>
          <w:color w:val="auto"/>
        </w:rPr>
        <w:t>Since our customers use our platform for critical business functions such as assisting in the financial close or account reconciliation process, errors, defects or other performance problems could result in damage to our customers. They could seek significant compensation from us for the losses they suffer. Although our customer agreements typically contain provisions designed to limit our exposure to product liability claims, existing or future laws or unfavorable judicial decisions could negate these limitations. Even if not successful, a product liability claim brought against us would likely be time-consuming and costly and could seriously damage our reputation in the marketplace, making it harder for us to sell our products.</w:t>
      </w:r>
    </w:p>
    <w:p>
      <w:pPr>
        <w:spacing w:after="0" w:line="20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2720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00"/>
          </w:cols>
          <w:pgMar w:left="240" w:top="571" w:right="259" w:bottom="1440" w:gutter="0" w:footer="0" w:header="0"/>
        </w:sectPr>
      </w:pPr>
    </w:p>
    <w:bookmarkStart w:id="14" w:name="page15"/>
    <w:bookmarkEnd w:id="14"/>
    <w:p>
      <w:pPr>
        <w:ind w:right="500"/>
        <w:spacing w:after="0" w:line="271" w:lineRule="auto"/>
        <w:rPr>
          <w:sz w:val="20"/>
          <w:szCs w:val="20"/>
          <w:color w:val="auto"/>
        </w:rPr>
      </w:pPr>
      <w:r>
        <w:rPr>
          <w:rFonts w:ascii="Arial" w:cs="Arial" w:eastAsia="Arial" w:hAnsi="Arial"/>
          <w:sz w:val="18"/>
          <w:szCs w:val="18"/>
          <w:b w:val="1"/>
          <w:bCs w:val="1"/>
          <w:i w:val="1"/>
          <w:iCs w:val="1"/>
          <w:color w:val="auto"/>
        </w:rPr>
        <w:t>We depend on our executive officers and other key employees and the loss of one or more of these employees or an inability to attract and retain highly-skilled employees could adversely affect our business.</w:t>
      </w:r>
    </w:p>
    <w:p>
      <w:pPr>
        <w:spacing w:after="0" w:line="68" w:lineRule="exact"/>
        <w:rPr>
          <w:sz w:val="20"/>
          <w:szCs w:val="20"/>
          <w:color w:val="auto"/>
        </w:rPr>
      </w:pPr>
    </w:p>
    <w:p>
      <w:pPr>
        <w:ind w:right="20" w:firstLine="518"/>
        <w:spacing w:after="0" w:line="236" w:lineRule="auto"/>
        <w:rPr>
          <w:sz w:val="20"/>
          <w:szCs w:val="20"/>
          <w:color w:val="auto"/>
        </w:rPr>
      </w:pPr>
      <w:r>
        <w:rPr>
          <w:rFonts w:ascii="Arial" w:cs="Arial" w:eastAsia="Arial" w:hAnsi="Arial"/>
          <w:sz w:val="18"/>
          <w:szCs w:val="18"/>
          <w:color w:val="auto"/>
        </w:rPr>
        <w:t>Our success depends largely upon the continued services of our executive officers and other key employees. We rely on our leadership team in the areas of research and development, operations, security, marketing, sales and general and administrative functions, many of whom are new. In particular, our founder and Chief Executive Officer provides our strategic direction and has built and maintained what we believe is an attractive workplace culture. Any failure to preserve our culture could negatively affect our ability to recruit and retain personnel. There recently have been, and from time to time in the future, there may be, changes in our executive management team resulting from the hiring or departure of executives, which could disrupt our business. Key members of our current management and finance teams have only been working together for a relatively short period of time. If we are not successful in integrating these key employees into our organization, such failure could disrupt our business operations. We do not have employment agreements with our executive officers or other key personnel that require them to continue to work for us for any specified period and, therefore, they could terminate their employment with us at any time. The loss of one or more of our executive officers or key employees, especially our founder and Chief Executive Officer, could have an adverse effect on our business.</w:t>
      </w:r>
    </w:p>
    <w:p>
      <w:pPr>
        <w:spacing w:after="0" w:line="206" w:lineRule="exact"/>
        <w:rPr>
          <w:sz w:val="20"/>
          <w:szCs w:val="20"/>
          <w:color w:val="auto"/>
        </w:rPr>
      </w:pPr>
    </w:p>
    <w:p>
      <w:pPr>
        <w:ind w:firstLine="518"/>
        <w:spacing w:after="0" w:line="236" w:lineRule="auto"/>
        <w:rPr>
          <w:sz w:val="20"/>
          <w:szCs w:val="20"/>
          <w:color w:val="auto"/>
        </w:rPr>
      </w:pPr>
      <w:r>
        <w:rPr>
          <w:rFonts w:ascii="Arial" w:cs="Arial" w:eastAsia="Arial" w:hAnsi="Arial"/>
          <w:sz w:val="18"/>
          <w:szCs w:val="18"/>
          <w:color w:val="auto"/>
        </w:rPr>
        <w:t>In addition, to execute our growth plan, we must attract and retain highly-qualified personnel. Competition for personnel is intense, especially for engineers experienced in designing and developing software applications, and experienced sales professionals. We have, from time to time experienced, and we expect to continue to experience, difficulty in hiring and retaining employees with appropriate qualifications. Many of the companies with which we compete for experienced personnel have greater resources than we have. If we hire employees from competitors or other companies, their former employers may attempt to assert that these employees or we have breached their legal obligations, resulting in a diversion of our time and resources. Likewise, if competitors hire our employees, we may divert time and resources to deterring any breach by our former employees or their new employers of their legal obligations. Given the competitive nature of our industry, we have both received and asserted such claims in the past. In addition, job candidates and existing employees often consider the value of the equity awards they receive in connection with their employment. If the perceived value of our equity awards declines, it may adversely affect our ability to recruit and retain highly-skilled employees. If we fail to attract new personnel or fail to retain and motivate our current personnel, our business and future growth prospects could be adversely affected.</w:t>
      </w:r>
    </w:p>
    <w:p>
      <w:pPr>
        <w:spacing w:after="0" w:line="292" w:lineRule="exact"/>
        <w:rPr>
          <w:sz w:val="20"/>
          <w:szCs w:val="20"/>
          <w:color w:val="auto"/>
        </w:rPr>
      </w:pPr>
    </w:p>
    <w:p>
      <w:pPr>
        <w:ind w:right="420"/>
        <w:spacing w:after="0" w:line="253" w:lineRule="auto"/>
        <w:rPr>
          <w:sz w:val="20"/>
          <w:szCs w:val="20"/>
          <w:color w:val="auto"/>
        </w:rPr>
      </w:pPr>
      <w:r>
        <w:rPr>
          <w:rFonts w:ascii="Arial" w:cs="Arial" w:eastAsia="Arial" w:hAnsi="Arial"/>
          <w:sz w:val="18"/>
          <w:szCs w:val="18"/>
          <w:b w:val="1"/>
          <w:bCs w:val="1"/>
          <w:i w:val="1"/>
          <w:iCs w:val="1"/>
          <w:color w:val="auto"/>
        </w:rPr>
        <w:t>If our industry does not continue to develop as we anticipate or if potential customers do not continue to adopt our platform, our sales would not grow as quickly as expected, or at all, and our business and operating results and financial condition would be adversely affected.</w:t>
      </w:r>
    </w:p>
    <w:p>
      <w:pPr>
        <w:spacing w:after="0" w:line="83" w:lineRule="exact"/>
        <w:rPr>
          <w:sz w:val="20"/>
          <w:szCs w:val="20"/>
          <w:color w:val="auto"/>
        </w:rPr>
      </w:pPr>
    </w:p>
    <w:p>
      <w:pPr>
        <w:ind w:right="160" w:firstLine="518"/>
        <w:spacing w:after="0" w:line="236" w:lineRule="auto"/>
        <w:rPr>
          <w:sz w:val="20"/>
          <w:szCs w:val="20"/>
          <w:color w:val="auto"/>
        </w:rPr>
      </w:pPr>
      <w:r>
        <w:rPr>
          <w:rFonts w:ascii="Arial" w:cs="Arial" w:eastAsia="Arial" w:hAnsi="Arial"/>
          <w:sz w:val="18"/>
          <w:szCs w:val="18"/>
          <w:color w:val="auto"/>
        </w:rPr>
        <w:t>We operate in a rapidly evolving industry focused on modernizing financial and accounting operations. Our solutions are relatively new and have been developed to respond to an increasingly global and complex business environment with more rigorous regulatory standards. If organizations do not increasingly allocate their budgets to financial automation software as we expect or if we do not succeed in convincing potential customers that our platform should be an integral part of their overall approach to their accounting processes, our sales may not grow as quickly as anticipated, or at all. Our business is substantially dependent on enterprises recognizing that accounting errors and inefficiencies are pervasive and are not effectively addressed by legacy solutions. Future deterioration in general economic conditions may also cause our customers to cut their overall information technology spending, and such cuts may disproportionately affect software solutions like ours to the extent customers view our solutions as discretionary. If our revenue does not increase for any of these reasons, or any other reason, our business, financial condition and operating results may be materially adversely affected.</w:t>
      </w:r>
    </w:p>
    <w:p>
      <w:pPr>
        <w:spacing w:after="0" w:line="294" w:lineRule="exact"/>
        <w:rPr>
          <w:sz w:val="20"/>
          <w:szCs w:val="20"/>
          <w:color w:val="auto"/>
        </w:rPr>
      </w:pPr>
    </w:p>
    <w:p>
      <w:pPr>
        <w:ind w:right="480"/>
        <w:spacing w:after="0" w:line="271" w:lineRule="auto"/>
        <w:rPr>
          <w:sz w:val="20"/>
          <w:szCs w:val="20"/>
          <w:color w:val="auto"/>
        </w:rPr>
      </w:pPr>
      <w:r>
        <w:rPr>
          <w:rFonts w:ascii="Arial" w:cs="Arial" w:eastAsia="Arial" w:hAnsi="Arial"/>
          <w:sz w:val="18"/>
          <w:szCs w:val="18"/>
          <w:b w:val="1"/>
          <w:bCs w:val="1"/>
          <w:i w:val="1"/>
          <w:iCs w:val="1"/>
          <w:color w:val="auto"/>
        </w:rPr>
        <w:t>The market in which we participate is intensely competitive, and if we do not compete effectively, our operating results could be harmed.</w:t>
      </w:r>
    </w:p>
    <w:p>
      <w:pPr>
        <w:spacing w:after="0" w:line="68" w:lineRule="exact"/>
        <w:rPr>
          <w:sz w:val="20"/>
          <w:szCs w:val="20"/>
          <w:color w:val="auto"/>
        </w:rPr>
      </w:pPr>
    </w:p>
    <w:p>
      <w:pPr>
        <w:ind w:firstLine="518"/>
        <w:spacing w:after="0" w:line="237" w:lineRule="auto"/>
        <w:rPr>
          <w:sz w:val="20"/>
          <w:szCs w:val="20"/>
          <w:color w:val="auto"/>
        </w:rPr>
      </w:pPr>
      <w:r>
        <w:rPr>
          <w:rFonts w:ascii="Arial" w:cs="Arial" w:eastAsia="Arial" w:hAnsi="Arial"/>
          <w:sz w:val="18"/>
          <w:szCs w:val="18"/>
          <w:color w:val="auto"/>
        </w:rPr>
        <w:t>The market for accounting and financial software and services is highly competitive and rapidly evolving. Our competitors vary in size and in the breadth and scope of the products and services they offer. We often compete with other vendors of financial automation software such as Trintech. We also compete with large, well-established, enterprise application software vendors, such as Oracle, whose Hyperion software contains components that compete with our platform. In the future, a competitor offering ERP software could include a free service similar to ours as part of its standard offerings or may offer a free standalone version of a service similar to ours. Further, other established software vendors not currently focused on accounting and finance software and services, including some of our partners, resellers, and other parties with which we have relationships, may expand their services to compete with us.</w:t>
      </w:r>
    </w:p>
    <w:p>
      <w:pPr>
        <w:spacing w:after="0" w:line="203" w:lineRule="exact"/>
        <w:rPr>
          <w:sz w:val="20"/>
          <w:szCs w:val="20"/>
          <w:color w:val="auto"/>
        </w:rPr>
      </w:pPr>
    </w:p>
    <w:p>
      <w:pPr>
        <w:ind w:right="40" w:firstLine="518"/>
        <w:spacing w:after="0" w:line="246" w:lineRule="auto"/>
        <w:rPr>
          <w:sz w:val="20"/>
          <w:szCs w:val="20"/>
          <w:color w:val="auto"/>
        </w:rPr>
      </w:pPr>
      <w:r>
        <w:rPr>
          <w:rFonts w:ascii="Arial" w:cs="Arial" w:eastAsia="Arial" w:hAnsi="Arial"/>
          <w:sz w:val="18"/>
          <w:szCs w:val="18"/>
          <w:color w:val="auto"/>
        </w:rPr>
        <w:t>Our competitors may have greater name recognition, longer operating histories, more established customer and marketing relationships, larger marketing budgets and significantly greater resources than we do. They may be able to</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2720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657" w:right="239" w:bottom="1440" w:gutter="0" w:footer="0" w:header="0"/>
        </w:sectPr>
      </w:pPr>
    </w:p>
    <w:bookmarkStart w:id="15" w:name="page16"/>
    <w:bookmarkEnd w:id="15"/>
    <w:p>
      <w:pPr>
        <w:jc w:val="both"/>
        <w:ind w:right="340"/>
        <w:spacing w:after="0"/>
        <w:rPr>
          <w:sz w:val="20"/>
          <w:szCs w:val="20"/>
          <w:color w:val="auto"/>
        </w:rPr>
      </w:pPr>
      <w:r>
        <w:rPr>
          <w:rFonts w:ascii="Arial" w:cs="Arial" w:eastAsia="Arial" w:hAnsi="Arial"/>
          <w:sz w:val="18"/>
          <w:szCs w:val="18"/>
          <w:color w:val="auto"/>
        </w:rPr>
        <w:t>respond more quickly and effectively than we can to new or changing opportunities, technologies, standards, or customer requirements. In addition, some of our competitors have partnered with, or have acquired, and may in the future partner with or acquire, other competitors to offer services, leveraging their collective competitive positions, which makes, or would make, it more difficult to compete with them.</w:t>
      </w:r>
    </w:p>
    <w:p>
      <w:pPr>
        <w:spacing w:after="0" w:line="203" w:lineRule="exact"/>
        <w:rPr>
          <w:sz w:val="20"/>
          <w:szCs w:val="20"/>
          <w:color w:val="auto"/>
        </w:rPr>
      </w:pPr>
    </w:p>
    <w:p>
      <w:pPr>
        <w:jc w:val="both"/>
        <w:ind w:right="240" w:firstLine="518"/>
        <w:spacing w:after="0"/>
        <w:rPr>
          <w:sz w:val="20"/>
          <w:szCs w:val="20"/>
          <w:color w:val="auto"/>
        </w:rPr>
      </w:pPr>
      <w:r>
        <w:rPr>
          <w:rFonts w:ascii="Arial" w:cs="Arial" w:eastAsia="Arial" w:hAnsi="Arial"/>
          <w:sz w:val="18"/>
          <w:szCs w:val="18"/>
          <w:color w:val="auto"/>
        </w:rPr>
        <w:t>With the introduction of new technologies, the evolution of our platform and new market entrants, we expect competition to intensify in the future. Increased competition generally could result in reduced sales, reduced margins, losses or the failure of our platform to achieve or maintain more widespread market acceptance, any of which could harm our business.</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financial results may fluctuate due to our long and increasingly variable sales cycle.</w:t>
      </w:r>
    </w:p>
    <w:p>
      <w:pPr>
        <w:spacing w:after="0" w:line="126" w:lineRule="exact"/>
        <w:rPr>
          <w:sz w:val="20"/>
          <w:szCs w:val="20"/>
          <w:color w:val="auto"/>
        </w:rPr>
      </w:pPr>
    </w:p>
    <w:p>
      <w:pPr>
        <w:ind w:firstLine="518"/>
        <w:spacing w:after="0" w:line="237" w:lineRule="auto"/>
        <w:rPr>
          <w:sz w:val="20"/>
          <w:szCs w:val="20"/>
          <w:color w:val="auto"/>
        </w:rPr>
      </w:pPr>
      <w:r>
        <w:rPr>
          <w:rFonts w:ascii="Arial" w:cs="Arial" w:eastAsia="Arial" w:hAnsi="Arial"/>
          <w:sz w:val="18"/>
          <w:szCs w:val="18"/>
          <w:color w:val="auto"/>
        </w:rPr>
        <w:t>Our sales cycle generally varies in duration between four to nine months and, in some cases, even longer depending on the size of the potential customer, the size of the potential contract and the type of solution or product being purchased. The sales cycle for our global enterprise customers is generally longer than that of our mid-market customers. In addition, the length of the sales cycle tends to increase for larger contracts and for more complex, strategic products like Intercompany Hub. As we continue to focus on increasing our average contract size and selling more strategic products, we expect our sales cycle to lengthen and become less predictable. This could cause variability in our operating results for any particular period.</w:t>
      </w:r>
    </w:p>
    <w:p>
      <w:pPr>
        <w:spacing w:after="0" w:line="205" w:lineRule="exact"/>
        <w:rPr>
          <w:sz w:val="20"/>
          <w:szCs w:val="20"/>
          <w:color w:val="auto"/>
        </w:rPr>
      </w:pPr>
    </w:p>
    <w:p>
      <w:pPr>
        <w:ind w:left="520"/>
        <w:spacing w:after="0"/>
        <w:rPr>
          <w:sz w:val="20"/>
          <w:szCs w:val="20"/>
          <w:color w:val="auto"/>
        </w:rPr>
      </w:pPr>
      <w:r>
        <w:rPr>
          <w:rFonts w:ascii="Arial" w:cs="Arial" w:eastAsia="Arial" w:hAnsi="Arial"/>
          <w:sz w:val="18"/>
          <w:szCs w:val="18"/>
          <w:color w:val="auto"/>
        </w:rPr>
        <w:t>A number of other factors that may influence the length and variability of our sales cycle include:</w:t>
      </w:r>
    </w:p>
    <w:p>
      <w:pPr>
        <w:spacing w:after="0" w:line="104" w:lineRule="exact"/>
        <w:rPr>
          <w:sz w:val="20"/>
          <w:szCs w:val="20"/>
          <w:color w:val="auto"/>
        </w:rPr>
      </w:pPr>
    </w:p>
    <w:p>
      <w:pPr>
        <w:ind w:left="1040" w:hanging="519"/>
        <w:spacing w:after="0"/>
        <w:tabs>
          <w:tab w:leader="none" w:pos="10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need to educate potential customers about the uses and benefits of our software solutions;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need to educate potential customers on the differences between traditional, on-premise software and SaaS solutions;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relatively long duration of the commitment customers make in their agreements with us;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discretionary nature and timing of potential customers’ purchasing and budget cycles and decisions;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competitive nature of potential customers’ evaluation and purchasing processes;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announcements or planned introductions of new products by us or our competitors; and</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lengthy purchasing approval processes of potential customers.</w:t>
      </w:r>
    </w:p>
    <w:p>
      <w:pPr>
        <w:spacing w:after="0" w:line="225" w:lineRule="exact"/>
        <w:rPr>
          <w:sz w:val="20"/>
          <w:szCs w:val="20"/>
          <w:color w:val="auto"/>
        </w:rPr>
      </w:pPr>
    </w:p>
    <w:p>
      <w:pPr>
        <w:ind w:right="120" w:firstLine="518"/>
        <w:spacing w:after="0" w:line="236" w:lineRule="auto"/>
        <w:rPr>
          <w:sz w:val="20"/>
          <w:szCs w:val="20"/>
          <w:color w:val="auto"/>
        </w:rPr>
      </w:pPr>
      <w:r>
        <w:rPr>
          <w:rFonts w:ascii="Arial" w:cs="Arial" w:eastAsia="Arial" w:hAnsi="Arial"/>
          <w:sz w:val="18"/>
          <w:szCs w:val="18"/>
          <w:color w:val="auto"/>
        </w:rPr>
        <w:t>We may incur higher costs and longer sales cycles as a result of large enterprises representing an increased portion of our revenue. In this market, the decision to subscribe to our solutions may require the approval of more technical and information security personnel and management levels within a potential customer’s organization, and if so, these types of sales require us to invest more time educating these potential customers. In addition, larger organizations may demand more features and integration services and have increased purchasing power and leverage in negotiating contractual arrangements with us, which may contain restrictive terms favorable to the larger organization. As a result of these factors, these sales opportunities may require us to devote greater research and development, sales, product support and professional services resources to individual customers, resulting in increased costs and reduced profitability, and would likely lengthen our typical sales cycle, which could strain our resources.</w:t>
      </w:r>
    </w:p>
    <w:p>
      <w:pPr>
        <w:spacing w:after="0" w:line="208" w:lineRule="exact"/>
        <w:rPr>
          <w:sz w:val="20"/>
          <w:szCs w:val="20"/>
          <w:color w:val="auto"/>
        </w:rPr>
      </w:pPr>
    </w:p>
    <w:p>
      <w:pPr>
        <w:ind w:right="220" w:firstLine="518"/>
        <w:spacing w:after="0"/>
        <w:rPr>
          <w:sz w:val="20"/>
          <w:szCs w:val="20"/>
          <w:color w:val="auto"/>
        </w:rPr>
      </w:pPr>
      <w:r>
        <w:rPr>
          <w:rFonts w:ascii="Arial" w:cs="Arial" w:eastAsia="Arial" w:hAnsi="Arial"/>
          <w:sz w:val="18"/>
          <w:szCs w:val="18"/>
          <w:color w:val="auto"/>
        </w:rPr>
        <w:t>In addition, more sales are closed in the last month of a quarter than other times. If we are unable to close sufficient transactions in a particular period, or if a significant amount of transactions are delayed until a subsequent period, our operating results for that period, and for any future periods in which revenue from such transaction would otherwise have been recognized, may be adversely affected.</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Failure to effectively organize or expand our sales capabilities could harm our ability to increase our customer base.</w:t>
      </w:r>
    </w:p>
    <w:p>
      <w:pPr>
        <w:spacing w:after="0" w:line="126" w:lineRule="exact"/>
        <w:rPr>
          <w:sz w:val="20"/>
          <w:szCs w:val="20"/>
          <w:color w:val="auto"/>
        </w:rPr>
      </w:pPr>
    </w:p>
    <w:p>
      <w:pPr>
        <w:ind w:firstLine="518"/>
        <w:spacing w:after="0" w:line="238" w:lineRule="auto"/>
        <w:rPr>
          <w:sz w:val="20"/>
          <w:szCs w:val="20"/>
          <w:color w:val="auto"/>
        </w:rPr>
      </w:pPr>
      <w:r>
        <w:rPr>
          <w:rFonts w:ascii="Arial" w:cs="Arial" w:eastAsia="Arial" w:hAnsi="Arial"/>
          <w:sz w:val="18"/>
          <w:szCs w:val="18"/>
          <w:color w:val="auto"/>
        </w:rPr>
        <w:t>Increasing our customer base and sales will depend, to a significant extent, on our ability to effectively organize and expand our sales and marketing operations and activities. At December 31, 2019, our sales and marketing teams included 517 employees. As we’ve grown and scaled our operations, we have aligned our sales team to help streamline the customer experience. We rely on our direct sales force, which includes an account management team, to obtain new customers and to maximize the lifetime value of our customer relationships through retention and upsell efforts. Our success will depend, in part, on our ability to support new and existing customer growth and maintain customer</w:t>
      </w: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2720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00"/>
          </w:cols>
          <w:pgMar w:left="240" w:top="571" w:right="259" w:bottom="1440" w:gutter="0" w:footer="0" w:header="0"/>
        </w:sectPr>
      </w:pPr>
    </w:p>
    <w:bookmarkStart w:id="16" w:name="page17"/>
    <w:bookmarkEnd w:id="16"/>
    <w:p>
      <w:pPr>
        <w:ind w:right="240"/>
        <w:spacing w:after="0" w:line="246" w:lineRule="auto"/>
        <w:rPr>
          <w:sz w:val="20"/>
          <w:szCs w:val="20"/>
          <w:color w:val="auto"/>
        </w:rPr>
      </w:pPr>
      <w:r>
        <w:rPr>
          <w:rFonts w:ascii="Arial" w:cs="Arial" w:eastAsia="Arial" w:hAnsi="Arial"/>
          <w:sz w:val="18"/>
          <w:szCs w:val="18"/>
          <w:color w:val="auto"/>
        </w:rPr>
        <w:t>satisfaction. If we cannot provide the tools and training to our teams to efficiently do their jobs and satisfy customer demands, we may not be able to achieve anticipated revenue growth as quickly as expected.</w:t>
      </w:r>
    </w:p>
    <w:p>
      <w:pPr>
        <w:spacing w:after="0" w:line="197" w:lineRule="exact"/>
        <w:rPr>
          <w:sz w:val="20"/>
          <w:szCs w:val="20"/>
          <w:color w:val="auto"/>
        </w:rPr>
      </w:pPr>
    </w:p>
    <w:p>
      <w:pPr>
        <w:ind w:right="80" w:firstLine="518"/>
        <w:spacing w:after="0" w:line="237" w:lineRule="auto"/>
        <w:rPr>
          <w:sz w:val="20"/>
          <w:szCs w:val="20"/>
          <w:color w:val="auto"/>
        </w:rPr>
      </w:pPr>
      <w:r>
        <w:rPr>
          <w:rFonts w:ascii="Arial" w:cs="Arial" w:eastAsia="Arial" w:hAnsi="Arial"/>
          <w:sz w:val="18"/>
          <w:szCs w:val="18"/>
          <w:color w:val="auto"/>
        </w:rPr>
        <w:t>In addition, we plan to continue to expand our direct sales force both domestically and internationally. We believe that there is significant competition for experienced sales professionals with the sales skills and technical knowledge that we require. Our ability to achieve significant revenue growth in the future will depend, in part, on our success in recruiting, training, and retaining a sufficient number of experienced sales professionals. New hires require significant training and time before they achieve full productivity, particularly in new sales segments and territories. Our recent hires and planned hires may not become as productive as quickly as we expect, and we may be unable to hire or retain sufficient numbers of qualified individuals in the future in the markets where we do business. Our business will be harmed if our sales expansion efforts do not generate a significant increase in revenue.</w:t>
      </w:r>
    </w:p>
    <w:p>
      <w:pPr>
        <w:spacing w:after="0" w:line="289" w:lineRule="exact"/>
        <w:rPr>
          <w:sz w:val="20"/>
          <w:szCs w:val="20"/>
          <w:color w:val="auto"/>
        </w:rPr>
      </w:pPr>
    </w:p>
    <w:p>
      <w:pPr>
        <w:ind w:right="200"/>
        <w:spacing w:after="0" w:line="271" w:lineRule="auto"/>
        <w:rPr>
          <w:sz w:val="20"/>
          <w:szCs w:val="20"/>
          <w:color w:val="auto"/>
        </w:rPr>
      </w:pPr>
      <w:r>
        <w:rPr>
          <w:rFonts w:ascii="Arial" w:cs="Arial" w:eastAsia="Arial" w:hAnsi="Arial"/>
          <w:sz w:val="18"/>
          <w:szCs w:val="18"/>
          <w:b w:val="1"/>
          <w:bCs w:val="1"/>
          <w:i w:val="1"/>
          <w:iCs w:val="1"/>
          <w:color w:val="auto"/>
        </w:rPr>
        <w:t>We recognize subscription revenue over the term of our customer contracts and, consequently, downturns or upturns in new sales may not be immediately reflected in our operating results and may be difficult to discern.</w:t>
      </w:r>
    </w:p>
    <w:p>
      <w:pPr>
        <w:spacing w:after="0" w:line="68" w:lineRule="exact"/>
        <w:rPr>
          <w:sz w:val="20"/>
          <w:szCs w:val="20"/>
          <w:color w:val="auto"/>
        </w:rPr>
      </w:pPr>
    </w:p>
    <w:p>
      <w:pPr>
        <w:ind w:firstLine="518"/>
        <w:spacing w:after="0" w:line="236" w:lineRule="auto"/>
        <w:rPr>
          <w:sz w:val="20"/>
          <w:szCs w:val="20"/>
          <w:color w:val="auto"/>
        </w:rPr>
      </w:pPr>
      <w:r>
        <w:rPr>
          <w:rFonts w:ascii="Arial" w:cs="Arial" w:eastAsia="Arial" w:hAnsi="Arial"/>
          <w:sz w:val="18"/>
          <w:szCs w:val="18"/>
          <w:color w:val="auto"/>
        </w:rPr>
        <w:t>We recognize subscription revenue from our platform ratably over the terms of our customers’ agreements, most of which have one-year terms but an increasing number of which have up to three-year terms. As a result, most of the revenue we report in each quarter is derived from the recognition of deferred revenue relating to subscriptions entered into during previous quarters. Consequently, a decline in new or renewed subscriptions in any single quarter may have a small impact on our revenue results for that quarter. However, such a decline will negatively affect our revenue in future quarters. Accordingly, the effect of significant downturns in sales and market acceptance of our platform, and potential changes in our pricing policies or rate of expansion or retention, may not be fully reflected in our results of operations until future periods. We may also be unable to reduce our cost structure in line with a significant deterioration in sales. In addition, a significant majority of our costs are expensed as incurred, while revenue is recognized over the life of the agreement with our customer. As a result, increased growth in the number of our customers could continue to result in our recognition of more costs than revenue in the earlier periods of the terms of our agreements. Our subscription model also makes it difficult for us to rapidly increase our revenue through additional sales in any period, as revenue from new customers must be recognized over the applicable subscription term.</w:t>
      </w:r>
    </w:p>
    <w:p>
      <w:pPr>
        <w:spacing w:after="0" w:line="292" w:lineRule="exact"/>
        <w:rPr>
          <w:sz w:val="20"/>
          <w:szCs w:val="20"/>
          <w:color w:val="auto"/>
        </w:rPr>
      </w:pPr>
    </w:p>
    <w:p>
      <w:pPr>
        <w:jc w:val="both"/>
        <w:ind w:right="160"/>
        <w:spacing w:after="0" w:line="253" w:lineRule="auto"/>
        <w:rPr>
          <w:sz w:val="20"/>
          <w:szCs w:val="20"/>
          <w:color w:val="auto"/>
        </w:rPr>
      </w:pPr>
      <w:r>
        <w:rPr>
          <w:rFonts w:ascii="Arial" w:cs="Arial" w:eastAsia="Arial" w:hAnsi="Arial"/>
          <w:sz w:val="18"/>
          <w:szCs w:val="18"/>
          <w:b w:val="1"/>
          <w:bCs w:val="1"/>
          <w:i w:val="1"/>
          <w:iCs w:val="1"/>
          <w:color w:val="auto"/>
        </w:rPr>
        <w:t>We may identify material weaknesses in the future or otherwise fail to maintain an effective system of internal control over financial reporting in the future and may not be able to accurately or timely report our financial condition or results of operations, which may adversely affect investor confidence in us and the price of our common stock.</w:t>
      </w:r>
    </w:p>
    <w:p>
      <w:pPr>
        <w:spacing w:after="0" w:line="83" w:lineRule="exact"/>
        <w:rPr>
          <w:sz w:val="20"/>
          <w:szCs w:val="20"/>
          <w:color w:val="auto"/>
        </w:rPr>
      </w:pPr>
    </w:p>
    <w:p>
      <w:pPr>
        <w:ind w:right="100" w:firstLine="518"/>
        <w:spacing w:after="0"/>
        <w:rPr>
          <w:sz w:val="20"/>
          <w:szCs w:val="20"/>
          <w:color w:val="auto"/>
        </w:rPr>
      </w:pPr>
      <w:r>
        <w:rPr>
          <w:rFonts w:ascii="Arial" w:cs="Arial" w:eastAsia="Arial" w:hAnsi="Arial"/>
          <w:sz w:val="18"/>
          <w:szCs w:val="18"/>
          <w:color w:val="auto"/>
        </w:rPr>
        <w:t>As a public company, we are required to maintain internal control over financial reporting and to report any material weaknesses in such internal controls. Section 404 of the Sarbanes-Oxley Act of 2002 (the “Sarbanes-Oxley Act”), requires that we evaluate and determine the effectiveness of our internal control over financial reporting and provide a management report on internal control over financial reporting.</w:t>
      </w:r>
    </w:p>
    <w:p>
      <w:pPr>
        <w:spacing w:after="0" w:line="203" w:lineRule="exact"/>
        <w:rPr>
          <w:sz w:val="20"/>
          <w:szCs w:val="20"/>
          <w:color w:val="auto"/>
        </w:rPr>
      </w:pPr>
    </w:p>
    <w:p>
      <w:pPr>
        <w:ind w:right="20" w:firstLine="518"/>
        <w:spacing w:after="0" w:line="236" w:lineRule="auto"/>
        <w:rPr>
          <w:sz w:val="20"/>
          <w:szCs w:val="20"/>
          <w:color w:val="auto"/>
        </w:rPr>
      </w:pPr>
      <w:r>
        <w:rPr>
          <w:rFonts w:ascii="Arial" w:cs="Arial" w:eastAsia="Arial" w:hAnsi="Arial"/>
          <w:sz w:val="18"/>
          <w:szCs w:val="18"/>
          <w:color w:val="auto"/>
        </w:rPr>
        <w:t>The process of designing and implementing internal control over financial reporting required to comply with Section 404 of the Sarbanes-Oxley Act has been and will continue to be time consuming, costly and complicated. If, during the evaluation and testing process, we identify one or more material weaknesses in our internal control over financial reporting, our management will be unable to assert that our internal control over financial reporting is effective. Even if our management concludes that our internal control over financial reporting is effective, our independent registered public accounting firm may conclude that there are material weaknesses with respect to our internal controls or the level at which our internal controls are documented, designed, implemented, or reviewed. If we are unable to assert that our internal control over financial reporting is effective, or when required in the future, if our independent registered public accounting firm is unable to express an opinion as to the effectiveness of our internal control over financial reporting, investors may lose confidence in the accuracy and completeness of our financial reports, the market price of our common stock could be adversely affected, and we could become subject to stockholder lawsuits, litigation or investigations by the stock exchange on which our securities are listed, the SEC, or other regulatory authorities, which could require additional financial and management resources, and cause investor perceptions to be adversely affected and potentially resulting in restatement of our financial statements for prior periods and a decline in the market price of our stock.</w:t>
      </w:r>
    </w:p>
    <w:p>
      <w:pPr>
        <w:spacing w:after="0" w:line="2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2720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463" w:right="239" w:bottom="1440" w:gutter="0" w:footer="0" w:header="0"/>
        </w:sectPr>
      </w:pPr>
    </w:p>
    <w:bookmarkStart w:id="17" w:name="page18"/>
    <w:bookmarkEnd w:id="17"/>
    <w:p>
      <w:pPr>
        <w:ind w:right="280"/>
        <w:spacing w:after="0" w:line="253" w:lineRule="auto"/>
        <w:rPr>
          <w:sz w:val="20"/>
          <w:szCs w:val="20"/>
          <w:color w:val="auto"/>
        </w:rPr>
      </w:pPr>
      <w:r>
        <w:rPr>
          <w:rFonts w:ascii="Arial" w:cs="Arial" w:eastAsia="Arial" w:hAnsi="Arial"/>
          <w:sz w:val="18"/>
          <w:szCs w:val="18"/>
          <w:b w:val="1"/>
          <w:bCs w:val="1"/>
          <w:i w:val="1"/>
          <w:iCs w:val="1"/>
          <w:color w:val="auto"/>
        </w:rPr>
        <w:t>We rely on Google Cloud Platform (GCP) and third-party data centers (collectively, “hosting providers”) to deliver our cloud-based software solutions, and any disruption of our use of hosting providers could negatively impact our operations and harm our business.</w:t>
      </w:r>
    </w:p>
    <w:p>
      <w:pPr>
        <w:spacing w:after="0" w:line="191" w:lineRule="exact"/>
        <w:rPr>
          <w:sz w:val="20"/>
          <w:szCs w:val="20"/>
          <w:color w:val="auto"/>
        </w:rPr>
      </w:pPr>
    </w:p>
    <w:p>
      <w:pPr>
        <w:ind w:firstLine="518"/>
        <w:spacing w:after="0" w:line="237" w:lineRule="auto"/>
        <w:rPr>
          <w:sz w:val="20"/>
          <w:szCs w:val="20"/>
          <w:color w:val="auto"/>
        </w:rPr>
      </w:pPr>
      <w:r>
        <w:rPr>
          <w:rFonts w:ascii="Arial" w:cs="Arial" w:eastAsia="Arial" w:hAnsi="Arial"/>
          <w:sz w:val="18"/>
          <w:szCs w:val="18"/>
          <w:color w:val="auto"/>
        </w:rPr>
        <w:t>We manage our software solutions and serve most of our customers using a cloud-based infrastructure that has historically been operated in a limited number of third-party data center facilities in North America and Europe. We are developing plans to migrate some of our third-party data centers to GCP, increasing our reliance on this cloud provider. As we implement the transition to GCP, there could be occasional planned or unplanned downtime for our cloud-based software solutions and potential service delays, all of which will impact our customers’ ability to use our solutions. We may also need to divert resources away from other important business operations, which could harm our business and growth. Additionally, if the costs to migrate to GCP are greater than we expect or take significantly more time than we anticipate, our business could be harmed.</w:t>
      </w:r>
    </w:p>
    <w:p>
      <w:pPr>
        <w:spacing w:after="0" w:line="203" w:lineRule="exact"/>
        <w:rPr>
          <w:sz w:val="20"/>
          <w:szCs w:val="20"/>
          <w:color w:val="auto"/>
        </w:rPr>
      </w:pPr>
    </w:p>
    <w:p>
      <w:pPr>
        <w:ind w:firstLine="518"/>
        <w:spacing w:after="0" w:line="237" w:lineRule="auto"/>
        <w:rPr>
          <w:sz w:val="20"/>
          <w:szCs w:val="20"/>
          <w:color w:val="auto"/>
        </w:rPr>
      </w:pPr>
      <w:r>
        <w:rPr>
          <w:rFonts w:ascii="Arial" w:cs="Arial" w:eastAsia="Arial" w:hAnsi="Arial"/>
          <w:sz w:val="18"/>
          <w:szCs w:val="18"/>
          <w:color w:val="auto"/>
        </w:rPr>
        <w:t>We do not control the operation of our hosting providers. Any changes in third-party service levels or any disruptions or delays from errors, defects, hacking incidents, security breaches, computer viruses, DDoS attacks, bad acts or performance problems could harm our reputation, damage our customers’ businesses, and adversely affect our business and operating results. Our hosting providers are also vulnerable to damage or interruption from earthquakes, hurricanes, floods, fires, war, terrorist attacks, power losses, hardware failures, systems failures, telecommunications failures and similar events. We may have limited remedies against third-party providers in the event of any service disruptions. If our third-party hosting providers are compromised or unavailable or our customers are unable to access our solutions for any reason, our business and operations would be materially and adversely affected.</w:t>
      </w:r>
    </w:p>
    <w:p>
      <w:pPr>
        <w:spacing w:after="0" w:line="203" w:lineRule="exact"/>
        <w:rPr>
          <w:sz w:val="20"/>
          <w:szCs w:val="20"/>
          <w:color w:val="auto"/>
        </w:rPr>
      </w:pPr>
    </w:p>
    <w:p>
      <w:pPr>
        <w:ind w:right="60" w:firstLine="518"/>
        <w:spacing w:after="0" w:line="236" w:lineRule="auto"/>
        <w:rPr>
          <w:sz w:val="20"/>
          <w:szCs w:val="20"/>
          <w:color w:val="auto"/>
        </w:rPr>
      </w:pPr>
      <w:r>
        <w:rPr>
          <w:rFonts w:ascii="Arial" w:cs="Arial" w:eastAsia="Arial" w:hAnsi="Arial"/>
          <w:sz w:val="18"/>
          <w:szCs w:val="18"/>
          <w:color w:val="auto"/>
        </w:rPr>
        <w:t>Our customers have experienced minor disruptions and outages in accessing our solutions in the past, and may in the future experience disruptions, outages, and other performance problems. Although we expend considerable effort to ensure that our platform performance is capable of handling existing and increased traffic levels, the ability of our cloud-based solutions to effectively manage any increased capacity requirements depends on our hosting providers. Our hosting providers may not be able to meet such performance requirements, especially to cover peak levels or spikes in traffic, and as a result, our customers may experience delays in accessing our solutions or encounter slower performance in our solutions, which could significantly harm the operations of these facilities. Interruptions in our services might reduce our revenue, cause us to issue credits to customers, subject us to potential liability, and cause customers to terminate their subscriptions or harm our renewal rates.</w:t>
      </w:r>
    </w:p>
    <w:p>
      <w:pPr>
        <w:spacing w:after="0" w:line="208" w:lineRule="exact"/>
        <w:rPr>
          <w:sz w:val="20"/>
          <w:szCs w:val="20"/>
          <w:color w:val="auto"/>
        </w:rPr>
      </w:pPr>
    </w:p>
    <w:p>
      <w:pPr>
        <w:ind w:right="20" w:firstLine="518"/>
        <w:spacing w:after="0" w:line="236" w:lineRule="auto"/>
        <w:rPr>
          <w:sz w:val="20"/>
          <w:szCs w:val="20"/>
          <w:color w:val="auto"/>
        </w:rPr>
      </w:pPr>
      <w:r>
        <w:rPr>
          <w:rFonts w:ascii="Arial" w:cs="Arial" w:eastAsia="Arial" w:hAnsi="Arial"/>
          <w:sz w:val="18"/>
          <w:szCs w:val="18"/>
          <w:color w:val="auto"/>
        </w:rPr>
        <w:t>If we do not accurately predict our infrastructure capacity requirements, our customers could experience service shortfalls. The provisioning of additional cloud hosting capacity requires lead time. As we continue to restructure our data management plans, and increase our cloud hosting capacity, we have and expect to in the future move or transfer our data and our customers’ data. Despite precautions taken during such processes and procedures, any unsuccessful data transfers may impair the delivery of our service, and we may experience costs or downtime in connection with the transfer of data to other facilities which may lead to, among other things, customer dissatisfaction and non-renewals. GCP has no obligation to renew their agreements with us on commercially reasonable terms, or at all. If GCP increases pricing terms, terminates or seeks to terminate our contractual relationship, establishes more favorable relationships with our competitors, or changes or interprets its terms of service or policies in a manner that is unfavorable with respect to us, we may be required to transfer to another cloud provider. If we are required to transfer to another cloud provider, we would incur significant costs and experience possible service interruption in connection with doing so.</w:t>
      </w:r>
    </w:p>
    <w:p>
      <w:pPr>
        <w:spacing w:after="0" w:line="293" w:lineRule="exact"/>
        <w:rPr>
          <w:sz w:val="20"/>
          <w:szCs w:val="20"/>
          <w:color w:val="auto"/>
        </w:rPr>
      </w:pPr>
    </w:p>
    <w:p>
      <w:pPr>
        <w:ind w:right="660"/>
        <w:spacing w:after="0" w:line="271" w:lineRule="auto"/>
        <w:rPr>
          <w:sz w:val="20"/>
          <w:szCs w:val="20"/>
          <w:color w:val="auto"/>
        </w:rPr>
      </w:pPr>
      <w:r>
        <w:rPr>
          <w:rFonts w:ascii="Arial" w:cs="Arial" w:eastAsia="Arial" w:hAnsi="Arial"/>
          <w:sz w:val="18"/>
          <w:szCs w:val="18"/>
          <w:b w:val="1"/>
          <w:bCs w:val="1"/>
          <w:i w:val="1"/>
          <w:iCs w:val="1"/>
          <w:color w:val="auto"/>
        </w:rPr>
        <w:t>If we are unable to develop and maintain successful relationships with resellers, our business, operating results and financial condition could be adversely affected.</w:t>
      </w:r>
    </w:p>
    <w:p>
      <w:pPr>
        <w:spacing w:after="0" w:line="68" w:lineRule="exact"/>
        <w:rPr>
          <w:sz w:val="20"/>
          <w:szCs w:val="20"/>
          <w:color w:val="auto"/>
        </w:rPr>
      </w:pPr>
    </w:p>
    <w:p>
      <w:pPr>
        <w:ind w:firstLine="518"/>
        <w:spacing w:after="0" w:line="236" w:lineRule="auto"/>
        <w:rPr>
          <w:sz w:val="20"/>
          <w:szCs w:val="20"/>
          <w:color w:val="auto"/>
        </w:rPr>
      </w:pPr>
      <w:r>
        <w:rPr>
          <w:rFonts w:ascii="Arial" w:cs="Arial" w:eastAsia="Arial" w:hAnsi="Arial"/>
          <w:sz w:val="18"/>
          <w:szCs w:val="18"/>
          <w:color w:val="auto"/>
        </w:rPr>
        <w:t>We believe that continued growth in our business is dependent upon identifying, developing, and maintaining strategic relationships with companies that resell our solutions. We plan to expand our growing network of resellers and to add new resellers, in particular to help grow our mid-market business globally. Our agreements with our existing resellers are non-exclusive, meaning resellers may offer customers the products of several different companies, including products that compete with ours. They may also cease marketing our solutions with limited or no notice and with little or no penalty. We expect that any additional resellers we identify and develop will be similarly non-exclusive and not bound by any requirement to continue to market our solutions. If we fail to identify additional resellers in a timely and cost-effective manner, or at all, or are unable to assist our current and future resellers in independently selling our solutions, our business, results of operations, and financial condition could be adversely affected. If resellers do not effectively market and sell our solutions, or fail to meet the needs of our customers, our reputation and ability to grow our business may also be adversely affected.</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2720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657" w:right="239" w:bottom="1440" w:gutter="0" w:footer="0" w:header="0"/>
        </w:sectPr>
      </w:pPr>
    </w:p>
    <w:bookmarkStart w:id="18" w:name="page19"/>
    <w:bookmarkEnd w:id="18"/>
    <w:p>
      <w:pPr>
        <w:ind w:right="520"/>
        <w:spacing w:after="0" w:line="271" w:lineRule="auto"/>
        <w:rPr>
          <w:sz w:val="20"/>
          <w:szCs w:val="20"/>
          <w:color w:val="auto"/>
        </w:rPr>
      </w:pPr>
      <w:r>
        <w:rPr>
          <w:rFonts w:ascii="Arial" w:cs="Arial" w:eastAsia="Arial" w:hAnsi="Arial"/>
          <w:sz w:val="18"/>
          <w:szCs w:val="18"/>
          <w:b w:val="1"/>
          <w:bCs w:val="1"/>
          <w:i w:val="1"/>
          <w:iCs w:val="1"/>
          <w:color w:val="auto"/>
        </w:rPr>
        <w:t>If we are not able to maintain and enhance our brand, our business, operating results and financial condition may be adversely affected.</w:t>
      </w:r>
    </w:p>
    <w:p>
      <w:pPr>
        <w:spacing w:after="0" w:line="68" w:lineRule="exact"/>
        <w:rPr>
          <w:sz w:val="20"/>
          <w:szCs w:val="20"/>
          <w:color w:val="auto"/>
        </w:rPr>
      </w:pPr>
    </w:p>
    <w:p>
      <w:pPr>
        <w:ind w:firstLine="518"/>
        <w:spacing w:after="0" w:line="237" w:lineRule="auto"/>
        <w:rPr>
          <w:sz w:val="20"/>
          <w:szCs w:val="20"/>
          <w:color w:val="auto"/>
        </w:rPr>
      </w:pPr>
      <w:r>
        <w:rPr>
          <w:rFonts w:ascii="Arial" w:cs="Arial" w:eastAsia="Arial" w:hAnsi="Arial"/>
          <w:sz w:val="18"/>
          <w:szCs w:val="18"/>
          <w:color w:val="auto"/>
        </w:rPr>
        <w:t>We believe that maintaining and enhancing our reputation for accounting and finance software is critical to our relationships with our existing customers and to our ability to attract new customers. The successful promotion of our brand attributes will depend on a number of factors, including our marketing efforts, our ability to continue to develop high-quality software, and our ability to successfully differentiate our platform from competitive products and services. Our brand promotion activities may not ultimately be successful or yield increased revenue. In addition, independent industry analysts provide reviews of our platform, as well as products and services offered by our competitors, and perception of our platform in the marketplace may be significantly influenced by these reviews. If these reviews are negative, or less positive as compared to those of our competitors’ products and services, our brand may be adversely affected.</w:t>
      </w:r>
    </w:p>
    <w:p>
      <w:pPr>
        <w:spacing w:after="0" w:line="203" w:lineRule="exact"/>
        <w:rPr>
          <w:sz w:val="20"/>
          <w:szCs w:val="20"/>
          <w:color w:val="auto"/>
        </w:rPr>
      </w:pPr>
    </w:p>
    <w:p>
      <w:pPr>
        <w:ind w:right="40" w:firstLine="518"/>
        <w:spacing w:after="0" w:line="238" w:lineRule="auto"/>
        <w:rPr>
          <w:sz w:val="20"/>
          <w:szCs w:val="20"/>
          <w:color w:val="auto"/>
        </w:rPr>
      </w:pPr>
      <w:r>
        <w:rPr>
          <w:rFonts w:ascii="Arial" w:cs="Arial" w:eastAsia="Arial" w:hAnsi="Arial"/>
          <w:sz w:val="18"/>
          <w:szCs w:val="18"/>
          <w:color w:val="auto"/>
        </w:rPr>
        <w:t>The promotion of our brand requires us to make substantial expenditures, and we anticipate that the expenditures will increase as our market becomes more competitive, as we expand into new markets and as more sales are generated. To the extent that these activities yield increased revenue, this revenue may not offset the increased expenses we incur. If we do not successfully maintain and enhance our brand, our business may not grow, we may have reduced pricing power relative to competitors, and we could lose customers or fail to attract potential customers, all of which would adversely affect our business, results of operations and financial condition.</w:t>
      </w:r>
    </w:p>
    <w:p>
      <w:pPr>
        <w:spacing w:after="0" w:line="289" w:lineRule="exact"/>
        <w:rPr>
          <w:sz w:val="20"/>
          <w:szCs w:val="20"/>
          <w:color w:val="auto"/>
        </w:rPr>
      </w:pPr>
    </w:p>
    <w:p>
      <w:pPr>
        <w:ind w:right="520"/>
        <w:spacing w:after="0" w:line="271" w:lineRule="auto"/>
        <w:rPr>
          <w:sz w:val="20"/>
          <w:szCs w:val="20"/>
          <w:color w:val="auto"/>
        </w:rPr>
      </w:pPr>
      <w:r>
        <w:rPr>
          <w:rFonts w:ascii="Arial" w:cs="Arial" w:eastAsia="Arial" w:hAnsi="Arial"/>
          <w:sz w:val="18"/>
          <w:szCs w:val="18"/>
          <w:b w:val="1"/>
          <w:bCs w:val="1"/>
          <w:i w:val="1"/>
          <w:iCs w:val="1"/>
          <w:color w:val="auto"/>
        </w:rPr>
        <w:t>Our long-term success depends, in part, on our ability to expand the sales of our solutions to customers located outside of the United States, and thus our business is susceptible to risks associated with international sales and operations.</w:t>
      </w:r>
    </w:p>
    <w:p>
      <w:pPr>
        <w:spacing w:after="0" w:line="68" w:lineRule="exact"/>
        <w:rPr>
          <w:sz w:val="20"/>
          <w:szCs w:val="20"/>
          <w:color w:val="auto"/>
        </w:rPr>
      </w:pPr>
    </w:p>
    <w:p>
      <w:pPr>
        <w:ind w:right="40" w:firstLine="518"/>
        <w:spacing w:after="0" w:line="236" w:lineRule="auto"/>
        <w:rPr>
          <w:sz w:val="20"/>
          <w:szCs w:val="20"/>
          <w:color w:val="auto"/>
        </w:rPr>
      </w:pPr>
      <w:r>
        <w:rPr>
          <w:rFonts w:ascii="Arial" w:cs="Arial" w:eastAsia="Arial" w:hAnsi="Arial"/>
          <w:sz w:val="18"/>
          <w:szCs w:val="18"/>
          <w:color w:val="auto"/>
        </w:rPr>
        <w:t>We currently maintain offices and/or have sales personnel in Australia, Canada, France, Germany, Hong Kong, Ireland, Netherlands, Poland, Romania, Singapore, and the United Kingdom, and we intend to build out our international operations. As part of our ongoing international expansion strategy, in August 2016, we acquired Runbook, a Netherlands-based provider of financial close automation software solutions to SAP customers. Additionally, in September 2018, we entered into an agreement with Japanese Cloud Computing and M30 LLC to engage in a joint venture that is focused on the sale of our products in Japan (the “Japanese Joint Venture”). We derived approximately 23%, 21%, and 19% of our revenues from sales outside the United States in the years ended December 31, 2019, 2018, and 2017 respectively. Any international expansion efforts that we may undertake, including our Runbook Acquisition and our Japanese Joint Venture, may not be successful. In addition, conducting international operations in new markets subjects us to new risks that we have not generally faced in the United States. These risks include:</w:t>
      </w:r>
    </w:p>
    <w:p>
      <w:pPr>
        <w:spacing w:after="0" w:line="99" w:lineRule="exact"/>
        <w:rPr>
          <w:sz w:val="20"/>
          <w:szCs w:val="20"/>
          <w:color w:val="auto"/>
        </w:rPr>
      </w:pPr>
    </w:p>
    <w:p>
      <w:pPr>
        <w:ind w:left="1040" w:right="780" w:hanging="519"/>
        <w:spacing w:after="0" w:line="246" w:lineRule="auto"/>
        <w:tabs>
          <w:tab w:leader="none" w:pos="10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localization of our solutions, including translation into foreign languages and adaptation for local practices and regulatory requirements;</w:t>
      </w:r>
    </w:p>
    <w:p>
      <w:pPr>
        <w:spacing w:after="0" w:line="88" w:lineRule="exact"/>
        <w:rPr>
          <w:rFonts w:ascii="Arial" w:cs="Arial" w:eastAsia="Arial" w:hAnsi="Arial"/>
          <w:sz w:val="18"/>
          <w:szCs w:val="18"/>
          <w:color w:val="auto"/>
        </w:rPr>
      </w:pPr>
    </w:p>
    <w:p>
      <w:pPr>
        <w:ind w:left="1040" w:hanging="519"/>
        <w:spacing w:after="0"/>
        <w:tabs>
          <w:tab w:leader="none" w:pos="10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lack of familiarity and burdens of complying with foreign laws, legal standards, regulatory requirements, tariffs and other barriers;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unexpected changes in regulatory requirements, taxes, trade laws, tariffs, export quotas, custom duties or other trade restrictions;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differing technology standards;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longer accounts receivable payment cycles and difficulties in collecting accounts receivable;</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difficulties in managing and staffing international operations and differing employer/employee relationships;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fluctuations in exchange rates that may increase the volatility of our foreign-based revenue;</w:t>
      </w:r>
    </w:p>
    <w:p>
      <w:pPr>
        <w:spacing w:after="0" w:line="117" w:lineRule="exact"/>
        <w:rPr>
          <w:rFonts w:ascii="Arial" w:cs="Arial" w:eastAsia="Arial" w:hAnsi="Arial"/>
          <w:sz w:val="18"/>
          <w:szCs w:val="18"/>
          <w:color w:val="auto"/>
        </w:rPr>
      </w:pPr>
    </w:p>
    <w:p>
      <w:pPr>
        <w:ind w:left="1040" w:hanging="519"/>
        <w:spacing w:after="0" w:line="246" w:lineRule="auto"/>
        <w:tabs>
          <w:tab w:leader="none" w:pos="10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potentially adverse tax consequences, including the complexities of foreign value-added tax (or other tax) systems and restrictions on the repatriation of earnings;</w:t>
      </w:r>
    </w:p>
    <w:p>
      <w:pPr>
        <w:spacing w:after="0" w:line="88" w:lineRule="exact"/>
        <w:rPr>
          <w:rFonts w:ascii="Arial" w:cs="Arial" w:eastAsia="Arial" w:hAnsi="Arial"/>
          <w:sz w:val="18"/>
          <w:szCs w:val="18"/>
          <w:color w:val="auto"/>
        </w:rPr>
      </w:pPr>
    </w:p>
    <w:p>
      <w:pPr>
        <w:ind w:left="1040" w:hanging="519"/>
        <w:spacing w:after="0"/>
        <w:tabs>
          <w:tab w:leader="none" w:pos="10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uncertain political and economic climates, including the significant volatility in the global financial markets;</w:t>
      </w:r>
    </w:p>
    <w:p>
      <w:pPr>
        <w:spacing w:after="0" w:line="117" w:lineRule="exact"/>
        <w:rPr>
          <w:rFonts w:ascii="Arial" w:cs="Arial" w:eastAsia="Arial" w:hAnsi="Arial"/>
          <w:sz w:val="18"/>
          <w:szCs w:val="18"/>
          <w:color w:val="auto"/>
        </w:rPr>
      </w:pPr>
    </w:p>
    <w:p>
      <w:pPr>
        <w:ind w:left="1040" w:right="260" w:hanging="519"/>
        <w:spacing w:after="0" w:line="246" w:lineRule="auto"/>
        <w:tabs>
          <w:tab w:leader="none" w:pos="10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impact of natural disasters and public health epidemics, such as the coronavirus, on employees, customers, partners, third-party contractors, travel and the global economy; and</w:t>
      </w:r>
    </w:p>
    <w:p>
      <w:pPr>
        <w:spacing w:after="0" w:line="88" w:lineRule="exact"/>
        <w:rPr>
          <w:rFonts w:ascii="Arial" w:cs="Arial" w:eastAsia="Arial" w:hAnsi="Arial"/>
          <w:sz w:val="18"/>
          <w:szCs w:val="18"/>
          <w:color w:val="auto"/>
        </w:rPr>
      </w:pPr>
    </w:p>
    <w:p>
      <w:pPr>
        <w:ind w:left="1040" w:hanging="519"/>
        <w:spacing w:after="0"/>
        <w:tabs>
          <w:tab w:leader="none" w:pos="10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reduced or varied protection for intellectual property rights in some countries.</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2720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380"/>
          </w:cols>
          <w:pgMar w:left="240" w:top="657" w:right="279" w:bottom="1440" w:gutter="0" w:footer="0" w:header="0"/>
        </w:sectPr>
      </w:pPr>
    </w:p>
    <w:bookmarkStart w:id="19" w:name="page20"/>
    <w:bookmarkEnd w:id="19"/>
    <w:p>
      <w:pPr>
        <w:ind w:right="140" w:firstLine="518"/>
        <w:spacing w:after="0"/>
        <w:rPr>
          <w:sz w:val="20"/>
          <w:szCs w:val="20"/>
          <w:color w:val="auto"/>
        </w:rPr>
      </w:pPr>
      <w:r>
        <w:rPr>
          <w:rFonts w:ascii="Arial" w:cs="Arial" w:eastAsia="Arial" w:hAnsi="Arial"/>
          <w:sz w:val="18"/>
          <w:szCs w:val="18"/>
          <w:color w:val="auto"/>
        </w:rPr>
        <w:t>These factors may cause our international costs of doing business to exceed our comparable domestic costs. Operating in international markets also requires significant management attention and financial resources. Any negative impact from our international business efforts could negatively impact our business, results of operations and financial condition as a whole.</w:t>
      </w:r>
    </w:p>
    <w:p>
      <w:pPr>
        <w:spacing w:after="0" w:line="289" w:lineRule="exact"/>
        <w:rPr>
          <w:sz w:val="20"/>
          <w:szCs w:val="20"/>
          <w:color w:val="auto"/>
        </w:rPr>
      </w:pPr>
    </w:p>
    <w:p>
      <w:pPr>
        <w:ind w:right="700"/>
        <w:spacing w:after="0" w:line="271" w:lineRule="auto"/>
        <w:rPr>
          <w:sz w:val="20"/>
          <w:szCs w:val="20"/>
          <w:color w:val="auto"/>
        </w:rPr>
      </w:pPr>
      <w:r>
        <w:rPr>
          <w:rFonts w:ascii="Arial" w:cs="Arial" w:eastAsia="Arial" w:hAnsi="Arial"/>
          <w:sz w:val="18"/>
          <w:szCs w:val="18"/>
          <w:b w:val="1"/>
          <w:bCs w:val="1"/>
          <w:i w:val="1"/>
          <w:iCs w:val="1"/>
          <w:color w:val="auto"/>
        </w:rPr>
        <w:t>We may be unable to integrate acquired businesses and technologies successfully, or achieve the expected benefits of these transactions and other strategic transactions.</w:t>
      </w:r>
    </w:p>
    <w:p>
      <w:pPr>
        <w:spacing w:after="0" w:line="68" w:lineRule="exact"/>
        <w:rPr>
          <w:sz w:val="20"/>
          <w:szCs w:val="20"/>
          <w:color w:val="auto"/>
        </w:rPr>
      </w:pPr>
    </w:p>
    <w:p>
      <w:pPr>
        <w:ind w:right="100" w:firstLine="518"/>
        <w:spacing w:after="0" w:line="239" w:lineRule="auto"/>
        <w:rPr>
          <w:sz w:val="20"/>
          <w:szCs w:val="20"/>
          <w:color w:val="auto"/>
        </w:rPr>
      </w:pPr>
      <w:r>
        <w:rPr>
          <w:rFonts w:ascii="Arial" w:cs="Arial" w:eastAsia="Arial" w:hAnsi="Arial"/>
          <w:sz w:val="18"/>
          <w:szCs w:val="18"/>
          <w:color w:val="auto"/>
        </w:rPr>
        <w:t>We regularly evaluate and consider potential strategic transactions, including acquisitions of, or investments in, businesses, technologies, services, products, and other assets. For example, in 2016, we completed the Runbook Acquisition and in 2018, we entered into our Japanese Joint Venture. We also may enter into relationships with other businesses to expand our products and services, which could involve preferred or exclusive licenses, additional channels of distributions or discount pricing.</w:t>
      </w:r>
    </w:p>
    <w:p>
      <w:pPr>
        <w:spacing w:after="0" w:line="202" w:lineRule="exact"/>
        <w:rPr>
          <w:sz w:val="20"/>
          <w:szCs w:val="20"/>
          <w:color w:val="auto"/>
        </w:rPr>
      </w:pPr>
    </w:p>
    <w:p>
      <w:pPr>
        <w:ind w:firstLine="518"/>
        <w:spacing w:after="0" w:line="236" w:lineRule="auto"/>
        <w:rPr>
          <w:sz w:val="20"/>
          <w:szCs w:val="20"/>
          <w:color w:val="auto"/>
        </w:rPr>
      </w:pPr>
      <w:r>
        <w:rPr>
          <w:rFonts w:ascii="Arial" w:cs="Arial" w:eastAsia="Arial" w:hAnsi="Arial"/>
          <w:sz w:val="18"/>
          <w:szCs w:val="18"/>
          <w:color w:val="auto"/>
        </w:rPr>
        <w:t>Any future acquisition, investment or business relationship may result in unforeseen operating difficulties and expenditures. In particular, we may encounter difficulties assimilating or integrating the businesses, technologies, products, personnel or operations of the acquired companies, particularly if the key personnel of the acquired company choose not to work for us, their software is not easily adapted to work with our platform, or we have difficulty retaining the customers of any acquired business due to changes in ownership, management or otherwise. In addition, Runbook offers an on-premise solution to its customers. If we are unable to migrate those customers to our cloud solution or if we are unable to integrate Runbook’s on-premise software with our platform, our business may be adversely affected. Acquisitions may also disrupt our business, divert our resources, and require significant management attention that would otherwise be available for development of our existing business. Moreover, the anticipated benefits of any acquisition, investment, or business relationship may not be realized or we may be exposed to unknown risks or liabilities.</w:t>
      </w:r>
    </w:p>
    <w:p>
      <w:pPr>
        <w:spacing w:after="0" w:line="207" w:lineRule="exact"/>
        <w:rPr>
          <w:sz w:val="20"/>
          <w:szCs w:val="20"/>
          <w:color w:val="auto"/>
        </w:rPr>
      </w:pPr>
    </w:p>
    <w:p>
      <w:pPr>
        <w:ind w:right="100" w:firstLine="518"/>
        <w:spacing w:after="0"/>
        <w:rPr>
          <w:sz w:val="20"/>
          <w:szCs w:val="20"/>
          <w:color w:val="auto"/>
        </w:rPr>
      </w:pPr>
      <w:r>
        <w:rPr>
          <w:rFonts w:ascii="Arial" w:cs="Arial" w:eastAsia="Arial" w:hAnsi="Arial"/>
          <w:sz w:val="18"/>
          <w:szCs w:val="18"/>
          <w:color w:val="auto"/>
        </w:rPr>
        <w:t>Negotiating these transactions can be time-consuming, difficult, and expensive, and our ability to complete these transactions may often be subject to approvals that are beyond our control. Consequently, these transactions, even if announced, may not be completed. For one or more of those transactions, we may:</w:t>
      </w:r>
    </w:p>
    <w:p>
      <w:pPr>
        <w:spacing w:after="0" w:line="95" w:lineRule="exact"/>
        <w:rPr>
          <w:sz w:val="20"/>
          <w:szCs w:val="20"/>
          <w:color w:val="auto"/>
        </w:rPr>
      </w:pPr>
    </w:p>
    <w:p>
      <w:pPr>
        <w:ind w:left="1040" w:hanging="519"/>
        <w:spacing w:after="0"/>
        <w:tabs>
          <w:tab w:leader="none" w:pos="10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issue additional equity securities that would dilute our existing stockholders;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use cash that we may need in the future to operate our business;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incur large charges or substantial liabilities;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incur debt on terms unfavorable to us or that we are unable to repay;</w:t>
      </w:r>
    </w:p>
    <w:p>
      <w:pPr>
        <w:spacing w:after="0" w:line="117" w:lineRule="exact"/>
        <w:rPr>
          <w:rFonts w:ascii="Arial" w:cs="Arial" w:eastAsia="Arial" w:hAnsi="Arial"/>
          <w:sz w:val="18"/>
          <w:szCs w:val="18"/>
          <w:color w:val="auto"/>
        </w:rPr>
      </w:pPr>
    </w:p>
    <w:p>
      <w:pPr>
        <w:ind w:left="1040" w:right="40" w:hanging="519"/>
        <w:spacing w:after="0" w:line="246" w:lineRule="auto"/>
        <w:tabs>
          <w:tab w:leader="none" w:pos="10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encounter difficulties retaining key employees of the acquired company or integrating diverse software codes or business cultures; and</w:t>
      </w:r>
    </w:p>
    <w:p>
      <w:pPr>
        <w:spacing w:after="0" w:line="88" w:lineRule="exact"/>
        <w:rPr>
          <w:rFonts w:ascii="Arial" w:cs="Arial" w:eastAsia="Arial" w:hAnsi="Arial"/>
          <w:sz w:val="18"/>
          <w:szCs w:val="18"/>
          <w:color w:val="auto"/>
        </w:rPr>
      </w:pPr>
    </w:p>
    <w:p>
      <w:pPr>
        <w:ind w:left="1040" w:hanging="519"/>
        <w:spacing w:after="0"/>
        <w:tabs>
          <w:tab w:leader="none" w:pos="10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become subject to adverse tax consequences, substantial depreciation, and amortization, or deferred compensation charges.</w:t>
      </w:r>
    </w:p>
    <w:p>
      <w:pPr>
        <w:spacing w:after="0" w:line="311" w:lineRule="exact"/>
        <w:rPr>
          <w:sz w:val="20"/>
          <w:szCs w:val="20"/>
          <w:color w:val="auto"/>
        </w:rPr>
      </w:pPr>
    </w:p>
    <w:p>
      <w:pPr>
        <w:ind w:right="360"/>
        <w:spacing w:after="0" w:line="271" w:lineRule="auto"/>
        <w:rPr>
          <w:sz w:val="20"/>
          <w:szCs w:val="20"/>
          <w:color w:val="auto"/>
        </w:rPr>
      </w:pPr>
      <w:r>
        <w:rPr>
          <w:rFonts w:ascii="Arial" w:cs="Arial" w:eastAsia="Arial" w:hAnsi="Arial"/>
          <w:sz w:val="18"/>
          <w:szCs w:val="18"/>
          <w:b w:val="1"/>
          <w:bCs w:val="1"/>
          <w:i w:val="1"/>
          <w:iCs w:val="1"/>
          <w:color w:val="auto"/>
        </w:rPr>
        <w:t>We use third-party contractors outside of the United States to supplement our research and development capabilities, which may expose us to risks, including risks inherent in foreign operations.</w:t>
      </w:r>
    </w:p>
    <w:p>
      <w:pPr>
        <w:spacing w:after="0" w:line="68" w:lineRule="exact"/>
        <w:rPr>
          <w:sz w:val="20"/>
          <w:szCs w:val="20"/>
          <w:color w:val="auto"/>
        </w:rPr>
      </w:pPr>
    </w:p>
    <w:p>
      <w:pPr>
        <w:ind w:firstLine="518"/>
        <w:spacing w:after="0" w:line="236" w:lineRule="auto"/>
        <w:rPr>
          <w:sz w:val="20"/>
          <w:szCs w:val="20"/>
          <w:color w:val="auto"/>
        </w:rPr>
      </w:pPr>
      <w:r>
        <w:rPr>
          <w:rFonts w:ascii="Arial" w:cs="Arial" w:eastAsia="Arial" w:hAnsi="Arial"/>
          <w:sz w:val="18"/>
          <w:szCs w:val="18"/>
          <w:color w:val="auto"/>
        </w:rPr>
        <w:t>We use third-party contractors outside of the United States to supplement our research and development capabilities. We currently use third-party contractors located in Romania and China. Managing operations that are remote from our U.S. headquarters is difficult and we may not be able to manage these third-party contractors successfully. If we fail to maintain productive relationships with these contractors generally, we may be required to develop our solutions in a less efficient and cost-effective manner and our product release schedules may be delayed while we hire software developers or find alternative contract development resources. Additionally, while we take precautions to ensure that software components developed by our third -party contractors are reviewed and that our source code is protected, misconduct by our third-party contractors could result in infringement or misappropriation of our intellectual property. Furthermore, any acts of espionage, malware attacks, theft of confidential information or other malicious privacy, security, or data protection incidents attributed to our third-party contractors may compromise our system infrastructure, expose us to litigation and lead to reputational harm that could result in a material adverse effect on our financial condition and operating results.</w:t>
      </w:r>
    </w:p>
    <w:p>
      <w:pPr>
        <w:spacing w:after="0" w:line="2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2720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571" w:right="239" w:bottom="1440" w:gutter="0" w:footer="0" w:header="0"/>
        </w:sectPr>
      </w:pPr>
    </w:p>
    <w:bookmarkStart w:id="20" w:name="page21"/>
    <w:bookmarkEnd w:id="20"/>
    <w:p>
      <w:pPr>
        <w:spacing w:after="0"/>
        <w:rPr>
          <w:sz w:val="20"/>
          <w:szCs w:val="20"/>
          <w:color w:val="auto"/>
        </w:rPr>
      </w:pPr>
      <w:r>
        <w:rPr>
          <w:rFonts w:ascii="Arial" w:cs="Arial" w:eastAsia="Arial" w:hAnsi="Arial"/>
          <w:sz w:val="18"/>
          <w:szCs w:val="18"/>
          <w:b w:val="1"/>
          <w:bCs w:val="1"/>
          <w:i w:val="1"/>
          <w:iCs w:val="1"/>
          <w:color w:val="auto"/>
        </w:rPr>
        <w:t>Any failure to protect our intellectual property rights could impair our ability to protect our proprietary technology and our brand.</w:t>
      </w:r>
    </w:p>
    <w:p>
      <w:pPr>
        <w:spacing w:after="0" w:line="126" w:lineRule="exact"/>
        <w:rPr>
          <w:sz w:val="20"/>
          <w:szCs w:val="20"/>
          <w:color w:val="auto"/>
        </w:rPr>
      </w:pPr>
    </w:p>
    <w:p>
      <w:pPr>
        <w:ind w:right="200" w:firstLine="518"/>
        <w:spacing w:after="0" w:line="239" w:lineRule="auto"/>
        <w:rPr>
          <w:sz w:val="20"/>
          <w:szCs w:val="20"/>
          <w:color w:val="auto"/>
        </w:rPr>
      </w:pPr>
      <w:r>
        <w:rPr>
          <w:rFonts w:ascii="Arial" w:cs="Arial" w:eastAsia="Arial" w:hAnsi="Arial"/>
          <w:sz w:val="18"/>
          <w:szCs w:val="18"/>
          <w:color w:val="auto"/>
        </w:rPr>
        <w:t>Our success and ability to compete depend, in part, upon our intellectual property. We currently have one patent, which was issued on October 1, 2019. We primarily rely on copyright, trade secret and trademark laws, trade secret protection, and confidentiality or license agreements with our employees, customers, partners and others to protect our intellectual property rights. However, the steps we take to protect our intellectual property rights may be inadequate.</w:t>
      </w:r>
    </w:p>
    <w:p>
      <w:pPr>
        <w:spacing w:after="0" w:line="202" w:lineRule="exact"/>
        <w:rPr>
          <w:sz w:val="20"/>
          <w:szCs w:val="20"/>
          <w:color w:val="auto"/>
        </w:rPr>
      </w:pPr>
    </w:p>
    <w:p>
      <w:pPr>
        <w:ind w:right="60" w:firstLine="518"/>
        <w:spacing w:after="0" w:line="237" w:lineRule="auto"/>
        <w:rPr>
          <w:sz w:val="20"/>
          <w:szCs w:val="20"/>
          <w:color w:val="auto"/>
        </w:rPr>
      </w:pPr>
      <w:r>
        <w:rPr>
          <w:rFonts w:ascii="Arial" w:cs="Arial" w:eastAsia="Arial" w:hAnsi="Arial"/>
          <w:sz w:val="18"/>
          <w:szCs w:val="18"/>
          <w:color w:val="auto"/>
        </w:rPr>
        <w:t>In order to protect our intellectual property rights, we may be required to spend significant resources to monitor and protect these rights. In the past, we have utilized demand letters as a means to assert and resolve claims regarding potential misuse of our proprietary or trade secret information. Litigation brought to protect and enforce our intellectual property rights could be costly, time-consuming, and distracting to management, and could result in the impairment or loss of portions of our intellectual property. Furthermore, our efforts to enforce our intellectual property rights may be met with defenses, counterclaims and countersuits attacking the validity and enforceability of our intellectual property rights. Our failure to secure, protect and enforce our intellectual property rights could adversely affect our brand and adversely impact our business.</w:t>
      </w:r>
    </w:p>
    <w:p>
      <w:pPr>
        <w:spacing w:after="0" w:line="289" w:lineRule="exact"/>
        <w:rPr>
          <w:sz w:val="20"/>
          <w:szCs w:val="20"/>
          <w:color w:val="auto"/>
        </w:rPr>
      </w:pPr>
    </w:p>
    <w:p>
      <w:pPr>
        <w:ind w:right="580"/>
        <w:spacing w:after="0" w:line="271" w:lineRule="auto"/>
        <w:rPr>
          <w:sz w:val="20"/>
          <w:szCs w:val="20"/>
          <w:color w:val="auto"/>
        </w:rPr>
      </w:pPr>
      <w:r>
        <w:rPr>
          <w:rFonts w:ascii="Arial" w:cs="Arial" w:eastAsia="Arial" w:hAnsi="Arial"/>
          <w:sz w:val="18"/>
          <w:szCs w:val="18"/>
          <w:b w:val="1"/>
          <w:bCs w:val="1"/>
          <w:i w:val="1"/>
          <w:iCs w:val="1"/>
          <w:color w:val="auto"/>
        </w:rPr>
        <w:t>Lawsuits or other claims by third parties for alleged infringement of their proprietary rights could cause us to incur significant expenses or liabilities.</w:t>
      </w:r>
    </w:p>
    <w:p>
      <w:pPr>
        <w:spacing w:after="0" w:line="68" w:lineRule="exact"/>
        <w:rPr>
          <w:sz w:val="20"/>
          <w:szCs w:val="20"/>
          <w:color w:val="auto"/>
        </w:rPr>
      </w:pPr>
    </w:p>
    <w:p>
      <w:pPr>
        <w:ind w:right="60" w:firstLine="518"/>
        <w:spacing w:after="0" w:line="236" w:lineRule="auto"/>
        <w:rPr>
          <w:sz w:val="20"/>
          <w:szCs w:val="20"/>
          <w:color w:val="auto"/>
        </w:rPr>
      </w:pPr>
      <w:r>
        <w:rPr>
          <w:rFonts w:ascii="Arial" w:cs="Arial" w:eastAsia="Arial" w:hAnsi="Arial"/>
          <w:sz w:val="18"/>
          <w:szCs w:val="18"/>
          <w:color w:val="auto"/>
        </w:rPr>
        <w:t>There is considerable patent and other intellectual property development activity in our industry. Our future success depends, in part, on not infringing upon the intellectual property rights of others. From time to time, our competitors or other third parties may claim that our solutions and underlying technology infringe or violate their intellectual property rights, and we may be found to be infringing upon such rights. We may be unaware of the intellectual property rights of others that may cover some or all of our technology. Any claims or litigation could cause us to incur significant expenses and, if successfully asserted against us, could require that we pay substantial damages or ongoing royalty payments, prevent us from offering our solutions or require that we comply with other unfavorable terms. We may also be obligated to indemnify our customers or other companies in connection with any such litigation and to obtain licenses, modify our solutions, or refund subscription fees, which could further exhaust our resources. In addition, we may incur substantial costs to resolve claims or litigation, whether or not successfully asserted against us, which could include payment of significant settlement, royalty or license fees, modification of our solutions, or refunds to customers of subscription fees. Even if we were to prevail in the event of claims or litigation against us, any claim or litigation regarding our intellectual property could be costly and time-consuming and divert the attention of our management and other employees from our business operations. Such disputes could also disrupt our solutions, adversely impacting our customer satisfaction and ability to attract customers.</w:t>
      </w:r>
    </w:p>
    <w:p>
      <w:pPr>
        <w:spacing w:after="0" w:line="29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use open source software in our products, which could subject us to litigation or other actions.</w:t>
      </w:r>
    </w:p>
    <w:p>
      <w:pPr>
        <w:spacing w:after="0" w:line="126" w:lineRule="exact"/>
        <w:rPr>
          <w:sz w:val="20"/>
          <w:szCs w:val="20"/>
          <w:color w:val="auto"/>
        </w:rPr>
      </w:pPr>
    </w:p>
    <w:p>
      <w:pPr>
        <w:ind w:firstLine="518"/>
        <w:spacing w:after="0" w:line="236" w:lineRule="auto"/>
        <w:rPr>
          <w:sz w:val="20"/>
          <w:szCs w:val="20"/>
          <w:color w:val="auto"/>
        </w:rPr>
      </w:pPr>
      <w:r>
        <w:rPr>
          <w:rFonts w:ascii="Arial" w:cs="Arial" w:eastAsia="Arial" w:hAnsi="Arial"/>
          <w:sz w:val="18"/>
          <w:szCs w:val="18"/>
          <w:color w:val="auto"/>
        </w:rPr>
        <w:t>We use open source software in our products and may use more open source software in the future. From time to time, there have been claims challenging the use of open source software against companies that incorporate open source software into their products. As a result, we could be subject to suits by parties claiming misuse of, or a right to compensation for, what we believe to be open source software. Litigation could be costly for us to defend, have a negative effect on our operating results and financial condition or require us to devote additional research and development resources to change our products. In addition, if we were to combine our proprietary software products with open source software in a certain manner, we could, under certain of the open source licenses, be required to release the source code of our proprietary software products. If we inappropriately use open source software, we may be required to re-engineer our products, discontinue the sale of our products or take other remedial actions.</w:t>
      </w:r>
    </w:p>
    <w:p>
      <w:pPr>
        <w:spacing w:after="0" w:line="294" w:lineRule="exact"/>
        <w:rPr>
          <w:sz w:val="20"/>
          <w:szCs w:val="20"/>
          <w:color w:val="auto"/>
        </w:rPr>
      </w:pPr>
    </w:p>
    <w:p>
      <w:pPr>
        <w:ind w:right="320"/>
        <w:spacing w:after="0" w:line="271" w:lineRule="auto"/>
        <w:rPr>
          <w:sz w:val="20"/>
          <w:szCs w:val="20"/>
          <w:color w:val="auto"/>
        </w:rPr>
      </w:pPr>
      <w:r>
        <w:rPr>
          <w:rFonts w:ascii="Arial" w:cs="Arial" w:eastAsia="Arial" w:hAnsi="Arial"/>
          <w:sz w:val="18"/>
          <w:szCs w:val="18"/>
          <w:b w:val="1"/>
          <w:bCs w:val="1"/>
          <w:i w:val="1"/>
          <w:iCs w:val="1"/>
          <w:color w:val="auto"/>
        </w:rPr>
        <w:t>Privacy and data security concerns, and data collection and transfer restrictions and related domestic or foreign regulations may limit the use and adoption of our solutions and adversely affect our business.</w:t>
      </w:r>
    </w:p>
    <w:p>
      <w:pPr>
        <w:spacing w:after="0" w:line="68" w:lineRule="exact"/>
        <w:rPr>
          <w:sz w:val="20"/>
          <w:szCs w:val="20"/>
          <w:color w:val="auto"/>
        </w:rPr>
      </w:pPr>
    </w:p>
    <w:p>
      <w:pPr>
        <w:ind w:right="80" w:firstLine="518"/>
        <w:spacing w:after="0" w:line="239" w:lineRule="auto"/>
        <w:rPr>
          <w:sz w:val="20"/>
          <w:szCs w:val="20"/>
          <w:color w:val="auto"/>
        </w:rPr>
      </w:pPr>
      <w:r>
        <w:rPr>
          <w:rFonts w:ascii="Arial" w:cs="Arial" w:eastAsia="Arial" w:hAnsi="Arial"/>
          <w:sz w:val="18"/>
          <w:szCs w:val="18"/>
          <w:color w:val="auto"/>
        </w:rPr>
        <w:t>Privacy, security, and data protection are significant issues in the United States, Europe and many other jurisdictions where we offer our platform. The regulatory framework governing the collection, processing, storage and use of business information, particularly information that affects financial statements, and personal data, is rapidly evolving and any failure or perceived failure to comply with applicable privacy, security, or data protection laws or regulations may adversely affect our business.</w:t>
      </w:r>
    </w:p>
    <w:p>
      <w:pPr>
        <w:spacing w:after="0" w:line="202" w:lineRule="exact"/>
        <w:rPr>
          <w:sz w:val="20"/>
          <w:szCs w:val="20"/>
          <w:color w:val="auto"/>
        </w:rPr>
      </w:pPr>
    </w:p>
    <w:p>
      <w:pPr>
        <w:ind w:right="120" w:firstLine="518"/>
        <w:spacing w:after="0" w:line="238" w:lineRule="auto"/>
        <w:rPr>
          <w:sz w:val="20"/>
          <w:szCs w:val="20"/>
          <w:color w:val="auto"/>
        </w:rPr>
      </w:pPr>
      <w:r>
        <w:rPr>
          <w:rFonts w:ascii="Arial" w:cs="Arial" w:eastAsia="Arial" w:hAnsi="Arial"/>
          <w:sz w:val="18"/>
          <w:szCs w:val="18"/>
          <w:color w:val="auto"/>
        </w:rPr>
        <w:t>The U.S. federal and various state and foreign governments have adopted or proposed requirements regarding the collection, distribution, use, security and storage of personally identifiable information and other data relating to individuals, and federal and state consumer protection laws are being applied to enforce regulations related to the online collection, use and dissemination of data. Some of these requirements include obligations on companies to notify individuals of security breaches involving particular personal information, which could result from breaches experienced</w:t>
      </w:r>
    </w:p>
    <w:p>
      <w:pPr>
        <w:spacing w:after="0" w:line="2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2720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380"/>
          </w:cols>
          <w:pgMar w:left="240" w:top="657" w:right="279" w:bottom="1440" w:gutter="0" w:footer="0" w:header="0"/>
        </w:sectPr>
      </w:pPr>
    </w:p>
    <w:bookmarkStart w:id="21" w:name="page22"/>
    <w:bookmarkEnd w:id="21"/>
    <w:p>
      <w:pPr>
        <w:ind w:right="320"/>
        <w:spacing w:after="0"/>
        <w:rPr>
          <w:sz w:val="20"/>
          <w:szCs w:val="20"/>
          <w:color w:val="auto"/>
        </w:rPr>
      </w:pPr>
      <w:r>
        <w:rPr>
          <w:rFonts w:ascii="Arial" w:cs="Arial" w:eastAsia="Arial" w:hAnsi="Arial"/>
          <w:sz w:val="18"/>
          <w:szCs w:val="18"/>
          <w:color w:val="auto"/>
        </w:rPr>
        <w:t>by us or by organizations with which we have formed strategic relationships. Even though we may have contractual protections with such organizations, notifications related to a security breach could impact our reputation, harm customer confidence, hurt our expansion into new markets or cause us to lose existing customers.</w:t>
      </w:r>
    </w:p>
    <w:p>
      <w:pPr>
        <w:spacing w:after="0" w:line="203" w:lineRule="exact"/>
        <w:rPr>
          <w:sz w:val="20"/>
          <w:szCs w:val="20"/>
          <w:color w:val="auto"/>
        </w:rPr>
      </w:pPr>
    </w:p>
    <w:p>
      <w:pPr>
        <w:ind w:firstLine="518"/>
        <w:spacing w:after="0" w:line="235" w:lineRule="auto"/>
        <w:rPr>
          <w:sz w:val="20"/>
          <w:szCs w:val="20"/>
          <w:color w:val="auto"/>
        </w:rPr>
      </w:pPr>
      <w:r>
        <w:rPr>
          <w:rFonts w:ascii="Arial" w:cs="Arial" w:eastAsia="Arial" w:hAnsi="Arial"/>
          <w:sz w:val="18"/>
          <w:szCs w:val="18"/>
          <w:color w:val="auto"/>
        </w:rPr>
        <w:t>Further, many foreign countries and governmental bodies, including the European Union (the “EU”), where we conduct business and have offices or utilize vendors, have laws and regulations concerning the collection and use of personal data obtained from their residents or by businesses operating within their jurisdiction. These laws and regulations often are more restrictive than those in the United States. Laws and regulations in these jurisdictions apply broadly to the collection, use, storage, disclosure and security of data that identifies or may be used to identify or locate an individual, such as names, email addresses and, in some jurisdictions, Internet Protocol, or IP, addresses. With regard to data transfers of personal data from our European employees and customers to the United States, we have EU-U.S. Privacy Shield and Swiss-U.S. Privacy Shield certifications in place that we believe allow for the lawful transfer of personal data from the EU and Switzerland to the United States, however, the EU-U.S. Privacy Shield, Swiss-U.S. Privacy Shield, and any other mechanisms that we use or may use in the future in an effort to legitimize cross-border data transfers may be challenged or evolve to include new legal requirements that could have an impact on data transfers. It is unclear at this time whether the EU-U.S. Privacy Shield or Swiss-U.S. Privacy Shield will continue to serve as an appropriate means for us to transfer personal data from the EU to the United States. Our means for transferring personal data from the EU and Switzerland may not be adopted by all of our customers and may be subject to legal challenge by data protection authorities, and we may experience reluctance or refusal by European customers to use our solutions due to potential risk exposure. We and our customers face a risk of enforcement actions taken by EU and Swiss data protection authorities regarding data transfers from the EU and Switzerland to the United States. In China, we continue to monitor legal and government advisory developments regarding the Chinese Cybersecurity Law and Draft Cybersecurity Review Measures for impacts to our business related to cross-border transfer limitations and evolving privacy, security, or data protection requirements.</w:t>
      </w:r>
    </w:p>
    <w:p>
      <w:pPr>
        <w:spacing w:after="0" w:line="214" w:lineRule="exact"/>
        <w:rPr>
          <w:sz w:val="20"/>
          <w:szCs w:val="20"/>
          <w:color w:val="auto"/>
        </w:rPr>
      </w:pPr>
    </w:p>
    <w:p>
      <w:pPr>
        <w:ind w:firstLine="518"/>
        <w:spacing w:after="0" w:line="234" w:lineRule="auto"/>
        <w:rPr>
          <w:sz w:val="20"/>
          <w:szCs w:val="20"/>
          <w:color w:val="auto"/>
        </w:rPr>
      </w:pPr>
      <w:r>
        <w:rPr>
          <w:rFonts w:ascii="Arial" w:cs="Arial" w:eastAsia="Arial" w:hAnsi="Arial"/>
          <w:sz w:val="18"/>
          <w:szCs w:val="18"/>
          <w:color w:val="auto"/>
        </w:rPr>
        <w:t>We also expect that there will continue to be new proposed laws, regulations and industry standards concerning privacy, security, and data protection in the United States, the EU, and other jurisdictions. For example, the European Commission adopted a General Data Protection Regulation (the “GDPR”), which became effective on May 25, 2018 and superseded previously effective EU data protection legislation. The GDPR imposes more stringent EU data protection requirements for processors and controllers of personal data. As a regulation rather than a directive, the GDPR applies throughout all EU member states but permits member states to enact supplemental requirements in certain areas. Noncompliance with the GDPR can trigger penalties up to €20 million or 4% of global annual revenues, whichever is</w:t>
      </w:r>
    </w:p>
    <w:p>
      <w:pPr>
        <w:spacing w:after="0" w:line="5" w:lineRule="exact"/>
        <w:rPr>
          <w:sz w:val="20"/>
          <w:szCs w:val="20"/>
          <w:color w:val="auto"/>
        </w:rPr>
      </w:pPr>
    </w:p>
    <w:p>
      <w:pPr>
        <w:spacing w:after="0" w:line="250" w:lineRule="auto"/>
        <w:rPr>
          <w:sz w:val="20"/>
          <w:szCs w:val="20"/>
          <w:color w:val="auto"/>
        </w:rPr>
      </w:pPr>
      <w:r>
        <w:rPr>
          <w:rFonts w:ascii="Arial" w:cs="Arial" w:eastAsia="Arial" w:hAnsi="Arial"/>
          <w:sz w:val="17"/>
          <w:szCs w:val="17"/>
          <w:color w:val="auto"/>
        </w:rPr>
        <w:t>higher. Additionally, several states have begun enacting new data privacy laws. For example, California recently enacted legislation, the California Consumer Privacy Act (“CCPA”), that, among other things, requires covered companies to provide new disclosures to California consumers, and afford such consumers new abilities to opt out of certain sales of personal information. The CCPA became effective on January 1, 2020. The CCPA has been amended on multiple occasions and is the subject of proposed regulations of the California Attorney General that have yet to be finalized. Aspects of the CCPA and its interpretation remain unclear. The effects of the CCPA are significant and may require us to modify our data processing practices and policies and to incur substantial costs and expenses in an effort to comply. We cannot yet determine the impact these laws and regulations or any future laws, regulations and standards may have on our business. Such laws, regulations and standards are often subject to differing interpretations and may be inconsistent among jurisdictions. These and other requirements could reduce demand for our service, increase our costs, impair our ability to grow our business, or restrict our ability to store and process data or, in some cases, impact our ability to offer our service in some locations and may subject us to liability. Further, in view of new or modified federal, state or foreign laws and regulations, industry standards, contractual obligations and other legal obligations, or any changes in their interpretation, we may find it necessary or desirable to fundamentally change our business activities and practices or to expend significant resources to modify our software or platform and otherwise adapt to these changes. We may be unable to make such changes and modifications in a commercially reasonable manner or at all, and our ability to develop new products and features could be limited.</w:t>
      </w:r>
    </w:p>
    <w:p>
      <w:pPr>
        <w:spacing w:after="0" w:line="200" w:lineRule="exact"/>
        <w:rPr>
          <w:sz w:val="20"/>
          <w:szCs w:val="20"/>
          <w:color w:val="auto"/>
        </w:rPr>
      </w:pPr>
    </w:p>
    <w:p>
      <w:pPr>
        <w:spacing w:after="0" w:line="205" w:lineRule="exact"/>
        <w:rPr>
          <w:sz w:val="20"/>
          <w:szCs w:val="20"/>
          <w:color w:val="auto"/>
        </w:rPr>
      </w:pPr>
    </w:p>
    <w:p>
      <w:pPr>
        <w:ind w:right="20" w:firstLine="518"/>
        <w:spacing w:after="0" w:line="237" w:lineRule="auto"/>
        <w:rPr>
          <w:sz w:val="20"/>
          <w:szCs w:val="20"/>
          <w:color w:val="auto"/>
        </w:rPr>
      </w:pPr>
      <w:r>
        <w:rPr>
          <w:rFonts w:ascii="Arial" w:cs="Arial" w:eastAsia="Arial" w:hAnsi="Arial"/>
          <w:sz w:val="18"/>
          <w:szCs w:val="18"/>
          <w:color w:val="auto"/>
        </w:rPr>
        <w:t>Further, a referendum was passed in June 2016 in which voters in the United Kingdom approved an exit from the EU, commonly referred to as “Brexit”. The UK’s exit from the EU pursuant to Brexit became effective January 31, 2020. Brexit has created uncertainty with regard to the regulation of data protection in the United Kingdom. The United Kingdom has implemented a Data Protection Act that substantially implements the GDPR, but it remains to be seen whether the United Kingdom’s withdrawal from the EU pursuant to Brexit will substantially impact the manners in which United Kingdom data protection laws or regulations will develop in the medium to longer term and how data transfers to and from the United Kingdom will be regulated.</w:t>
      </w:r>
    </w:p>
    <w:p>
      <w:pPr>
        <w:spacing w:after="0" w:line="205" w:lineRule="exact"/>
        <w:rPr>
          <w:sz w:val="20"/>
          <w:szCs w:val="20"/>
          <w:color w:val="auto"/>
        </w:rPr>
      </w:pPr>
    </w:p>
    <w:p>
      <w:pPr>
        <w:ind w:right="100" w:firstLine="518"/>
        <w:spacing w:after="0"/>
        <w:rPr>
          <w:sz w:val="20"/>
          <w:szCs w:val="20"/>
          <w:color w:val="auto"/>
        </w:rPr>
      </w:pPr>
      <w:r>
        <w:rPr>
          <w:rFonts w:ascii="Arial" w:cs="Arial" w:eastAsia="Arial" w:hAnsi="Arial"/>
          <w:sz w:val="18"/>
          <w:szCs w:val="18"/>
          <w:color w:val="auto"/>
        </w:rPr>
        <w:t>Our customers also expect that we comply with regulatory standards that may place additional burdens on us. Our customers expect us to meet voluntary certifications or adhere to standards established by third parties, such as the SSAE 18, SOC1 and SOC2 audit processes, and may demand that they be provided a report from our auditors that we</w:t>
      </w: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2720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571" w:right="239" w:bottom="1440" w:gutter="0" w:footer="0" w:header="0"/>
        </w:sectPr>
      </w:pPr>
    </w:p>
    <w:bookmarkStart w:id="22" w:name="page23"/>
    <w:bookmarkEnd w:id="22"/>
    <w:p>
      <w:pPr>
        <w:ind w:right="220"/>
        <w:spacing w:after="0" w:line="246" w:lineRule="auto"/>
        <w:rPr>
          <w:sz w:val="20"/>
          <w:szCs w:val="20"/>
          <w:color w:val="auto"/>
        </w:rPr>
      </w:pPr>
      <w:r>
        <w:rPr>
          <w:rFonts w:ascii="Arial" w:cs="Arial" w:eastAsia="Arial" w:hAnsi="Arial"/>
          <w:sz w:val="18"/>
          <w:szCs w:val="18"/>
          <w:color w:val="auto"/>
        </w:rPr>
        <w:t>are in compliance. If we are unable to maintain these certifications or meet these standards, it could adversely affect our customers’ demand for our service and could harm our business.</w:t>
      </w:r>
    </w:p>
    <w:p>
      <w:pPr>
        <w:spacing w:after="0" w:line="197" w:lineRule="exact"/>
        <w:rPr>
          <w:sz w:val="20"/>
          <w:szCs w:val="20"/>
          <w:color w:val="auto"/>
        </w:rPr>
      </w:pPr>
    </w:p>
    <w:p>
      <w:pPr>
        <w:ind w:right="260" w:firstLine="518"/>
        <w:spacing w:after="0" w:line="239" w:lineRule="auto"/>
        <w:rPr>
          <w:sz w:val="20"/>
          <w:szCs w:val="20"/>
          <w:color w:val="auto"/>
        </w:rPr>
      </w:pPr>
      <w:r>
        <w:rPr>
          <w:rFonts w:ascii="Arial" w:cs="Arial" w:eastAsia="Arial" w:hAnsi="Arial"/>
          <w:sz w:val="18"/>
          <w:szCs w:val="18"/>
          <w:color w:val="auto"/>
        </w:rPr>
        <w:t>The costs of compliance with and other burdens imposed by laws, regulations and standards may limit the use and adoption of our service and reduce overall demand for it, or lead to significant fines, penalties or liabilities for any noncompliance. Privacy, security, and data protection concerns, whether valid or not valid, may inhibit market adoption of our platform, particularly in certain industries and foreign countries.</w:t>
      </w:r>
    </w:p>
    <w:p>
      <w:pPr>
        <w:spacing w:after="0" w:line="288" w:lineRule="exact"/>
        <w:rPr>
          <w:sz w:val="20"/>
          <w:szCs w:val="20"/>
          <w:color w:val="auto"/>
        </w:rPr>
      </w:pPr>
    </w:p>
    <w:p>
      <w:pPr>
        <w:ind w:right="220"/>
        <w:spacing w:after="0" w:line="271" w:lineRule="auto"/>
        <w:rPr>
          <w:sz w:val="20"/>
          <w:szCs w:val="20"/>
          <w:color w:val="auto"/>
        </w:rPr>
      </w:pPr>
      <w:r>
        <w:rPr>
          <w:rFonts w:ascii="Arial" w:cs="Arial" w:eastAsia="Arial" w:hAnsi="Arial"/>
          <w:sz w:val="18"/>
          <w:szCs w:val="18"/>
          <w:b w:val="1"/>
          <w:bCs w:val="1"/>
          <w:i w:val="1"/>
          <w:iCs w:val="1"/>
          <w:color w:val="auto"/>
        </w:rPr>
        <w:t>We depend and rely upon SaaS applications from third parties to operate our business and interruptions or performance problems with these technologies may adversely affect our business and operating results.</w:t>
      </w:r>
    </w:p>
    <w:p>
      <w:pPr>
        <w:spacing w:after="0" w:line="68" w:lineRule="exact"/>
        <w:rPr>
          <w:sz w:val="20"/>
          <w:szCs w:val="20"/>
          <w:color w:val="auto"/>
        </w:rPr>
      </w:pPr>
    </w:p>
    <w:p>
      <w:pPr>
        <w:ind w:right="60" w:firstLine="518"/>
        <w:spacing w:after="0" w:line="238" w:lineRule="auto"/>
        <w:rPr>
          <w:sz w:val="20"/>
          <w:szCs w:val="20"/>
          <w:color w:val="auto"/>
        </w:rPr>
      </w:pPr>
      <w:r>
        <w:rPr>
          <w:rFonts w:ascii="Arial" w:cs="Arial" w:eastAsia="Arial" w:hAnsi="Arial"/>
          <w:sz w:val="18"/>
          <w:szCs w:val="18"/>
          <w:color w:val="auto"/>
        </w:rPr>
        <w:t>We rely heavily upon SaaS applications from third parties in order to operate critical functions of our business, including billing and order management, enterprise resource planning, and financial accounting services. If these services become unavailable due to extended outages, interruptions, or because they are no longer available on commercially reasonable terms, our expenses could increase, our ability to manage finances could be interrupted and our processes for managing sales of our solutions and supporting our customers could be impaired until equivalent services, if available, are identified, obtained, and implemented, all of which could adversely affect our business.</w:t>
      </w:r>
    </w:p>
    <w:p>
      <w:pPr>
        <w:spacing w:after="0" w:line="289" w:lineRule="exact"/>
        <w:rPr>
          <w:sz w:val="20"/>
          <w:szCs w:val="20"/>
          <w:color w:val="auto"/>
        </w:rPr>
      </w:pPr>
    </w:p>
    <w:p>
      <w:pPr>
        <w:ind w:right="80"/>
        <w:spacing w:after="0" w:line="271" w:lineRule="auto"/>
        <w:rPr>
          <w:sz w:val="20"/>
          <w:szCs w:val="20"/>
          <w:color w:val="auto"/>
        </w:rPr>
      </w:pPr>
      <w:r>
        <w:rPr>
          <w:rFonts w:ascii="Arial" w:cs="Arial" w:eastAsia="Arial" w:hAnsi="Arial"/>
          <w:sz w:val="18"/>
          <w:szCs w:val="18"/>
          <w:b w:val="1"/>
          <w:bCs w:val="1"/>
          <w:i w:val="1"/>
          <w:iCs w:val="1"/>
          <w:color w:val="auto"/>
        </w:rPr>
        <w:t>We rely on third-party computer hardware and software that may be difficult to replace or which could cause errors or failures of our software solutions.</w:t>
      </w:r>
    </w:p>
    <w:p>
      <w:pPr>
        <w:spacing w:after="0" w:line="68" w:lineRule="exact"/>
        <w:rPr>
          <w:sz w:val="20"/>
          <w:szCs w:val="20"/>
          <w:color w:val="auto"/>
        </w:rPr>
      </w:pPr>
    </w:p>
    <w:p>
      <w:pPr>
        <w:ind w:right="40" w:firstLine="518"/>
        <w:spacing w:after="0" w:line="237" w:lineRule="auto"/>
        <w:rPr>
          <w:sz w:val="20"/>
          <w:szCs w:val="20"/>
          <w:color w:val="auto"/>
        </w:rPr>
      </w:pPr>
      <w:r>
        <w:rPr>
          <w:rFonts w:ascii="Arial" w:cs="Arial" w:eastAsia="Arial" w:hAnsi="Arial"/>
          <w:sz w:val="18"/>
          <w:szCs w:val="18"/>
          <w:color w:val="auto"/>
        </w:rPr>
        <w:t>We rely on computer hardware purchased or leased and software licensed from third parties in order to deliver our software solutions. This hardware and software may not continue to be available on commercially reasonable terms, if at all. Any loss of the right to use any of this hardware or software could result in delaying or preventing our ability to provide our software solutions until equivalent technology is either developed by us or, if available, identified, obtained and integrated. In addition, errors or defects in third-party hardware or software used in our software solutions could result in errors or a failure, which could damage our reputation, impede our ability to provide our platform or process information, and adversely affect our business and results of operations.</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face exposure to foreign currency exchange rate fluctuations that could harm our results of operations.</w:t>
      </w:r>
    </w:p>
    <w:p>
      <w:pPr>
        <w:spacing w:after="0" w:line="126" w:lineRule="exact"/>
        <w:rPr>
          <w:sz w:val="20"/>
          <w:szCs w:val="20"/>
          <w:color w:val="auto"/>
        </w:rPr>
      </w:pPr>
    </w:p>
    <w:p>
      <w:pPr>
        <w:ind w:right="100" w:firstLine="518"/>
        <w:spacing w:after="0" w:line="237" w:lineRule="auto"/>
        <w:rPr>
          <w:sz w:val="20"/>
          <w:szCs w:val="20"/>
          <w:color w:val="auto"/>
        </w:rPr>
      </w:pPr>
      <w:r>
        <w:rPr>
          <w:rFonts w:ascii="Arial" w:cs="Arial" w:eastAsia="Arial" w:hAnsi="Arial"/>
          <w:sz w:val="18"/>
          <w:szCs w:val="18"/>
          <w:color w:val="auto"/>
        </w:rPr>
        <w:t>We conduct transactions, particularly intercompany transactions, in currencies other than the U.S. dollar, primarily the British pound and the Euro. As we grow our international operations, we expect the amount of our revenues that are denominated in foreign currencies to increase in the future. Accordingly, changes in the value of foreign currencies relative to the U.S. dollar could affect our revenue and operating results due to transactional and translational remeasurements that are reflected in our results of operations. As a result of such foreign currency exchange rate fluctuations, it could be more difficult to detect underlying trends in our business and results of operations. In addition, to the extent that fluctuations in currency exchange rates cause our results of operations to differ from our expectations or the expectations of our investors, the trading price of our common stock could be adversely affected.</w:t>
      </w:r>
    </w:p>
    <w:p>
      <w:pPr>
        <w:spacing w:after="0" w:line="203" w:lineRule="exact"/>
        <w:rPr>
          <w:sz w:val="20"/>
          <w:szCs w:val="20"/>
          <w:color w:val="auto"/>
        </w:rPr>
      </w:pPr>
    </w:p>
    <w:p>
      <w:pPr>
        <w:ind w:firstLine="518"/>
        <w:spacing w:after="0" w:line="239" w:lineRule="auto"/>
        <w:rPr>
          <w:sz w:val="20"/>
          <w:szCs w:val="20"/>
          <w:color w:val="auto"/>
        </w:rPr>
      </w:pPr>
      <w:r>
        <w:rPr>
          <w:rFonts w:ascii="Arial" w:cs="Arial" w:eastAsia="Arial" w:hAnsi="Arial"/>
          <w:sz w:val="18"/>
          <w:szCs w:val="18"/>
          <w:color w:val="auto"/>
        </w:rPr>
        <w:t>Additionally, Brexit has adversely impacted global markets and foreign currencies. In particular, the value of the British pound declined as compared to the U.S. dollar and other currencies. This volatility in foreign currencies is expected to continue as the U.K. negotiates and executes its exit from the EU, but it is uncertain over what time period this will occur. A significantly weaker British pound compared to the U.S. dollar could have a negative effect on our business, financial condition and results of operations.</w:t>
      </w:r>
    </w:p>
    <w:p>
      <w:pPr>
        <w:spacing w:after="0" w:line="202" w:lineRule="exact"/>
        <w:rPr>
          <w:sz w:val="20"/>
          <w:szCs w:val="20"/>
          <w:color w:val="auto"/>
        </w:rPr>
      </w:pPr>
    </w:p>
    <w:p>
      <w:pPr>
        <w:ind w:firstLine="518"/>
        <w:spacing w:after="0" w:line="238" w:lineRule="auto"/>
        <w:rPr>
          <w:sz w:val="20"/>
          <w:szCs w:val="20"/>
          <w:color w:val="auto"/>
        </w:rPr>
      </w:pPr>
      <w:r>
        <w:rPr>
          <w:rFonts w:ascii="Arial" w:cs="Arial" w:eastAsia="Arial" w:hAnsi="Arial"/>
          <w:sz w:val="18"/>
          <w:szCs w:val="18"/>
          <w:color w:val="auto"/>
        </w:rPr>
        <w:t>We do not currently maintain a program to hedge transactional exposures in foreign currencies. However, in the future, we may use derivative instruments, such as foreign currency forward and option contracts, to hedge exposures to fluctuations in foreign currency exchange rates. The use of such hedging activities may not offset any or more than a portion of the adverse financial effects of unfavorable movements in foreign exchange rates over the limited time the hedges are in place. Moreover, the use of hedging instruments may introduce additional risks if we are unable to structure effective hedges with such instruments.</w:t>
      </w:r>
    </w:p>
    <w:p>
      <w:pPr>
        <w:spacing w:after="0" w:line="289" w:lineRule="exact"/>
        <w:rPr>
          <w:sz w:val="20"/>
          <w:szCs w:val="20"/>
          <w:color w:val="auto"/>
        </w:rPr>
      </w:pPr>
    </w:p>
    <w:p>
      <w:pPr>
        <w:ind w:right="240"/>
        <w:spacing w:after="0" w:line="271" w:lineRule="auto"/>
        <w:rPr>
          <w:sz w:val="20"/>
          <w:szCs w:val="20"/>
          <w:color w:val="auto"/>
        </w:rPr>
      </w:pPr>
      <w:r>
        <w:rPr>
          <w:rFonts w:ascii="Arial" w:cs="Arial" w:eastAsia="Arial" w:hAnsi="Arial"/>
          <w:sz w:val="18"/>
          <w:szCs w:val="18"/>
          <w:b w:val="1"/>
          <w:bCs w:val="1"/>
          <w:i w:val="1"/>
          <w:iCs w:val="1"/>
          <w:color w:val="auto"/>
        </w:rPr>
        <w:t>We are subject to governmental export and import controls that could impair our ability to compete in international markets due to licensing requirements and subject us to liability if we are not in full compliance with applicable laws.</w:t>
      </w:r>
    </w:p>
    <w:p>
      <w:pPr>
        <w:spacing w:after="0" w:line="68" w:lineRule="exact"/>
        <w:rPr>
          <w:sz w:val="20"/>
          <w:szCs w:val="20"/>
          <w:color w:val="auto"/>
        </w:rPr>
      </w:pPr>
    </w:p>
    <w:p>
      <w:pPr>
        <w:ind w:right="560" w:firstLine="518"/>
        <w:spacing w:after="0" w:line="246" w:lineRule="auto"/>
        <w:rPr>
          <w:sz w:val="20"/>
          <w:szCs w:val="20"/>
          <w:color w:val="auto"/>
        </w:rPr>
      </w:pPr>
      <w:r>
        <w:rPr>
          <w:rFonts w:ascii="Arial" w:cs="Arial" w:eastAsia="Arial" w:hAnsi="Arial"/>
          <w:sz w:val="18"/>
          <w:szCs w:val="18"/>
          <w:color w:val="auto"/>
        </w:rPr>
        <w:t>Our solutions are subject to export controls, including the Commerce Department’s Export Administration Regulations and various economic and trade sanctions regulations established by the Treasury Department’s Office of</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2720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00"/>
          </w:cols>
          <w:pgMar w:left="240" w:top="571" w:right="259" w:bottom="1440" w:gutter="0" w:footer="0" w:header="0"/>
        </w:sectPr>
      </w:pPr>
    </w:p>
    <w:bookmarkStart w:id="23" w:name="page24"/>
    <w:bookmarkEnd w:id="23"/>
    <w:p>
      <w:pPr>
        <w:ind w:right="80"/>
        <w:spacing w:after="0" w:line="236" w:lineRule="auto"/>
        <w:rPr>
          <w:sz w:val="20"/>
          <w:szCs w:val="20"/>
          <w:color w:val="auto"/>
        </w:rPr>
      </w:pPr>
      <w:r>
        <w:rPr>
          <w:rFonts w:ascii="Arial" w:cs="Arial" w:eastAsia="Arial" w:hAnsi="Arial"/>
          <w:sz w:val="18"/>
          <w:szCs w:val="18"/>
          <w:color w:val="auto"/>
        </w:rPr>
        <w:t>Foreign Assets Control. Obtaining the necessary authorizations, including any required license, for a particular export or sale may be time-consuming, is not guaranteed, and may result in the delay or loss of sales opportunities. The U.S. export control laws and economic sanctions laws prohibit the export, re-export or transfer of specific products and services to U.S. embargoed or sanctioned countries, governments and persons. Even though we take precautions to prevent our solutions from being provided to U.S. sanctions targets, our solutions could be sold by resellers or could be used by persons in sanctioned countries despite such precautions. Failure to comply with the U.S. export control, sanctions and import laws could have negative consequences, including government investigations, penalties and reputational harm. We and our employees could be subject to civil or criminal penalties, including the possible loss of export or import privileges, fines, and, in extreme cases, the incarceration of responsible employees or managers. In addition, if our resellers fail to obtain appropriate import, export or re-export licenses or authorizations, we may also be adversely affected through reputational harm and penalties.</w:t>
      </w:r>
    </w:p>
    <w:p>
      <w:pPr>
        <w:spacing w:after="0" w:line="207" w:lineRule="exact"/>
        <w:rPr>
          <w:sz w:val="20"/>
          <w:szCs w:val="20"/>
          <w:color w:val="auto"/>
        </w:rPr>
      </w:pPr>
    </w:p>
    <w:p>
      <w:pPr>
        <w:ind w:firstLine="518"/>
        <w:spacing w:after="0" w:line="236" w:lineRule="auto"/>
        <w:rPr>
          <w:sz w:val="20"/>
          <w:szCs w:val="20"/>
          <w:color w:val="auto"/>
        </w:rPr>
      </w:pPr>
      <w:r>
        <w:rPr>
          <w:rFonts w:ascii="Arial" w:cs="Arial" w:eastAsia="Arial" w:hAnsi="Arial"/>
          <w:sz w:val="18"/>
          <w:szCs w:val="18"/>
          <w:color w:val="auto"/>
        </w:rPr>
        <w:t>In addition, various countries regulate the import of encryption technology, including through import permitting/licensing requirements, and have enacted laws that could limit our ability to distribute our solutions or could limit our customers’ ability to implement or access our solutions in those countries. Changes in our solutions or changes in export and import regulations may create delays in the introduction and sale of our solutions in international markets, prevent our customers with international operations from accessing our solutions or, in some cases, preventing the export or import of our solutions to some countries, governments or persons altogether. Any change in export or import regulations, economic sanctions or related laws, shift in the enforcement or scope of existing regulations, or change in the countries, governments, persons or technologies targeted by such regulations, could result in decreased use of our solutions, or in our decreased ability to export or sell our solutions to existing or potential customers with international operations. Any decreased use of our solutions or limitation on our ability to export or sell our solutions would likely adversely affect our business, financial condition and results of operations.</w:t>
      </w:r>
    </w:p>
    <w:p>
      <w:pPr>
        <w:spacing w:after="0" w:line="294" w:lineRule="exact"/>
        <w:rPr>
          <w:sz w:val="20"/>
          <w:szCs w:val="20"/>
          <w:color w:val="auto"/>
        </w:rPr>
      </w:pPr>
    </w:p>
    <w:p>
      <w:pPr>
        <w:ind w:right="20"/>
        <w:spacing w:after="0" w:line="247" w:lineRule="auto"/>
        <w:rPr>
          <w:sz w:val="20"/>
          <w:szCs w:val="20"/>
          <w:color w:val="auto"/>
        </w:rPr>
      </w:pPr>
      <w:r>
        <w:rPr>
          <w:rFonts w:ascii="Arial" w:cs="Arial" w:eastAsia="Arial" w:hAnsi="Arial"/>
          <w:sz w:val="18"/>
          <w:szCs w:val="18"/>
          <w:b w:val="1"/>
          <w:bCs w:val="1"/>
          <w:i w:val="1"/>
          <w:iCs w:val="1"/>
          <w:color w:val="auto"/>
        </w:rPr>
        <w:t>The nature of our business requires the application of complex revenue and expense recognition rules and the current legislative and regulatory environment affecting generally accepted accounting principles is uncertain. Significant changes in current principles could affect our financial statements going forward and changes in financial accounting standards or practices may cause adverse, unexpected financial reporting fluctuations and harm our operating results.</w:t>
      </w:r>
    </w:p>
    <w:p>
      <w:pPr>
        <w:spacing w:after="0" w:line="88" w:lineRule="exact"/>
        <w:rPr>
          <w:sz w:val="20"/>
          <w:szCs w:val="20"/>
          <w:color w:val="auto"/>
        </w:rPr>
      </w:pPr>
    </w:p>
    <w:p>
      <w:pPr>
        <w:ind w:firstLine="518"/>
        <w:spacing w:after="0" w:line="235" w:lineRule="auto"/>
        <w:rPr>
          <w:sz w:val="20"/>
          <w:szCs w:val="20"/>
          <w:color w:val="auto"/>
        </w:rPr>
      </w:pPr>
      <w:r>
        <w:rPr>
          <w:rFonts w:ascii="Arial" w:cs="Arial" w:eastAsia="Arial" w:hAnsi="Arial"/>
          <w:sz w:val="18"/>
          <w:szCs w:val="18"/>
          <w:color w:val="auto"/>
        </w:rPr>
        <w:t>The accounting rules and regulations that we must comply with are complex and subject to interpretation by the FASB, the SEC and various bodies formed to promulgate and interpret appropriate accounting principles. Recent actions and public comments from the FASB and the SEC have focused on the integrity of financial reporting and internal controls. In addition, many companies’ accounting policies are being subject to heightened scrutiny by regulators and the public. Further, the accounting rules and regulations are continually changing in ways that could materially impact our financial statements. For example, in May 2014, the FASB issued Accounting Standards Update, or ASU, No. 2014-09, Revenue from Contracts with Customers (“ASC 606”), as amended, superseded nearly all existing revenue recognition guidance. The effective date of the new revenue standard was January 1, 2018. The new standard permitted adoption either by using (i) a full retrospective approach for all periods presented in the period of adoption or (ii) a modified retrospective approach with the cumulative effect of initially applying the new standard recognized at the date of initial application and providing certain additional disclosures. We adopted the new revenue guidance in the first quarter of 2018 using the full retrospective method to restate each prior reporting period presented. We assessed the impact of the new revenue guidance on our arrangements and the new standard had a material impact on our consolidated financial statements. The new guidance impacted the amount and timing of incremental costs of obtaining a contract, such as sales commissions. We generally do not pay sales commissions upon contract renewal. Accordingly, under the new revenue guidance, the sales commissions are recognized over an estimated period of benefit rather than over the non-cancelable term under current guidance. The new guidance also impacted our on-premise solutions, as we are required to recognize as revenue a significant portion of the contract consideration upon delivery of the software compared to the prior practice of recognizing the contract consideration ratably over time for certain arrangements. The new guidance requires incremental disclosures of our revenue arrangements. Adoption of this standard required changes to our business processes, systems and controls to support the new revenue recognition guidance.</w:t>
      </w:r>
    </w:p>
    <w:p>
      <w:pPr>
        <w:spacing w:after="0" w:line="214" w:lineRule="exact"/>
        <w:rPr>
          <w:sz w:val="20"/>
          <w:szCs w:val="20"/>
          <w:color w:val="auto"/>
        </w:rPr>
      </w:pPr>
    </w:p>
    <w:p>
      <w:pPr>
        <w:ind w:right="160" w:firstLine="518"/>
        <w:spacing w:after="0" w:line="239" w:lineRule="auto"/>
        <w:rPr>
          <w:sz w:val="20"/>
          <w:szCs w:val="20"/>
          <w:color w:val="auto"/>
        </w:rPr>
      </w:pPr>
      <w:r>
        <w:rPr>
          <w:rFonts w:ascii="Arial" w:cs="Arial" w:eastAsia="Arial" w:hAnsi="Arial"/>
          <w:sz w:val="18"/>
          <w:szCs w:val="18"/>
          <w:color w:val="auto"/>
        </w:rPr>
        <w:t>We cannot predict the impact of future changes to accounting principles or our accounting policies on our financial statements going forward, which could have a significant effect on our reported financial results, and could affect the reporting of transactions completed before the announcement of the change. In addition, if we were to change our critical accounting estimates, including those related to the recognition of license revenue and other revenue sources, our operating results could be significantly affected.</w:t>
      </w:r>
    </w:p>
    <w:p>
      <w:pPr>
        <w:spacing w:after="0" w:line="2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2720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463" w:right="239" w:bottom="1440" w:gutter="0" w:footer="0" w:header="0"/>
        </w:sectPr>
      </w:pPr>
    </w:p>
    <w:bookmarkStart w:id="24" w:name="page25"/>
    <w:bookmarkEnd w:id="24"/>
    <w:p>
      <w:pPr>
        <w:ind w:right="580"/>
        <w:spacing w:after="0" w:line="271" w:lineRule="auto"/>
        <w:rPr>
          <w:sz w:val="20"/>
          <w:szCs w:val="20"/>
          <w:color w:val="auto"/>
        </w:rPr>
      </w:pPr>
      <w:r>
        <w:rPr>
          <w:rFonts w:ascii="Arial" w:cs="Arial" w:eastAsia="Arial" w:hAnsi="Arial"/>
          <w:sz w:val="18"/>
          <w:szCs w:val="18"/>
          <w:b w:val="1"/>
          <w:bCs w:val="1"/>
          <w:i w:val="1"/>
          <w:iCs w:val="1"/>
          <w:color w:val="auto"/>
        </w:rPr>
        <w:t>Incorrect or improper implementation or use of our solutions could result in customer dissatisfaction and negatively affect our business, results of operations, financial condition, and growth prospects.</w:t>
      </w:r>
    </w:p>
    <w:p>
      <w:pPr>
        <w:spacing w:after="0" w:line="68" w:lineRule="exact"/>
        <w:rPr>
          <w:sz w:val="20"/>
          <w:szCs w:val="20"/>
          <w:color w:val="auto"/>
        </w:rPr>
      </w:pPr>
    </w:p>
    <w:p>
      <w:pPr>
        <w:ind w:right="80" w:firstLine="518"/>
        <w:spacing w:after="0" w:line="237" w:lineRule="auto"/>
        <w:rPr>
          <w:sz w:val="20"/>
          <w:szCs w:val="20"/>
          <w:color w:val="auto"/>
        </w:rPr>
      </w:pPr>
      <w:r>
        <w:rPr>
          <w:rFonts w:ascii="Arial" w:cs="Arial" w:eastAsia="Arial" w:hAnsi="Arial"/>
          <w:sz w:val="18"/>
          <w:szCs w:val="18"/>
          <w:color w:val="auto"/>
        </w:rPr>
        <w:t>Our platform is deployed in a wide variety of technology environments and into a broad range of complex workflows. Our platform has been integrated into large-scale, enterprise-wide technology environments, and specialized use cases, and our success depends on our ability to implement our platform successfully in these environments. We often assist our customers in implementing our platform, but many customers attempt to implement even complex deployments themselves or use a third-party service firm. If we or our customers are unable to implement our platform successfully, or are unable to do so in a timely manner, customer perceptions of our platform and company may be impaired, our reputation and brand may suffer, and customers may choose not to renew or expand the use of our platform.</w:t>
      </w:r>
    </w:p>
    <w:p>
      <w:pPr>
        <w:spacing w:after="0" w:line="205" w:lineRule="exact"/>
        <w:rPr>
          <w:sz w:val="20"/>
          <w:szCs w:val="20"/>
          <w:color w:val="auto"/>
        </w:rPr>
      </w:pPr>
    </w:p>
    <w:p>
      <w:pPr>
        <w:ind w:firstLine="518"/>
        <w:spacing w:after="0" w:line="237" w:lineRule="auto"/>
        <w:rPr>
          <w:sz w:val="20"/>
          <w:szCs w:val="20"/>
          <w:color w:val="auto"/>
        </w:rPr>
      </w:pPr>
      <w:r>
        <w:rPr>
          <w:rFonts w:ascii="Arial" w:cs="Arial" w:eastAsia="Arial" w:hAnsi="Arial"/>
          <w:sz w:val="18"/>
          <w:szCs w:val="18"/>
          <w:color w:val="auto"/>
        </w:rPr>
        <w:t>Our customers and third-party resellers may need training in the proper use of our platform to maximize its potential. If our platform is not implemented or used correctly or as intended, including if customers input incorrect or incomplete financial data into our platform, inadequate performance may result. Because our customers rely on our platform to manage their financial close and other financial tasks, the incorrect or improper implementation or use of our platform, our failure to train customers on how to efficiently and effectively use our platform, or our failure to provide adequate product support to our customers, may result in negative publicity or legal claims against us. Also, as we continue to expand our customer base, any failure by us to properly provide these services will likely result in lost opportunities for additional subscriptions to our platform.</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Any failure to offer high-quality product support may adversely affect our relationships with our customers and our financial results.</w:t>
      </w:r>
    </w:p>
    <w:p>
      <w:pPr>
        <w:spacing w:after="0" w:line="126" w:lineRule="exact"/>
        <w:rPr>
          <w:sz w:val="20"/>
          <w:szCs w:val="20"/>
          <w:color w:val="auto"/>
        </w:rPr>
      </w:pPr>
    </w:p>
    <w:p>
      <w:pPr>
        <w:ind w:right="40" w:firstLine="518"/>
        <w:spacing w:after="0" w:line="236" w:lineRule="auto"/>
        <w:rPr>
          <w:sz w:val="20"/>
          <w:szCs w:val="20"/>
          <w:color w:val="auto"/>
        </w:rPr>
      </w:pPr>
      <w:r>
        <w:rPr>
          <w:rFonts w:ascii="Arial" w:cs="Arial" w:eastAsia="Arial" w:hAnsi="Arial"/>
          <w:sz w:val="18"/>
          <w:szCs w:val="18"/>
          <w:color w:val="auto"/>
        </w:rPr>
        <w:t>In deploying and using our solutions, our customers depend on our support services team to resolve complex technical and operational issues. We may be unable to respond quickly enough to accommodate short-term increases in customer demand for product support. We also may be unable to modify the nature, scope and delivery of our product support to compete with changes in product support services provided by our competitors. Increased customer demand for product support, without corresponding revenue, could increase costs and adversely affect our operating results. Our sales are highly dependent on our business reputation and on positive recommendations from our existing customers. Any failure to maintain high-quality product support, or a market perception that we do not maintain high-quality product support, could adversely affect our reputation, our ability to sell our solutions to existing and prospective customers, our business, operating results, and financial position.</w:t>
      </w:r>
    </w:p>
    <w:p>
      <w:pPr>
        <w:spacing w:after="0" w:line="294" w:lineRule="exact"/>
        <w:rPr>
          <w:sz w:val="20"/>
          <w:szCs w:val="20"/>
          <w:color w:val="auto"/>
        </w:rPr>
      </w:pPr>
    </w:p>
    <w:p>
      <w:pPr>
        <w:ind w:right="240"/>
        <w:spacing w:after="0" w:line="271" w:lineRule="auto"/>
        <w:rPr>
          <w:sz w:val="20"/>
          <w:szCs w:val="20"/>
          <w:color w:val="auto"/>
        </w:rPr>
      </w:pPr>
      <w:r>
        <w:rPr>
          <w:rFonts w:ascii="Arial" w:cs="Arial" w:eastAsia="Arial" w:hAnsi="Arial"/>
          <w:sz w:val="18"/>
          <w:szCs w:val="18"/>
          <w:b w:val="1"/>
          <w:bCs w:val="1"/>
          <w:i w:val="1"/>
          <w:iCs w:val="1"/>
          <w:color w:val="auto"/>
        </w:rPr>
        <w:t>Unfavorable conditions in our industry or the global economy could limit our ability to grow our business and negatively affect our operating results.</w:t>
      </w:r>
    </w:p>
    <w:p>
      <w:pPr>
        <w:spacing w:after="0" w:line="68" w:lineRule="exact"/>
        <w:rPr>
          <w:sz w:val="20"/>
          <w:szCs w:val="20"/>
          <w:color w:val="auto"/>
        </w:rPr>
      </w:pPr>
    </w:p>
    <w:p>
      <w:pPr>
        <w:ind w:right="40" w:firstLine="518"/>
        <w:spacing w:after="0" w:line="236" w:lineRule="auto"/>
        <w:rPr>
          <w:sz w:val="20"/>
          <w:szCs w:val="20"/>
          <w:color w:val="auto"/>
        </w:rPr>
      </w:pPr>
      <w:r>
        <w:rPr>
          <w:rFonts w:ascii="Arial" w:cs="Arial" w:eastAsia="Arial" w:hAnsi="Arial"/>
          <w:sz w:val="18"/>
          <w:szCs w:val="18"/>
          <w:color w:val="auto"/>
        </w:rPr>
        <w:t>Our operating results may vary based on the impact of changes in our industry or the global economy on us or our customers. General macro-economic conditions, such as a recession or economic slowdown in the U.S. or internationally, could adversely affect demand for our products and make it difficult to accurately forecast and plan our future business activities. The revenue growth and potential profitability of our business depend on demand for business software applications and services generally and for accounting and finance systems in particular. Weak economic conditions affect the rate of accounting and finance and information technology spending and could adversely affect our customers’ or potential customers’ ability or willingness to purchase our cloud platform, delay purchasing decisions, reduce the value or duration of their subscription contracts, or affect attrition rates, all of which could adversely affect our operating results. If economic conditions deteriorate, our customers and prospective customers may elect to decrease their accounting and finance and information technology budgets, which would limit our ability to grow our business and negatively affect our operating results. In addition, our customers may be affected by changes in trade policies, treaties, government regulations and tariffs. Trade protection measures, retaliatory actions, tariffs and increased barriers, policies favoring domestic industries, or increased import or export licensing requirements or restrictions could have a negative effect on the overall macro economy and our customers, which could have an adverse impact on our operating results.</w:t>
      </w:r>
    </w:p>
    <w:p>
      <w:pPr>
        <w:spacing w:after="0" w:line="97" w:lineRule="exact"/>
        <w:rPr>
          <w:sz w:val="20"/>
          <w:szCs w:val="20"/>
          <w:color w:val="auto"/>
        </w:rPr>
      </w:pPr>
    </w:p>
    <w:p>
      <w:pPr>
        <w:ind w:right="200" w:firstLine="518"/>
        <w:spacing w:after="0" w:line="238" w:lineRule="auto"/>
        <w:rPr>
          <w:sz w:val="20"/>
          <w:szCs w:val="20"/>
          <w:color w:val="auto"/>
        </w:rPr>
      </w:pPr>
      <w:r>
        <w:rPr>
          <w:rFonts w:ascii="Arial" w:cs="Arial" w:eastAsia="Arial" w:hAnsi="Arial"/>
          <w:sz w:val="18"/>
          <w:szCs w:val="18"/>
          <w:color w:val="auto"/>
        </w:rPr>
        <w:t>To the extent conditions in the national and global economy change, our business could be harmed as current and potential customers may reduce or postpone spending or choose not to purchase or renew subscriptions to our products, which they may consider discretionary. For example, Brexit has caused significant political uncertainty in both the U.K. and the EU. It is possible the level of economic activity in this region will be adversely impacted, our customers' use of our products and their ventures could be adversely impacted and we could face increased exposure to foreign currency risks, each of which could adversely affect our operating results.</w:t>
      </w: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2720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657" w:right="239" w:bottom="1440" w:gutter="0" w:footer="0" w:header="0"/>
        </w:sectPr>
      </w:pPr>
    </w:p>
    <w:bookmarkStart w:id="25" w:name="page26"/>
    <w:bookmarkEnd w:id="25"/>
    <w:p>
      <w:pPr>
        <w:ind w:right="100" w:firstLine="518"/>
        <w:spacing w:after="0" w:line="246" w:lineRule="auto"/>
        <w:rPr>
          <w:sz w:val="20"/>
          <w:szCs w:val="20"/>
          <w:color w:val="auto"/>
        </w:rPr>
      </w:pPr>
      <w:r>
        <w:rPr>
          <w:rFonts w:ascii="Arial" w:cs="Arial" w:eastAsia="Arial" w:hAnsi="Arial"/>
          <w:sz w:val="18"/>
          <w:szCs w:val="18"/>
          <w:color w:val="auto"/>
        </w:rPr>
        <w:t>Uncertain economic conditions may also adversely affect third parties with which we have entered into relationships and upon which we depend in order to grow our business. As a result, we may be unable to continue to grow in the event of future economic slowdowns.</w:t>
      </w:r>
    </w:p>
    <w:p>
      <w:pPr>
        <w:spacing w:after="0" w:line="283" w:lineRule="exact"/>
        <w:rPr>
          <w:sz w:val="20"/>
          <w:szCs w:val="20"/>
          <w:color w:val="auto"/>
        </w:rPr>
      </w:pPr>
    </w:p>
    <w:p>
      <w:pPr>
        <w:ind w:right="160"/>
        <w:spacing w:after="0" w:line="271" w:lineRule="auto"/>
        <w:rPr>
          <w:sz w:val="20"/>
          <w:szCs w:val="20"/>
          <w:color w:val="auto"/>
        </w:rPr>
      </w:pPr>
      <w:r>
        <w:rPr>
          <w:rFonts w:ascii="Arial" w:cs="Arial" w:eastAsia="Arial" w:hAnsi="Arial"/>
          <w:sz w:val="18"/>
          <w:szCs w:val="18"/>
          <w:b w:val="1"/>
          <w:bCs w:val="1"/>
          <w:i w:val="1"/>
          <w:iCs w:val="1"/>
          <w:color w:val="auto"/>
        </w:rPr>
        <w:t>Changes in laws and regulations related to the internet and cloud computing or changes to internet infrastructure may diminish the demand for our solutions, and could have a negative impact on our business.</w:t>
      </w:r>
    </w:p>
    <w:p>
      <w:pPr>
        <w:spacing w:after="0" w:line="68" w:lineRule="exact"/>
        <w:rPr>
          <w:sz w:val="20"/>
          <w:szCs w:val="20"/>
          <w:color w:val="auto"/>
        </w:rPr>
      </w:pPr>
    </w:p>
    <w:p>
      <w:pPr>
        <w:ind w:firstLine="518"/>
        <w:spacing w:after="0" w:line="236" w:lineRule="auto"/>
        <w:rPr>
          <w:sz w:val="20"/>
          <w:szCs w:val="20"/>
          <w:color w:val="auto"/>
        </w:rPr>
      </w:pPr>
      <w:r>
        <w:rPr>
          <w:rFonts w:ascii="Arial" w:cs="Arial" w:eastAsia="Arial" w:hAnsi="Arial"/>
          <w:sz w:val="18"/>
          <w:szCs w:val="18"/>
          <w:color w:val="auto"/>
        </w:rPr>
        <w:t>The future success of our business depends upon the continued use of the internet as a primary medium for commerce, communication, and business applications. Federal, state, or foreign government bodies or agencies have in the past adopted, and may in the future adopt, laws or regulations affecting the use of the internet as a commercial medium. Regulators in some industries have also adopted, and may in the future adopt regulations or interpretive positions regarding the use of SaaS and cloud computing solutions. For example, some financial services regulators have imposed guidelines for the use of cloud computing services that mandate specific controls or require financial services enterprises to obtain regulatory approval prior to utilizing such software. Changes in these laws or regulations could require us to modify our solutions in order to comply with these changes. In addition, government agencies or private organizations have imposed and may impose additional taxes, fees, or other charges for accessing the internet or commerce conducted via the internet. These laws or charges could limit the growth of internet-related commerce or communications generally, or result in reductions in the demand for internet-based solutions and services such as ours. In addition, the use of the internet as a business tool could be adversely affected due to delays in the development or adoption of new standards and protocols to handle increased demands of internet activity, security, reliability, cost, ease-of-use, accessibility, and quality of service. The performance of the internet and its acceptance as a business tool has been adversely affected by “viruses,” “worms,” and similar malicious programs and the internet has experienced a variety of outages and other delays as a result of damage to portions of its infrastructure. If the use of the internet is adversely affected by these issues, demand for our solutions could decline.</w:t>
      </w:r>
    </w:p>
    <w:p>
      <w:pPr>
        <w:spacing w:after="0" w:line="203" w:lineRule="exact"/>
        <w:rPr>
          <w:sz w:val="20"/>
          <w:szCs w:val="20"/>
          <w:color w:val="auto"/>
        </w:rPr>
      </w:pPr>
    </w:p>
    <w:p>
      <w:pPr>
        <w:ind w:firstLine="518"/>
        <w:spacing w:after="0" w:line="235" w:lineRule="auto"/>
        <w:rPr>
          <w:sz w:val="20"/>
          <w:szCs w:val="20"/>
          <w:color w:val="auto"/>
        </w:rPr>
      </w:pPr>
      <w:r>
        <w:rPr>
          <w:rFonts w:ascii="Arial" w:cs="Arial" w:eastAsia="Arial" w:hAnsi="Arial"/>
          <w:sz w:val="18"/>
          <w:szCs w:val="18"/>
          <w:color w:val="auto"/>
        </w:rPr>
        <w:t>The adoption of any laws or regulations adversely affecting the growth, popularity or use of the Internet, including laws impacting Internet neutrality, could decrease the demand for our products and increase our operating costs. The current legislative and regulatory landscape regarding the regulation of the Internet and, in particular, Internet neutrality, in the United States is subject to uncertainty. The Federal Communications Commission had previously passed Open Internet rules in February 2015, which generally provided for Internet neutrality with respect to fixed and mobile broadband Internet service. On December 14, 2017, the Federal Communications Commission voted to repeal Open Internet rules generally providing for Internet neutrality with respect to fixed and mobile broadband Internet service regulations and return to a “light-touch” regulatory framework known as the “Restoring Internet Freedom Order.” The FCC’s new rules, which took effect on June 11, 2018, repealed the neutrality obligations imposed by the 2015 rules and granted providers of broadband internet access services greater freedom to make changes to their services, including, potentially, changes that may discriminate against or otherwise harm our business. However, a number of parties have appealed this order. The D.C. Circuit Court of Appeals recently upheld the FCC’s repeal, but ordered the FCC to reconsider certain elements of the repeal; thus the future impact of the FCC's repeal and any changes thereto remains uncertain. In addition, in September 2018, California enacted the California Internet Consumer Protection and Net Neutrality Act of 2018, making California the fourth state to enact a state-level net neutrality law since the FCC repealed its nationwide regulations. This act mandated that all broadband services in California be provided in accordance with California's net neutrality requirements. The U.S. Department of Justice has sued to block the law going into effect, and California has agreed to delay enforcement until the resolution of the FCC's repeal of the federal rules. A number of other states are considering legislation or execution action that would regulate the conduct of broadband providers. In its recent decision on the FCC’s repeal, the D.C. Circuit Court of Appeals also ruled that the FCC does not have the authority to bar states from passing their own net neutrality rules. It is uncertain whether the FCC will argue that some state net neutrality laws are preempted by federal law and challenge such state net neutrality laws on a case-by-case basis. We cannot predict whether the FCC order or state initiatives will be modified, overturned or vacated by legal action. Additional changes in the legislative and regulatory landscape regarding Internet neutrality, or otherwise regarding the regulation of the Internet, could also harm our business.</w:t>
      </w:r>
    </w:p>
    <w:p>
      <w:pPr>
        <w:spacing w:after="0" w:line="300" w:lineRule="exact"/>
        <w:rPr>
          <w:sz w:val="20"/>
          <w:szCs w:val="20"/>
          <w:color w:val="auto"/>
        </w:rPr>
      </w:pPr>
    </w:p>
    <w:p>
      <w:pPr>
        <w:ind w:right="460"/>
        <w:spacing w:after="0" w:line="271" w:lineRule="auto"/>
        <w:rPr>
          <w:sz w:val="20"/>
          <w:szCs w:val="20"/>
          <w:color w:val="auto"/>
        </w:rPr>
      </w:pPr>
      <w:r>
        <w:rPr>
          <w:rFonts w:ascii="Arial" w:cs="Arial" w:eastAsia="Arial" w:hAnsi="Arial"/>
          <w:sz w:val="18"/>
          <w:szCs w:val="18"/>
          <w:b w:val="1"/>
          <w:bCs w:val="1"/>
          <w:i w:val="1"/>
          <w:iCs w:val="1"/>
          <w:color w:val="auto"/>
        </w:rPr>
        <w:t>We provide service level commitments under our customer contracts, and if we fail to meet these contractual commitments, our revenues could be adversely affected.</w:t>
      </w:r>
    </w:p>
    <w:p>
      <w:pPr>
        <w:spacing w:after="0" w:line="68" w:lineRule="exact"/>
        <w:rPr>
          <w:sz w:val="20"/>
          <w:szCs w:val="20"/>
          <w:color w:val="auto"/>
        </w:rPr>
      </w:pPr>
    </w:p>
    <w:p>
      <w:pPr>
        <w:ind w:right="20" w:firstLine="518"/>
        <w:spacing w:after="0" w:line="239" w:lineRule="auto"/>
        <w:rPr>
          <w:sz w:val="20"/>
          <w:szCs w:val="20"/>
          <w:color w:val="auto"/>
        </w:rPr>
      </w:pPr>
      <w:r>
        <w:rPr>
          <w:rFonts w:ascii="Arial" w:cs="Arial" w:eastAsia="Arial" w:hAnsi="Arial"/>
          <w:sz w:val="18"/>
          <w:szCs w:val="18"/>
          <w:color w:val="auto"/>
        </w:rPr>
        <w:t>Our customer agreements typically provide service level commitments. If we are unable to meet the stated service level commitments or suffer extended periods of unavailability for our applications, we may be contractually obligated to provide these customers with service credits, refunds for prepaid amounts related to unused subscription services, or we could face contract terminations. Our revenues could be significantly affected if we suffer unscheduled downtime that</w:t>
      </w:r>
    </w:p>
    <w:p>
      <w:pPr>
        <w:spacing w:after="0" w:line="2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2720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00"/>
          </w:cols>
          <w:pgMar w:left="240" w:top="463" w:right="259" w:bottom="1440" w:gutter="0" w:footer="0" w:header="0"/>
        </w:sectPr>
      </w:pPr>
    </w:p>
    <w:bookmarkStart w:id="26" w:name="page27"/>
    <w:bookmarkEnd w:id="26"/>
    <w:p>
      <w:pPr>
        <w:ind w:right="840"/>
        <w:spacing w:after="0" w:line="246" w:lineRule="auto"/>
        <w:rPr>
          <w:sz w:val="20"/>
          <w:szCs w:val="20"/>
          <w:color w:val="auto"/>
        </w:rPr>
      </w:pPr>
      <w:r>
        <w:rPr>
          <w:rFonts w:ascii="Arial" w:cs="Arial" w:eastAsia="Arial" w:hAnsi="Arial"/>
          <w:sz w:val="18"/>
          <w:szCs w:val="18"/>
          <w:color w:val="auto"/>
        </w:rPr>
        <w:t>exceeds the allowed downtimes under our agreements with our customers. Any extended service outages could adversely affect our reputation, revenues and operating results.</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international operations subject us to potentially adverse tax consequences.</w:t>
      </w:r>
    </w:p>
    <w:p>
      <w:pPr>
        <w:spacing w:after="0" w:line="126" w:lineRule="exact"/>
        <w:rPr>
          <w:sz w:val="20"/>
          <w:szCs w:val="20"/>
          <w:color w:val="auto"/>
        </w:rPr>
      </w:pPr>
    </w:p>
    <w:p>
      <w:pPr>
        <w:ind w:firstLine="518"/>
        <w:spacing w:after="0" w:line="237" w:lineRule="auto"/>
        <w:rPr>
          <w:sz w:val="20"/>
          <w:szCs w:val="20"/>
          <w:color w:val="auto"/>
        </w:rPr>
      </w:pPr>
      <w:r>
        <w:rPr>
          <w:rFonts w:ascii="Arial" w:cs="Arial" w:eastAsia="Arial" w:hAnsi="Arial"/>
          <w:sz w:val="18"/>
          <w:szCs w:val="18"/>
          <w:color w:val="auto"/>
        </w:rPr>
        <w:t>We report our taxable income in various jurisdictions worldwide based upon our business operations in those jurisdictions. Our intercompany relationships are subject to complex transfer pricing regulations administered by taxing authorities in various jurisdictions. The relevant taxing authorities may disagree with our determinations as to the value of assets sold or acquired or income and expenses attributable to specific jurisdictions. If such a disagreement were to occur, and our position were not sustained, we could be required to pay additional taxes, interest and penalties, which could result in one-time tax charges, higher effective tax rates, reduced cash flows, and lower overall profitability of our operations. We believe that our financial statements reflect adequate reserves to cover such a contingency, but there can be no assurances in that regard.</w:t>
      </w:r>
    </w:p>
    <w:p>
      <w:pPr>
        <w:spacing w:after="0" w:line="289" w:lineRule="exact"/>
        <w:rPr>
          <w:sz w:val="20"/>
          <w:szCs w:val="20"/>
          <w:color w:val="auto"/>
        </w:rPr>
      </w:pPr>
    </w:p>
    <w:p>
      <w:pPr>
        <w:ind w:right="200"/>
        <w:spacing w:after="0" w:line="271" w:lineRule="auto"/>
        <w:rPr>
          <w:sz w:val="20"/>
          <w:szCs w:val="20"/>
          <w:color w:val="auto"/>
        </w:rPr>
      </w:pPr>
      <w:r>
        <w:rPr>
          <w:rFonts w:ascii="Arial" w:cs="Arial" w:eastAsia="Arial" w:hAnsi="Arial"/>
          <w:sz w:val="18"/>
          <w:szCs w:val="18"/>
          <w:b w:val="1"/>
          <w:bCs w:val="1"/>
          <w:i w:val="1"/>
          <w:iCs w:val="1"/>
          <w:color w:val="auto"/>
        </w:rPr>
        <w:t>The enactment of legislation implementing changes in the U.S. taxation of international business activities or the adoption of other tax reform policies could materially impact our financial position and results of operations.</w:t>
      </w:r>
    </w:p>
    <w:p>
      <w:pPr>
        <w:spacing w:after="0" w:line="68" w:lineRule="exact"/>
        <w:rPr>
          <w:sz w:val="20"/>
          <w:szCs w:val="20"/>
          <w:color w:val="auto"/>
        </w:rPr>
      </w:pPr>
    </w:p>
    <w:p>
      <w:pPr>
        <w:ind w:right="140" w:firstLine="518"/>
        <w:spacing w:after="0" w:line="237" w:lineRule="auto"/>
        <w:rPr>
          <w:sz w:val="20"/>
          <w:szCs w:val="20"/>
          <w:color w:val="auto"/>
        </w:rPr>
      </w:pPr>
      <w:r>
        <w:rPr>
          <w:rFonts w:ascii="Arial" w:cs="Arial" w:eastAsia="Arial" w:hAnsi="Arial"/>
          <w:sz w:val="18"/>
          <w:szCs w:val="18"/>
          <w:color w:val="auto"/>
        </w:rPr>
        <w:t>Recent changes to U.S. tax laws, including limitations on the ability of taxpayers to claim and utilize foreign tax credits, as well as changes to U.S. tax laws that may be enacted in the future, could impact the tax treatment of our foreign earnings. Due to expansion of our international business activities, any changes in the U.S. taxation of such activities may increase our worldwide effective tax rate and adversely affect our financial position and results of operations. In addition, current and future changes to non-U.S. tax laws, including the continuing development of the Organization for Economic Cooperation and Development Base Erosion and Profit Shifting recommendations, could negatively impact the anticipated tax benefits of our international structure.</w:t>
      </w:r>
    </w:p>
    <w:p>
      <w:pPr>
        <w:spacing w:after="0" w:line="75"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Our ability to use our net operating losses to offset future taxable income may be subject to limitations.</w:t>
      </w:r>
    </w:p>
    <w:p>
      <w:pPr>
        <w:spacing w:after="0" w:line="126" w:lineRule="exact"/>
        <w:rPr>
          <w:sz w:val="20"/>
          <w:szCs w:val="20"/>
          <w:color w:val="auto"/>
        </w:rPr>
      </w:pPr>
    </w:p>
    <w:p>
      <w:pPr>
        <w:ind w:firstLine="518"/>
        <w:spacing w:after="0" w:line="236" w:lineRule="auto"/>
        <w:rPr>
          <w:sz w:val="20"/>
          <w:szCs w:val="20"/>
          <w:color w:val="auto"/>
        </w:rPr>
      </w:pPr>
      <w:r>
        <w:rPr>
          <w:rFonts w:ascii="Arial" w:cs="Arial" w:eastAsia="Arial" w:hAnsi="Arial"/>
          <w:sz w:val="18"/>
          <w:szCs w:val="18"/>
          <w:color w:val="auto"/>
        </w:rPr>
        <w:t>At December 31, 2019, we had federal and state net operating loss carryforwards (“NOLs”), of $199.0 million and $ 99.9 million, respectively. In general, under Section 382 of the Internal Revenue Code of 1986, as amended (the “Code”) a corporation that undergoes an “ownership change” is subject to limitations on its ability to utilize its NOLs to offset future taxable income. Our existing NOLs may be subject to limitations arising from previous ownership changes, and if we undergo an ownership change, our ability to utilize NOLs could be further limited by Section 382 of the Code. Future changes in our stock ownership, some of which are outside of our control, could result in an ownership change under Section 382 of the Code. Furthermore, our ability to utilize NOLs of companies that we may acquire in the future may be subject to limitations. There is also a risk that due to regulatory changes, such as suspensions on the use of NOLs, or other unforeseen reasons, our existing NOLs could expire or otherwise be unavailable to offset future income tax liabilities. For these reasons, we may not be able to realize a tax benefit from the use of our NOLs, whether or not we attain profitability. The Tax Act includes changes to the U.S. federal corporate income tax rate, and our NOLs and other deferred tax assets have been revalued at the newly enacted rate. The revaluation did not have a material impact on our consolidated balance sheet and consolidated statement of operations because we currently maintain a full valuation allowance on our U.S. deferred tax assets.</w:t>
      </w:r>
    </w:p>
    <w:p>
      <w:pPr>
        <w:spacing w:after="0" w:line="291" w:lineRule="exact"/>
        <w:rPr>
          <w:sz w:val="20"/>
          <w:szCs w:val="20"/>
          <w:color w:val="auto"/>
        </w:rPr>
      </w:pPr>
    </w:p>
    <w:p>
      <w:pPr>
        <w:ind w:right="40"/>
        <w:spacing w:after="0" w:line="253" w:lineRule="auto"/>
        <w:rPr>
          <w:sz w:val="20"/>
          <w:szCs w:val="20"/>
          <w:color w:val="auto"/>
        </w:rPr>
      </w:pPr>
      <w:r>
        <w:rPr>
          <w:rFonts w:ascii="Arial" w:cs="Arial" w:eastAsia="Arial" w:hAnsi="Arial"/>
          <w:sz w:val="18"/>
          <w:szCs w:val="18"/>
          <w:b w:val="1"/>
          <w:bCs w:val="1"/>
          <w:i w:val="1"/>
          <w:iCs w:val="1"/>
          <w:color w:val="auto"/>
        </w:rPr>
        <w:t>Taxing authorities may successfully assert that we should have collected, or in the future should collect, sales and use, value-added or similar taxes, and we could be subject to liability with respect to past or future sales, which could adversely affect our results of operations.</w:t>
      </w:r>
    </w:p>
    <w:p>
      <w:pPr>
        <w:spacing w:after="0" w:line="83" w:lineRule="exact"/>
        <w:rPr>
          <w:sz w:val="20"/>
          <w:szCs w:val="20"/>
          <w:color w:val="auto"/>
        </w:rPr>
      </w:pPr>
    </w:p>
    <w:p>
      <w:pPr>
        <w:ind w:firstLine="518"/>
        <w:spacing w:after="0" w:line="239" w:lineRule="auto"/>
        <w:rPr>
          <w:sz w:val="20"/>
          <w:szCs w:val="20"/>
          <w:color w:val="auto"/>
        </w:rPr>
      </w:pPr>
      <w:r>
        <w:rPr>
          <w:rFonts w:ascii="Arial" w:cs="Arial" w:eastAsia="Arial" w:hAnsi="Arial"/>
          <w:sz w:val="18"/>
          <w:szCs w:val="18"/>
          <w:color w:val="auto"/>
        </w:rPr>
        <w:t>Sales and use, value-added and similar tax laws and rates vary greatly by jurisdiction and are subject to change from time to time. Some jurisdictions in which we do not collect such taxes may assert that such taxes are applicable, which could result in tax assessments, penalties and interest, and we may be required to collect such taxes in the future. Such tax assessments, penalties and interest or future requirements may adversely affect our results of operations.</w:t>
      </w:r>
    </w:p>
    <w:p>
      <w:pPr>
        <w:spacing w:after="0" w:line="288" w:lineRule="exact"/>
        <w:rPr>
          <w:sz w:val="20"/>
          <w:szCs w:val="20"/>
          <w:color w:val="auto"/>
        </w:rPr>
      </w:pPr>
    </w:p>
    <w:p>
      <w:pPr>
        <w:jc w:val="center"/>
        <w:ind w:right="100"/>
        <w:spacing w:after="0"/>
        <w:rPr>
          <w:sz w:val="20"/>
          <w:szCs w:val="20"/>
          <w:color w:val="auto"/>
        </w:rPr>
      </w:pPr>
      <w:r>
        <w:rPr>
          <w:rFonts w:ascii="Arial" w:cs="Arial" w:eastAsia="Arial" w:hAnsi="Arial"/>
          <w:sz w:val="18"/>
          <w:szCs w:val="18"/>
          <w:b w:val="1"/>
          <w:bCs w:val="1"/>
          <w:i w:val="1"/>
          <w:iCs w:val="1"/>
          <w:color w:val="auto"/>
        </w:rPr>
        <w:t>We might require additional capital to support business growth, and this capital might not be available on acceptable terms, if at all.</w:t>
      </w:r>
    </w:p>
    <w:p>
      <w:pPr>
        <w:spacing w:after="0" w:line="126" w:lineRule="exact"/>
        <w:rPr>
          <w:sz w:val="20"/>
          <w:szCs w:val="20"/>
          <w:color w:val="auto"/>
        </w:rPr>
      </w:pPr>
    </w:p>
    <w:p>
      <w:pPr>
        <w:ind w:right="140" w:firstLine="518"/>
        <w:spacing w:after="0" w:line="237" w:lineRule="auto"/>
        <w:rPr>
          <w:sz w:val="20"/>
          <w:szCs w:val="20"/>
          <w:color w:val="auto"/>
        </w:rPr>
      </w:pPr>
      <w:r>
        <w:rPr>
          <w:rFonts w:ascii="Arial" w:cs="Arial" w:eastAsia="Arial" w:hAnsi="Arial"/>
          <w:sz w:val="18"/>
          <w:szCs w:val="18"/>
          <w:color w:val="auto"/>
        </w:rPr>
        <w:t>We intend to continue to make investments to support our business growth and may require additional funds to respond to business challenges, including the need to develop new features or enhance our existing solutions, improve our operating infrastructure or acquire complementary businesses and technologies. Accordingly, we may need to engage in equity or debt financings to secure additional funds. If we raise additional funds through further issuances of equity or convertible debt securities, our existing stockholders could suffer significant dilution, and any new equity securities we issue could have rights, preferences and privileges superior to those of holders of our common stock. Any debt financing secured</w:t>
      </w:r>
    </w:p>
    <w:p>
      <w:pPr>
        <w:spacing w:after="0" w:line="20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2720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380"/>
          </w:cols>
          <w:pgMar w:left="240" w:top="463" w:right="279" w:bottom="1440" w:gutter="0" w:footer="0" w:header="0"/>
        </w:sectPr>
      </w:pPr>
    </w:p>
    <w:bookmarkStart w:id="27" w:name="page28"/>
    <w:bookmarkEnd w:id="27"/>
    <w:p>
      <w:pPr>
        <w:spacing w:after="0" w:line="238" w:lineRule="auto"/>
        <w:rPr>
          <w:sz w:val="20"/>
          <w:szCs w:val="20"/>
          <w:color w:val="auto"/>
        </w:rPr>
      </w:pPr>
      <w:r>
        <w:rPr>
          <w:rFonts w:ascii="Arial" w:cs="Arial" w:eastAsia="Arial" w:hAnsi="Arial"/>
          <w:sz w:val="18"/>
          <w:szCs w:val="18"/>
          <w:color w:val="auto"/>
        </w:rPr>
        <w:t>by us in the future could involve restrictive covenants relating to our capital raising activities and other financial and operational matters, which may make it more difficult for us to obtain additional capital and to pursue business opportunities, including potential acquisitions. In addition, we may not be able to obtain additional financing on terms favorable to us, or at all. If we are unable to obtain adequate financing or financing on terms satisfactory to us, when we require it, our ability to continue to support our business growth and to respond to business challenges could be significantly impaired.</w:t>
      </w:r>
    </w:p>
    <w:p>
      <w:pPr>
        <w:spacing w:after="0" w:line="289" w:lineRule="exact"/>
        <w:rPr>
          <w:sz w:val="20"/>
          <w:szCs w:val="20"/>
          <w:color w:val="auto"/>
        </w:rPr>
      </w:pPr>
    </w:p>
    <w:p>
      <w:pPr>
        <w:ind w:right="140"/>
        <w:spacing w:after="0" w:line="247" w:lineRule="auto"/>
        <w:rPr>
          <w:sz w:val="20"/>
          <w:szCs w:val="20"/>
          <w:color w:val="auto"/>
        </w:rPr>
      </w:pPr>
      <w:r>
        <w:rPr>
          <w:rFonts w:ascii="Arial" w:cs="Arial" w:eastAsia="Arial" w:hAnsi="Arial"/>
          <w:sz w:val="18"/>
          <w:szCs w:val="18"/>
          <w:b w:val="1"/>
          <w:bCs w:val="1"/>
          <w:i w:val="1"/>
          <w:iCs w:val="1"/>
          <w:color w:val="auto"/>
        </w:rPr>
        <w:t>We may not have the ability to raise the funds necessary to settle conversions of the Notes in cash, to repurchase the Notes upon a fundamental change, or to repay the Notes in cash at their maturity (if not earlier converted, redeemed, or repurchased), and our future debt may contain limitations on our ability to pay cash upon conversions of Notes or at their maturity or to repurchase the Notes.</w:t>
      </w:r>
    </w:p>
    <w:p>
      <w:pPr>
        <w:spacing w:after="0" w:line="88" w:lineRule="exact"/>
        <w:rPr>
          <w:sz w:val="20"/>
          <w:szCs w:val="20"/>
          <w:color w:val="auto"/>
        </w:rPr>
      </w:pPr>
    </w:p>
    <w:p>
      <w:pPr>
        <w:ind w:firstLine="577"/>
        <w:spacing w:after="0" w:line="236" w:lineRule="auto"/>
        <w:rPr>
          <w:sz w:val="20"/>
          <w:szCs w:val="20"/>
          <w:color w:val="auto"/>
        </w:rPr>
      </w:pPr>
      <w:r>
        <w:rPr>
          <w:rFonts w:ascii="Arial" w:cs="Arial" w:eastAsia="Arial" w:hAnsi="Arial"/>
          <w:sz w:val="18"/>
          <w:szCs w:val="18"/>
          <w:color w:val="auto"/>
        </w:rPr>
        <w:t>Holders of the Notes will have the right to require us to repurchase all or a portion of their Notes upon the occurrence of a fundamental change before the maturity date at a repurchase price equal to 100% of the principal amount of the Notes to be repurchased, plus accrued and unpaid interest, if any, as described in an Indenture (the “Indenture”) dated August 13, 2019, between us and U.S. Bank National Association, as trustee (the “Trustee”). In addition, upon conversion of the Notes, unless we elect to deliver solely shares of our common stock to settle such conversion (other than paying cash in lieu of delivering any fractional share), we will be required to make cash payments in respect of the notes being converted as described in the Indenture. Moreover, we will be required to repay the Notes in cash at their maturity unless earlier converted, redeemed, or repurchased. However, we may not have enough available cash or be able to obtain financing at the time we are required to make repurchases of Notes surrendered therefor or pay cash with respect to Notes being converted or at their maturity.</w:t>
      </w:r>
    </w:p>
    <w:p>
      <w:pPr>
        <w:spacing w:after="0" w:line="100" w:lineRule="exact"/>
        <w:rPr>
          <w:sz w:val="20"/>
          <w:szCs w:val="20"/>
          <w:color w:val="auto"/>
        </w:rPr>
      </w:pPr>
    </w:p>
    <w:p>
      <w:pPr>
        <w:ind w:right="140" w:firstLine="577"/>
        <w:spacing w:after="0" w:line="236" w:lineRule="auto"/>
        <w:rPr>
          <w:sz w:val="20"/>
          <w:szCs w:val="20"/>
          <w:color w:val="auto"/>
        </w:rPr>
      </w:pPr>
      <w:r>
        <w:rPr>
          <w:rFonts w:ascii="Arial" w:cs="Arial" w:eastAsia="Arial" w:hAnsi="Arial"/>
          <w:sz w:val="18"/>
          <w:szCs w:val="18"/>
          <w:color w:val="auto"/>
        </w:rPr>
        <w:t>In addition, our ability to repurchase Notes or to pay cash upon conversions of Notes or at their maturity may be limited by law, regulatory authority, or agreements governing our future indebtedness. Our failure to repurchase Notes at a time when the repurchase is required by the Indenture or to pay cash upon conversions of Notes or at their maturity as required by the Indenture would constitute a default under the Indenture. A default under the Indenture or the fundamental change itself could also lead to a default under agreements governing our existing and future indebtedness. Moreover, the occurrence of a fundamental change under the Indenture could constitute an event of default under any such agreement. If the payment of the related indebtedness were to be accelerated after any applicable notice or grace periods, we may not have sufficient funds to repay such indebtedness and repurchase the notes or pay cash with respect to Notes being converted or at maturity of the Notes.</w:t>
      </w:r>
    </w:p>
    <w:p>
      <w:pPr>
        <w:spacing w:after="0" w:line="2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are subject to counterparty risk with respect to the capped call transactions (the “Capped Calls”).</w:t>
      </w:r>
    </w:p>
    <w:p>
      <w:pPr>
        <w:spacing w:after="0" w:line="126" w:lineRule="exact"/>
        <w:rPr>
          <w:sz w:val="20"/>
          <w:szCs w:val="20"/>
          <w:color w:val="auto"/>
        </w:rPr>
      </w:pPr>
    </w:p>
    <w:p>
      <w:pPr>
        <w:jc w:val="both"/>
        <w:ind w:right="200" w:firstLine="577"/>
        <w:spacing w:after="0"/>
        <w:rPr>
          <w:sz w:val="20"/>
          <w:szCs w:val="20"/>
          <w:color w:val="auto"/>
        </w:rPr>
      </w:pPr>
      <w:r>
        <w:rPr>
          <w:rFonts w:ascii="Arial" w:cs="Arial" w:eastAsia="Arial" w:hAnsi="Arial"/>
          <w:sz w:val="18"/>
          <w:szCs w:val="18"/>
          <w:color w:val="auto"/>
        </w:rPr>
        <w:t>The counterparties to the Capped Calls are financial institutions and are subject to the risk that one or more of the counterparties may default or otherwise fail to perform, or may exercise certain rights to terminate, their obligations under the Capped Calls. Our exposure to the credit risk of the counterparties is not secured by any collateral.</w:t>
      </w:r>
    </w:p>
    <w:p>
      <w:pPr>
        <w:spacing w:after="0" w:line="95" w:lineRule="exact"/>
        <w:rPr>
          <w:sz w:val="20"/>
          <w:szCs w:val="20"/>
          <w:color w:val="auto"/>
        </w:rPr>
      </w:pPr>
    </w:p>
    <w:p>
      <w:pPr>
        <w:ind w:right="20" w:firstLine="577"/>
        <w:spacing w:after="0" w:line="237" w:lineRule="auto"/>
        <w:rPr>
          <w:sz w:val="20"/>
          <w:szCs w:val="20"/>
          <w:color w:val="auto"/>
        </w:rPr>
      </w:pPr>
      <w:r>
        <w:rPr>
          <w:rFonts w:ascii="Arial" w:cs="Arial" w:eastAsia="Arial" w:hAnsi="Arial"/>
          <w:sz w:val="18"/>
          <w:szCs w:val="18"/>
          <w:color w:val="auto"/>
        </w:rPr>
        <w:t>Global economic conditions have in the past resulted in the actual or perceived failure or financial difficulties of many financial institutions. If a counterparty to one or more Capped Calls becomes subject to insolvency proceedings, we will become an unsecured creditor in those proceedings with a claim equal to our exposure at the time under such transactions. Our exposure will depend on many factors but, generally, our exposure will increase if the market price or the volatility of our common stock increases. In addition, upon a default or other failure to perform, or a termination of obligations, by a counterparty, the counterparty may fail to deliver the shares of common stock required to be delivered to us under the Capped Calls and we may suffer adverse tax consequences or experience more dilution than we currently anticipate with respect to our common stock. We can provide no assurances as to the financial stability or viability of the counterparties.</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Natural disasters and other events beyond our control could harm our business.</w:t>
      </w:r>
    </w:p>
    <w:p>
      <w:pPr>
        <w:spacing w:after="0" w:line="126" w:lineRule="exact"/>
        <w:rPr>
          <w:sz w:val="20"/>
          <w:szCs w:val="20"/>
          <w:color w:val="auto"/>
        </w:rPr>
      </w:pPr>
    </w:p>
    <w:p>
      <w:pPr>
        <w:ind w:firstLine="518"/>
        <w:spacing w:after="0" w:line="237" w:lineRule="auto"/>
        <w:rPr>
          <w:sz w:val="20"/>
          <w:szCs w:val="20"/>
          <w:color w:val="auto"/>
        </w:rPr>
      </w:pPr>
      <w:r>
        <w:rPr>
          <w:rFonts w:ascii="Arial" w:cs="Arial" w:eastAsia="Arial" w:hAnsi="Arial"/>
          <w:sz w:val="18"/>
          <w:szCs w:val="18"/>
          <w:color w:val="auto"/>
        </w:rPr>
        <w:t>Natural disasters or other catastrophic events may cause damage or disruption to our operations, international commerce and the global economy, and thus could have a strong negative effect on us. Our business operations are subject to interruption by natural disasters, fire, power shortages, pandemics and other events beyond our control. Although we maintain crisis management and disaster response plans, such events could make it difficult or impossible for us to deliver our solutions to our customers, and could decrease demand for our solutions. The majority of our research and development activities, corporate headquarters, information technology systems and other critical business operations are located in California, which has experienced major earthquakes in the past. Significant recovery time could be required to resume operations and our financial condition and operating results could be harmed in the event of a major earthquake or catastrophic event.</w:t>
      </w: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2720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00"/>
          </w:cols>
          <w:pgMar w:left="240" w:top="463" w:right="259" w:bottom="1440" w:gutter="0" w:footer="0" w:header="0"/>
        </w:sectPr>
      </w:pPr>
    </w:p>
    <w:bookmarkStart w:id="28" w:name="page29"/>
    <w:bookmarkEnd w:id="28"/>
    <w:p>
      <w:pPr>
        <w:spacing w:after="0"/>
        <w:rPr>
          <w:sz w:val="20"/>
          <w:szCs w:val="20"/>
          <w:color w:val="auto"/>
        </w:rPr>
      </w:pPr>
      <w:r>
        <w:rPr>
          <w:rFonts w:ascii="Arial" w:cs="Arial" w:eastAsia="Arial" w:hAnsi="Arial"/>
          <w:sz w:val="18"/>
          <w:szCs w:val="18"/>
          <w:b w:val="1"/>
          <w:bCs w:val="1"/>
          <w:i w:val="1"/>
          <w:iCs w:val="1"/>
          <w:color w:val="auto"/>
        </w:rPr>
        <w:t>If our goodwill or intangible assets become impaired, we may be required to record a significant charge to earnings.</w:t>
      </w:r>
    </w:p>
    <w:p>
      <w:pPr>
        <w:spacing w:after="0" w:line="126" w:lineRule="exact"/>
        <w:rPr>
          <w:sz w:val="20"/>
          <w:szCs w:val="20"/>
          <w:color w:val="auto"/>
        </w:rPr>
      </w:pPr>
    </w:p>
    <w:p>
      <w:pPr>
        <w:ind w:right="140" w:firstLine="518"/>
        <w:spacing w:after="0" w:line="237" w:lineRule="auto"/>
        <w:rPr>
          <w:sz w:val="20"/>
          <w:szCs w:val="20"/>
          <w:color w:val="auto"/>
        </w:rPr>
      </w:pPr>
      <w:r>
        <w:rPr>
          <w:rFonts w:ascii="Arial" w:cs="Arial" w:eastAsia="Arial" w:hAnsi="Arial"/>
          <w:sz w:val="18"/>
          <w:szCs w:val="18"/>
          <w:color w:val="auto"/>
        </w:rPr>
        <w:t>We review our goodwill and intangible assets for impairment when events or changes in circumstances indicate the carrying value may not be recoverable. Goodwill is required to be tested for impairment at least annually. At December 31, 2019, we had goodwill and intangible assets with a net book value of $202.7 million related to the 2013 Acquisition and the Runbook Acquisition. An adverse change in market conditions, particularly if such change has the effect of changing one of our critical assumptions or estimates, could result in a change to the estimation of fair value that could result in an impairment charge to our goodwill or intangible assets. Any such charges may have a material negative impact on our operating results.</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Ownership of our Common Stock</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market price of our common stock may be volatile, and you could lose all or part of your investment.</w:t>
      </w:r>
    </w:p>
    <w:p>
      <w:pPr>
        <w:spacing w:after="0" w:line="126" w:lineRule="exact"/>
        <w:rPr>
          <w:sz w:val="20"/>
          <w:szCs w:val="20"/>
          <w:color w:val="auto"/>
        </w:rPr>
      </w:pPr>
    </w:p>
    <w:p>
      <w:pPr>
        <w:jc w:val="both"/>
        <w:ind w:right="260" w:firstLine="518"/>
        <w:spacing w:after="0"/>
        <w:rPr>
          <w:sz w:val="20"/>
          <w:szCs w:val="20"/>
          <w:color w:val="auto"/>
        </w:rPr>
      </w:pPr>
      <w:r>
        <w:rPr>
          <w:rFonts w:ascii="Arial" w:cs="Arial" w:eastAsia="Arial" w:hAnsi="Arial"/>
          <w:sz w:val="18"/>
          <w:szCs w:val="18"/>
          <w:color w:val="auto"/>
        </w:rPr>
        <w:t>The market price of our common stock since our initial public offering has been and may continue to be subject to wide fluctuations in response to various factors, some of which are beyond our control and may not be related to our operating performance. Factors that could cause fluctuations in the market price of our common stock include the following:</w:t>
      </w:r>
    </w:p>
    <w:p>
      <w:pPr>
        <w:spacing w:after="0" w:line="95" w:lineRule="exact"/>
        <w:rPr>
          <w:sz w:val="20"/>
          <w:szCs w:val="20"/>
          <w:color w:val="auto"/>
        </w:rPr>
      </w:pPr>
    </w:p>
    <w:p>
      <w:pPr>
        <w:ind w:left="1040" w:hanging="519"/>
        <w:spacing w:after="0"/>
        <w:tabs>
          <w:tab w:leader="none" w:pos="10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actual or anticipated fluctuations in our operating results;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financial projections we may provide to the public, any changes in these projections or our failure to meet these projections;</w:t>
      </w:r>
    </w:p>
    <w:p>
      <w:pPr>
        <w:spacing w:after="0" w:line="117" w:lineRule="exact"/>
        <w:rPr>
          <w:rFonts w:ascii="Arial" w:cs="Arial" w:eastAsia="Arial" w:hAnsi="Arial"/>
          <w:sz w:val="18"/>
          <w:szCs w:val="18"/>
          <w:color w:val="auto"/>
        </w:rPr>
      </w:pPr>
    </w:p>
    <w:p>
      <w:pPr>
        <w:ind w:left="1040" w:right="460" w:hanging="519"/>
        <w:spacing w:after="0" w:line="246" w:lineRule="auto"/>
        <w:tabs>
          <w:tab w:leader="none" w:pos="10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failure of securities analysts to initiate or maintain coverage of our company, changes in financial estimates by any securities analysts who follow our company or our failure to meet these estimates or the expectations of investors;</w:t>
      </w:r>
    </w:p>
    <w:p>
      <w:pPr>
        <w:spacing w:after="0" w:line="88" w:lineRule="exact"/>
        <w:rPr>
          <w:rFonts w:ascii="Arial" w:cs="Arial" w:eastAsia="Arial" w:hAnsi="Arial"/>
          <w:sz w:val="18"/>
          <w:szCs w:val="18"/>
          <w:color w:val="auto"/>
        </w:rPr>
      </w:pPr>
    </w:p>
    <w:p>
      <w:pPr>
        <w:ind w:left="1040" w:hanging="519"/>
        <w:spacing w:after="0"/>
        <w:tabs>
          <w:tab w:leader="none" w:pos="10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ratings changes by any securities analysts who follow our company;</w:t>
      </w:r>
    </w:p>
    <w:p>
      <w:pPr>
        <w:spacing w:after="0" w:line="117" w:lineRule="exact"/>
        <w:rPr>
          <w:rFonts w:ascii="Arial" w:cs="Arial" w:eastAsia="Arial" w:hAnsi="Arial"/>
          <w:sz w:val="18"/>
          <w:szCs w:val="18"/>
          <w:color w:val="auto"/>
        </w:rPr>
      </w:pPr>
    </w:p>
    <w:p>
      <w:pPr>
        <w:ind w:left="1040" w:hanging="519"/>
        <w:spacing w:after="0" w:line="246" w:lineRule="auto"/>
        <w:tabs>
          <w:tab w:leader="none" w:pos="10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announcements by us or our competitors of significant technical innovations, acquisitions, strategic relationships, joint ventures, or capital commitments;</w:t>
      </w:r>
    </w:p>
    <w:p>
      <w:pPr>
        <w:spacing w:after="0" w:line="88" w:lineRule="exact"/>
        <w:rPr>
          <w:rFonts w:ascii="Arial" w:cs="Arial" w:eastAsia="Arial" w:hAnsi="Arial"/>
          <w:sz w:val="18"/>
          <w:szCs w:val="18"/>
          <w:color w:val="auto"/>
        </w:rPr>
      </w:pPr>
    </w:p>
    <w:p>
      <w:pPr>
        <w:ind w:left="1040" w:right="140" w:hanging="519"/>
        <w:spacing w:after="0" w:line="246" w:lineRule="auto"/>
        <w:tabs>
          <w:tab w:leader="none" w:pos="10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changes in operating performance and stock market valuations of other technology companies generally, or those in our industry in particular;</w:t>
      </w:r>
    </w:p>
    <w:p>
      <w:pPr>
        <w:spacing w:after="0" w:line="88" w:lineRule="exact"/>
        <w:rPr>
          <w:rFonts w:ascii="Arial" w:cs="Arial" w:eastAsia="Arial" w:hAnsi="Arial"/>
          <w:sz w:val="18"/>
          <w:szCs w:val="18"/>
          <w:color w:val="auto"/>
        </w:rPr>
      </w:pPr>
    </w:p>
    <w:p>
      <w:pPr>
        <w:ind w:left="1040" w:right="380" w:hanging="519"/>
        <w:spacing w:after="0" w:line="246" w:lineRule="auto"/>
        <w:tabs>
          <w:tab w:leader="none" w:pos="10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price and volume fluctuations in the overall stock market from time to time, including as a result of trends in the economy as a whole;</w:t>
      </w:r>
    </w:p>
    <w:p>
      <w:pPr>
        <w:spacing w:after="0" w:line="88" w:lineRule="exact"/>
        <w:rPr>
          <w:rFonts w:ascii="Arial" w:cs="Arial" w:eastAsia="Arial" w:hAnsi="Arial"/>
          <w:sz w:val="18"/>
          <w:szCs w:val="18"/>
          <w:color w:val="auto"/>
        </w:rPr>
      </w:pPr>
    </w:p>
    <w:p>
      <w:pPr>
        <w:ind w:left="1040" w:hanging="519"/>
        <w:spacing w:after="0"/>
        <w:tabs>
          <w:tab w:leader="none" w:pos="10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changes in accounting standards, policies, guidelines, interpretations or principles;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actual or perceived privacy, security, or data protection incidents;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actual or anticipated developments in our business or our competitors’ businesses or the competitive landscape generally;</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developments or disputes concerning our intellectual property, or our products or third-party proprietary rights;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announced or completed acquisitions of businesses or technologies by us or our competitors;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new laws or regulations, or new interpretations of existing laws or regulations applicable to our business;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any major change in our board of directors or management;</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sales of shares of our common stock by us or our stockholders;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lawsuits threatened or filed against us; and</w:t>
      </w:r>
    </w:p>
    <w:p>
      <w:pPr>
        <w:spacing w:after="0" w:line="117" w:lineRule="exact"/>
        <w:rPr>
          <w:rFonts w:ascii="Arial" w:cs="Arial" w:eastAsia="Arial" w:hAnsi="Arial"/>
          <w:sz w:val="18"/>
          <w:szCs w:val="18"/>
          <w:color w:val="auto"/>
        </w:rPr>
      </w:pPr>
    </w:p>
    <w:p>
      <w:pPr>
        <w:ind w:left="1040" w:hanging="519"/>
        <w:spacing w:after="0" w:line="246" w:lineRule="auto"/>
        <w:tabs>
          <w:tab w:leader="none" w:pos="10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other events or factors, including those resulting from war, incidents of terrorism, outbreaks of pandemic diseases, or responses to these events.</w:t>
      </w:r>
    </w:p>
    <w:p>
      <w:pPr>
        <w:spacing w:after="0" w:line="197" w:lineRule="exact"/>
        <w:rPr>
          <w:sz w:val="20"/>
          <w:szCs w:val="20"/>
          <w:color w:val="auto"/>
        </w:rPr>
      </w:pPr>
    </w:p>
    <w:p>
      <w:pPr>
        <w:ind w:firstLine="518"/>
        <w:spacing w:after="0" w:line="238" w:lineRule="auto"/>
        <w:rPr>
          <w:sz w:val="20"/>
          <w:szCs w:val="20"/>
          <w:color w:val="auto"/>
        </w:rPr>
      </w:pPr>
      <w:r>
        <w:rPr>
          <w:rFonts w:ascii="Arial" w:cs="Arial" w:eastAsia="Arial" w:hAnsi="Arial"/>
          <w:sz w:val="18"/>
          <w:szCs w:val="18"/>
          <w:color w:val="auto"/>
        </w:rPr>
        <w:t>In addition, the stock markets, and in particular the market on which our common stock is listed, have experienced extreme price and volume fluctuations that have affected and continue to affect the market prices of equity securities of many technology companies. Stock prices of many technology companies have fluctuated in a manner unrelated or disproportionate to the operating performance of those companies. In the past, stockholders have instituted securities class action litigation following periods of market volatility. If we were to become involved in securities litigation, it could</w:t>
      </w:r>
    </w:p>
    <w:p>
      <w:pPr>
        <w:spacing w:after="0" w:line="2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2720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380"/>
          </w:cols>
          <w:pgMar w:left="240" w:top="657" w:right="279" w:bottom="1440" w:gutter="0" w:footer="0" w:header="0"/>
        </w:sectPr>
      </w:pPr>
    </w:p>
    <w:bookmarkStart w:id="29" w:name="page30"/>
    <w:bookmarkEnd w:id="29"/>
    <w:p>
      <w:pPr>
        <w:ind w:right="600"/>
        <w:spacing w:after="0" w:line="246" w:lineRule="auto"/>
        <w:rPr>
          <w:sz w:val="20"/>
          <w:szCs w:val="20"/>
          <w:color w:val="auto"/>
        </w:rPr>
      </w:pPr>
      <w:r>
        <w:rPr>
          <w:rFonts w:ascii="Arial" w:cs="Arial" w:eastAsia="Arial" w:hAnsi="Arial"/>
          <w:sz w:val="18"/>
          <w:szCs w:val="18"/>
          <w:color w:val="auto"/>
        </w:rPr>
        <w:t>subject us to substantial costs, divert resources and the attention of management from operating our business, and adversely affect our business, results of operations, financial condition and cash flows.</w:t>
      </w:r>
    </w:p>
    <w:p>
      <w:pPr>
        <w:spacing w:after="0" w:line="283" w:lineRule="exact"/>
        <w:rPr>
          <w:sz w:val="20"/>
          <w:szCs w:val="20"/>
          <w:color w:val="auto"/>
        </w:rPr>
      </w:pPr>
    </w:p>
    <w:p>
      <w:pPr>
        <w:spacing w:after="0" w:line="271" w:lineRule="auto"/>
        <w:rPr>
          <w:sz w:val="20"/>
          <w:szCs w:val="20"/>
          <w:color w:val="auto"/>
        </w:rPr>
      </w:pPr>
      <w:r>
        <w:rPr>
          <w:rFonts w:ascii="Arial" w:cs="Arial" w:eastAsia="Arial" w:hAnsi="Arial"/>
          <w:sz w:val="18"/>
          <w:szCs w:val="18"/>
          <w:b w:val="1"/>
          <w:bCs w:val="1"/>
          <w:i w:val="1"/>
          <w:iCs w:val="1"/>
          <w:color w:val="auto"/>
        </w:rPr>
        <w:t>Certain of our Principal Stockholders hold a significant percentage of our common stock, and their interests may differ from those of other stockholders.</w:t>
      </w:r>
    </w:p>
    <w:p>
      <w:pPr>
        <w:spacing w:after="0" w:line="68" w:lineRule="exact"/>
        <w:rPr>
          <w:sz w:val="20"/>
          <w:szCs w:val="20"/>
          <w:color w:val="auto"/>
        </w:rPr>
      </w:pPr>
    </w:p>
    <w:p>
      <w:pPr>
        <w:ind w:right="80" w:firstLine="518"/>
        <w:spacing w:after="0" w:line="239" w:lineRule="auto"/>
        <w:rPr>
          <w:sz w:val="20"/>
          <w:szCs w:val="20"/>
          <w:color w:val="auto"/>
        </w:rPr>
      </w:pPr>
      <w:r>
        <w:rPr>
          <w:rFonts w:ascii="Arial" w:cs="Arial" w:eastAsia="Arial" w:hAnsi="Arial"/>
          <w:sz w:val="18"/>
          <w:szCs w:val="18"/>
          <w:color w:val="auto"/>
        </w:rPr>
        <w:t>At December 31, 2019, our Principal Stockholders beneficially owned, in the aggregate, approximately 18% of our outstanding common stock and three directors affiliated with our Principal Stockholders serve on our board of directors. Further, pursuant to the Stockholders’ Agreement with the Principal Stockholders, we anticipate that the parties to the Stockholders’ Agreement will agree to vote for certain board nominees as well as other directors recommended by our nominating and corporate governance committee.</w:t>
      </w:r>
    </w:p>
    <w:p>
      <w:pPr>
        <w:spacing w:after="0" w:line="202" w:lineRule="exact"/>
        <w:rPr>
          <w:sz w:val="20"/>
          <w:szCs w:val="20"/>
          <w:color w:val="auto"/>
        </w:rPr>
      </w:pPr>
    </w:p>
    <w:p>
      <w:pPr>
        <w:ind w:right="160" w:firstLine="518"/>
        <w:spacing w:after="0" w:line="239" w:lineRule="auto"/>
        <w:rPr>
          <w:sz w:val="20"/>
          <w:szCs w:val="20"/>
          <w:color w:val="auto"/>
        </w:rPr>
      </w:pPr>
      <w:r>
        <w:rPr>
          <w:rFonts w:ascii="Arial" w:cs="Arial" w:eastAsia="Arial" w:hAnsi="Arial"/>
          <w:sz w:val="18"/>
          <w:szCs w:val="18"/>
          <w:color w:val="auto"/>
        </w:rPr>
        <w:t>We are no longer a “controlled company” within the meaning of the corporate governance rules of the NASDAQ Stock Market because our Principal Stockholders no longer control more than a majority of our outstanding stock. Although we previously qualified as a “controlled company,” we elected not to take advantage of the “controlled company” exemption and are in full compliance with all corporate governance requirements under the NASDAQ Stock Market rules.</w:t>
      </w:r>
    </w:p>
    <w:p>
      <w:pPr>
        <w:spacing w:after="0" w:line="202" w:lineRule="exact"/>
        <w:rPr>
          <w:sz w:val="20"/>
          <w:szCs w:val="20"/>
          <w:color w:val="auto"/>
        </w:rPr>
      </w:pPr>
    </w:p>
    <w:p>
      <w:pPr>
        <w:ind w:right="140" w:firstLine="518"/>
        <w:spacing w:after="0" w:line="238" w:lineRule="auto"/>
        <w:rPr>
          <w:sz w:val="20"/>
          <w:szCs w:val="20"/>
          <w:color w:val="auto"/>
        </w:rPr>
      </w:pPr>
      <w:r>
        <w:rPr>
          <w:rFonts w:ascii="Arial" w:cs="Arial" w:eastAsia="Arial" w:hAnsi="Arial"/>
          <w:sz w:val="18"/>
          <w:szCs w:val="18"/>
          <w:color w:val="auto"/>
        </w:rPr>
        <w:t>Further, our amended and restated certificate of incorporation provides that, to the fullest extent permitted by law, the doctrine of “corporate opportunity” will not apply to Iconiq, their respective affiliates or any director they designate, pursuant to their rights under the Stockholders’ Agreement in a manner that would prohibit them from investing in competing businesses or doing business with our partners or customers. Accordingly, any director designated by Iconiq will have the rights to pursue business opportunities that may be of interest to the company and which such director would otherwise need to provide to the company.</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Substantial future sales of shares of our common stock could cause the market price of our common stock to decline.</w:t>
      </w:r>
    </w:p>
    <w:p>
      <w:pPr>
        <w:spacing w:after="0" w:line="126" w:lineRule="exact"/>
        <w:rPr>
          <w:sz w:val="20"/>
          <w:szCs w:val="20"/>
          <w:color w:val="auto"/>
        </w:rPr>
      </w:pPr>
    </w:p>
    <w:p>
      <w:pPr>
        <w:ind w:right="360" w:firstLine="518"/>
        <w:spacing w:after="0"/>
        <w:rPr>
          <w:sz w:val="20"/>
          <w:szCs w:val="20"/>
          <w:color w:val="auto"/>
        </w:rPr>
      </w:pPr>
      <w:r>
        <w:rPr>
          <w:rFonts w:ascii="Arial" w:cs="Arial" w:eastAsia="Arial" w:hAnsi="Arial"/>
          <w:sz w:val="18"/>
          <w:szCs w:val="18"/>
          <w:color w:val="auto"/>
        </w:rPr>
        <w:t>The market price of our common stock could decline as a result of substantial sales of our common stock, particularly sales by our directors, executive officers and significant stockholders, a large number of shares of our common stock becoming available for sale or the perception in the market that holders of a large number of shares intend to sell their shares.</w:t>
      </w:r>
    </w:p>
    <w:p>
      <w:pPr>
        <w:spacing w:after="0" w:line="203" w:lineRule="exact"/>
        <w:rPr>
          <w:sz w:val="20"/>
          <w:szCs w:val="20"/>
          <w:color w:val="auto"/>
        </w:rPr>
      </w:pPr>
    </w:p>
    <w:p>
      <w:pPr>
        <w:ind w:firstLine="518"/>
        <w:spacing w:after="0" w:line="237" w:lineRule="auto"/>
        <w:rPr>
          <w:sz w:val="20"/>
          <w:szCs w:val="20"/>
          <w:color w:val="auto"/>
        </w:rPr>
      </w:pPr>
      <w:r>
        <w:rPr>
          <w:rFonts w:ascii="Arial" w:cs="Arial" w:eastAsia="Arial" w:hAnsi="Arial"/>
          <w:sz w:val="18"/>
          <w:szCs w:val="18"/>
          <w:color w:val="auto"/>
        </w:rPr>
        <w:t>In November 2017, we filed a shelf registration statement on Form S-3 that registered the sale of 33,738,329 shares of our common stock then held by certain stockholders, from time to time, in secondary offerings. In December 2017, March 2018, May 2018, and March 2019, certain stockholders sold an aggregate of 4,500,000 shares, 8,000,000 shares, 3,500,000 shares, and 4,883,873 shares, respectively, under the registration statement and the remaining 12,854,456 shares registered under the registration statement may be offered and sold without restriction under the Securities Act. Such shares may be offered from time to time in the open market, in block trades, in underwritten offerings or in any other transaction described in the related prospectus. All shares covered by the registration statement are immediately tradeable unless transferred to an affiliate of the Company.</w:t>
      </w:r>
    </w:p>
    <w:p>
      <w:pPr>
        <w:spacing w:after="0" w:line="203" w:lineRule="exact"/>
        <w:rPr>
          <w:sz w:val="20"/>
          <w:szCs w:val="20"/>
          <w:color w:val="auto"/>
        </w:rPr>
      </w:pPr>
    </w:p>
    <w:p>
      <w:pPr>
        <w:ind w:right="280" w:firstLine="518"/>
        <w:spacing w:after="0"/>
        <w:rPr>
          <w:sz w:val="20"/>
          <w:szCs w:val="20"/>
          <w:color w:val="auto"/>
        </w:rPr>
      </w:pPr>
      <w:r>
        <w:rPr>
          <w:rFonts w:ascii="Arial" w:cs="Arial" w:eastAsia="Arial" w:hAnsi="Arial"/>
          <w:sz w:val="18"/>
          <w:szCs w:val="18"/>
          <w:color w:val="auto"/>
        </w:rPr>
        <w:t>Sales of our common stock by our current stockholders may make it more difficult for us to sell equity securities in the future at a time and at a price that we deem appropriate. These sales also could cause the market price of our common stock to decline and make it more difficult for you to sell shares of our common stock.</w:t>
      </w:r>
    </w:p>
    <w:p>
      <w:pPr>
        <w:spacing w:after="0" w:line="289" w:lineRule="exact"/>
        <w:rPr>
          <w:sz w:val="20"/>
          <w:szCs w:val="20"/>
          <w:color w:val="auto"/>
        </w:rPr>
      </w:pPr>
    </w:p>
    <w:p>
      <w:pPr>
        <w:ind w:right="620"/>
        <w:spacing w:after="0" w:line="271" w:lineRule="auto"/>
        <w:rPr>
          <w:sz w:val="20"/>
          <w:szCs w:val="20"/>
          <w:color w:val="auto"/>
        </w:rPr>
      </w:pPr>
      <w:r>
        <w:rPr>
          <w:rFonts w:ascii="Arial" w:cs="Arial" w:eastAsia="Arial" w:hAnsi="Arial"/>
          <w:sz w:val="18"/>
          <w:szCs w:val="18"/>
          <w:b w:val="1"/>
          <w:bCs w:val="1"/>
          <w:i w:val="1"/>
          <w:iCs w:val="1"/>
          <w:color w:val="auto"/>
        </w:rPr>
        <w:t>Provisions of our corporate governance documents could make an acquisition of the company more difficult and may impede attempts by our stockholders to replace or remove our current management, even if beneficial to our stockholders.</w:t>
      </w:r>
    </w:p>
    <w:p>
      <w:pPr>
        <w:spacing w:after="0" w:line="68" w:lineRule="exact"/>
        <w:rPr>
          <w:sz w:val="20"/>
          <w:szCs w:val="20"/>
          <w:color w:val="auto"/>
        </w:rPr>
      </w:pPr>
    </w:p>
    <w:p>
      <w:pPr>
        <w:ind w:right="260" w:firstLine="518"/>
        <w:spacing w:after="0"/>
        <w:rPr>
          <w:sz w:val="20"/>
          <w:szCs w:val="20"/>
          <w:color w:val="auto"/>
        </w:rPr>
      </w:pPr>
      <w:r>
        <w:rPr>
          <w:rFonts w:ascii="Arial" w:cs="Arial" w:eastAsia="Arial" w:hAnsi="Arial"/>
          <w:sz w:val="18"/>
          <w:szCs w:val="18"/>
          <w:color w:val="auto"/>
        </w:rPr>
        <w:t>Our amended and restated certificate of incorporation and amended and restated bylaws and the Delaware General Corporation Law (the “DGCL”) contain provisions that could make it more difficult for a third-party to acquire us, even if doing so might be beneficial to our stockholders. Among other things:</w:t>
      </w:r>
    </w:p>
    <w:p>
      <w:pPr>
        <w:spacing w:after="0" w:line="95" w:lineRule="exact"/>
        <w:rPr>
          <w:sz w:val="20"/>
          <w:szCs w:val="20"/>
          <w:color w:val="auto"/>
        </w:rPr>
      </w:pPr>
    </w:p>
    <w:p>
      <w:pPr>
        <w:jc w:val="both"/>
        <w:ind w:left="1040" w:right="100" w:hanging="519"/>
        <w:spacing w:after="0"/>
        <w:tabs>
          <w:tab w:leader="none" w:pos="10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we have authorized but unissued shares of undesignated preferred stock, the terms of which may be established and the shares of which may be issued without stockholder approval, and which may include supermajority voting, special approval, dividend, or other rights or preferences superior to the rights of stockholders;</w:t>
      </w:r>
    </w:p>
    <w:p>
      <w:pPr>
        <w:spacing w:after="0" w:line="94" w:lineRule="exact"/>
        <w:rPr>
          <w:rFonts w:ascii="Arial" w:cs="Arial" w:eastAsia="Arial" w:hAnsi="Arial"/>
          <w:sz w:val="18"/>
          <w:szCs w:val="18"/>
          <w:color w:val="auto"/>
        </w:rPr>
      </w:pPr>
    </w:p>
    <w:p>
      <w:pPr>
        <w:ind w:left="1040" w:hanging="519"/>
        <w:spacing w:after="0"/>
        <w:tabs>
          <w:tab w:leader="none" w:pos="10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we have a classified board of directors with staggered three-year terms;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stockholder action by written consent is prohibited;</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2720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380"/>
          </w:cols>
          <w:pgMar w:left="240" w:top="571" w:right="279" w:bottom="1440" w:gutter="0" w:footer="0" w:header="0"/>
        </w:sectPr>
      </w:pPr>
    </w:p>
    <w:bookmarkStart w:id="30" w:name="page31"/>
    <w:bookmarkEnd w:id="30"/>
    <w:p>
      <w:pPr>
        <w:ind w:left="1040" w:right="80" w:hanging="519"/>
        <w:spacing w:after="0"/>
        <w:tabs>
          <w:tab w:leader="none" w:pos="10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any amendment, alteration, rescission or repeal of our amended and restated bylaws or of certain provisions of our amended and restated certificate of incorporation by our stockholders requires the affirmative vote of the holders of at least 75% of the voting power of our stock entitled to vote thereon, voting together as a single class outstanding; and</w:t>
      </w:r>
    </w:p>
    <w:p>
      <w:pPr>
        <w:spacing w:after="0" w:line="94" w:lineRule="exact"/>
        <w:rPr>
          <w:rFonts w:ascii="Arial" w:cs="Arial" w:eastAsia="Arial" w:hAnsi="Arial"/>
          <w:sz w:val="18"/>
          <w:szCs w:val="18"/>
          <w:color w:val="auto"/>
        </w:rPr>
      </w:pPr>
    </w:p>
    <w:p>
      <w:pPr>
        <w:ind w:left="1040" w:right="60" w:hanging="519"/>
        <w:spacing w:after="0" w:line="246" w:lineRule="auto"/>
        <w:tabs>
          <w:tab w:leader="none" w:pos="10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stockholders are required to comply with advance notice requirements for nominations for elections to our board of directors or for proposing matters that can be acted upon by stockholders at stockholder meetings.</w:t>
      </w:r>
    </w:p>
    <w:p>
      <w:pPr>
        <w:spacing w:after="0" w:line="197" w:lineRule="exact"/>
        <w:rPr>
          <w:sz w:val="20"/>
          <w:szCs w:val="20"/>
          <w:color w:val="auto"/>
        </w:rPr>
      </w:pPr>
    </w:p>
    <w:p>
      <w:pPr>
        <w:ind w:right="20" w:firstLine="518"/>
        <w:spacing w:after="0" w:line="238" w:lineRule="auto"/>
        <w:rPr>
          <w:sz w:val="20"/>
          <w:szCs w:val="20"/>
          <w:color w:val="auto"/>
        </w:rPr>
      </w:pPr>
      <w:r>
        <w:rPr>
          <w:rFonts w:ascii="Arial" w:cs="Arial" w:eastAsia="Arial" w:hAnsi="Arial"/>
          <w:sz w:val="18"/>
          <w:szCs w:val="18"/>
          <w:color w:val="auto"/>
        </w:rPr>
        <w:t>Further, as a Delaware corporation, we are also subject to provisions of Delaware law, which may impair a takeover attempt that our stockholders may find beneficial. These anti-takeover provisions and other provisions under Delaware law could discourage, delay or prevent a transaction involving a change in control of the company, including actions that our stockholders may deem advantageous, or negatively affect the trading price of our common stock. These provisions could also discourage proxy contests and make it more difficult for you and other stockholders to elect directors of your choosing and to cause us to take other corporate actions you desire.</w:t>
      </w:r>
    </w:p>
    <w:p>
      <w:pPr>
        <w:spacing w:after="0" w:line="289" w:lineRule="exact"/>
        <w:rPr>
          <w:sz w:val="20"/>
          <w:szCs w:val="20"/>
          <w:color w:val="auto"/>
        </w:rPr>
      </w:pPr>
    </w:p>
    <w:p>
      <w:pPr>
        <w:ind w:right="580"/>
        <w:spacing w:after="0" w:line="271" w:lineRule="auto"/>
        <w:rPr>
          <w:sz w:val="20"/>
          <w:szCs w:val="20"/>
          <w:color w:val="auto"/>
        </w:rPr>
      </w:pPr>
      <w:r>
        <w:rPr>
          <w:rFonts w:ascii="Arial" w:cs="Arial" w:eastAsia="Arial" w:hAnsi="Arial"/>
          <w:sz w:val="18"/>
          <w:szCs w:val="18"/>
          <w:b w:val="1"/>
          <w:bCs w:val="1"/>
          <w:i w:val="1"/>
          <w:iCs w:val="1"/>
          <w:color w:val="auto"/>
        </w:rPr>
        <w:t>The requirements of being a public company may strain our resources, divert management’s attention, and affect our ability to attract and retain executive management and qualified board members.</w:t>
      </w:r>
    </w:p>
    <w:p>
      <w:pPr>
        <w:spacing w:after="0" w:line="68" w:lineRule="exact"/>
        <w:rPr>
          <w:sz w:val="20"/>
          <w:szCs w:val="20"/>
          <w:color w:val="auto"/>
        </w:rPr>
      </w:pPr>
    </w:p>
    <w:p>
      <w:pPr>
        <w:ind w:right="20" w:firstLine="518"/>
        <w:spacing w:after="0" w:line="236" w:lineRule="auto"/>
        <w:rPr>
          <w:sz w:val="20"/>
          <w:szCs w:val="20"/>
          <w:color w:val="auto"/>
        </w:rPr>
      </w:pPr>
      <w:r>
        <w:rPr>
          <w:rFonts w:ascii="Arial" w:cs="Arial" w:eastAsia="Arial" w:hAnsi="Arial"/>
          <w:sz w:val="18"/>
          <w:szCs w:val="18"/>
          <w:color w:val="auto"/>
        </w:rPr>
        <w:t>As a public company, we are subject to the reporting requirements of the Securities Exchange Act of 1934, as amended (the “Exchange Act”) the Sarbanes-Oxley Act, the Dodd-Frank Wall Street Reform and Consumer Protection Act of 2010, the listing requirements of the exchanges and other markets upon which our common stock is listed, and other applicable securities rules and regulations. Compliance with these rules and regulations increases our legal and financial compliance costs, make some activities more difficult, time-consuming, or costly, and increase demand on our systems and resources. The Exchange Act requires, among other things, that we file annual, quarterly and current reports with respect to our business and operating results. The Sarbanes-Oxley Act requires, among other things, that we maintain effective disclosure controls and procedures and internal control over financial reporting. In order to maintain and, if required, improve our disclosure controls and procedures and internal control over financial reporting to meet this standard, significant resources and management oversight may be required. We are required to disclose changes made in our internal control and procedures on a quarterly basis and are required to furnish a report by management on, among other things, the effectiveness of our internal control over financial reporting on an annual basis. Additionally, our independent registered public accounting firm is required to attest to the effectiveness of our internal control over financial reporting pursuant to Section 404. As a result of the complexity involved in complying with the rules and regulations applicable to public companies, our management’s attention may be diverted from other business concerns, which could adversely affect our business and operating results. Although we have hired additional employees to assist us in complying with these requirements, we may need to hire more employees in the future or engage outside consultants, which will increase our operating expenses.</w:t>
      </w:r>
    </w:p>
    <w:p>
      <w:pPr>
        <w:spacing w:after="0" w:line="202" w:lineRule="exact"/>
        <w:rPr>
          <w:sz w:val="20"/>
          <w:szCs w:val="20"/>
          <w:color w:val="auto"/>
        </w:rPr>
      </w:pPr>
    </w:p>
    <w:p>
      <w:pPr>
        <w:ind w:firstLine="518"/>
        <w:spacing w:after="0" w:line="236" w:lineRule="auto"/>
        <w:rPr>
          <w:sz w:val="20"/>
          <w:szCs w:val="20"/>
          <w:color w:val="auto"/>
        </w:rPr>
      </w:pPr>
      <w:r>
        <w:rPr>
          <w:rFonts w:ascii="Arial" w:cs="Arial" w:eastAsia="Arial" w:hAnsi="Arial"/>
          <w:sz w:val="18"/>
          <w:szCs w:val="18"/>
          <w:color w:val="auto"/>
        </w:rPr>
        <w:t>In addition, changing laws, regulations, and standards relating to corporate governance and public disclosure are creating uncertainty for public companies, increasing legal and financial compliance costs, and making some activities more time-consuming. These laws, regulations, and standards are subject to varying interpretations, in many cases due to their lack of specificity, and, as a result, their application in practice may evolve over time as new guidance is provided by regulatory and governing bodies. This could result in continuing uncertainty regarding compliance matters and higher costs necessitated by ongoing revisions to disclosure and governance practices. We intend to invest substantial resources to comply with evolving laws, regulations, and standards, and this investment may result in increased general and administrative expenses and a diversion of management’s time and attention from business operations to compliance activities. If our efforts to comply with new laws, regulations and standards differ from the activities intended by regulatory or governing bodies due to ambiguities related to their application and practice, regulatory authorities may initiate legal proceedings against us and our business may be adversely affected.</w:t>
      </w:r>
    </w:p>
    <w:p>
      <w:pPr>
        <w:spacing w:after="0" w:line="207" w:lineRule="exact"/>
        <w:rPr>
          <w:sz w:val="20"/>
          <w:szCs w:val="20"/>
          <w:color w:val="auto"/>
        </w:rPr>
      </w:pPr>
    </w:p>
    <w:p>
      <w:pPr>
        <w:ind w:right="120" w:firstLine="518"/>
        <w:spacing w:after="0" w:line="238" w:lineRule="auto"/>
        <w:rPr>
          <w:sz w:val="20"/>
          <w:szCs w:val="20"/>
          <w:color w:val="auto"/>
        </w:rPr>
      </w:pPr>
      <w:r>
        <w:rPr>
          <w:rFonts w:ascii="Arial" w:cs="Arial" w:eastAsia="Arial" w:hAnsi="Arial"/>
          <w:sz w:val="18"/>
          <w:szCs w:val="18"/>
          <w:color w:val="auto"/>
        </w:rPr>
        <w:t>As a result of increased disclosure of information in the filings required in a public company, our business and financial condition has become more visible, which we believe may result in threatened or actual litigation, including by competitors and other third parties. If such claims are successful, our business and operating results could be adversely affected, and even if the claims do not result in litigation or are resolved in our favor, these claims, and the time and resources necessary to resolve them, could divert the resources of our management and adversely affect our business and operating results.</w:t>
      </w: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2720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00"/>
          </w:cols>
          <w:pgMar w:left="240" w:top="463" w:right="259" w:bottom="1440" w:gutter="0" w:footer="0" w:header="0"/>
        </w:sectPr>
      </w:pPr>
    </w:p>
    <w:bookmarkStart w:id="31" w:name="page32"/>
    <w:bookmarkEnd w:id="31"/>
    <w:p>
      <w:pPr>
        <w:spacing w:after="0"/>
        <w:rPr>
          <w:sz w:val="20"/>
          <w:szCs w:val="20"/>
          <w:color w:val="auto"/>
        </w:rPr>
      </w:pPr>
      <w:r>
        <w:rPr>
          <w:rFonts w:ascii="Arial" w:cs="Arial" w:eastAsia="Arial" w:hAnsi="Arial"/>
          <w:sz w:val="18"/>
          <w:szCs w:val="18"/>
          <w:b w:val="1"/>
          <w:bCs w:val="1"/>
          <w:i w:val="1"/>
          <w:iCs w:val="1"/>
          <w:color w:val="auto"/>
        </w:rPr>
        <w:t>We do not intend to pay dividends on our common stock so any returns will be limited to changes in the value of our common stock.</w:t>
      </w:r>
    </w:p>
    <w:p>
      <w:pPr>
        <w:spacing w:after="0" w:line="126" w:lineRule="exact"/>
        <w:rPr>
          <w:sz w:val="20"/>
          <w:szCs w:val="20"/>
          <w:color w:val="auto"/>
        </w:rPr>
      </w:pPr>
    </w:p>
    <w:p>
      <w:pPr>
        <w:jc w:val="both"/>
        <w:ind w:right="100" w:firstLine="518"/>
        <w:spacing w:after="0"/>
        <w:rPr>
          <w:sz w:val="20"/>
          <w:szCs w:val="20"/>
          <w:color w:val="auto"/>
        </w:rPr>
      </w:pPr>
      <w:r>
        <w:rPr>
          <w:rFonts w:ascii="Arial" w:cs="Arial" w:eastAsia="Arial" w:hAnsi="Arial"/>
          <w:sz w:val="18"/>
          <w:szCs w:val="18"/>
          <w:color w:val="auto"/>
        </w:rPr>
        <w:t>We have never declared or paid any cash dividends on our common stock. We currently anticipate that we will retain future earnings for the development, operation, and expansion of our business, and do not anticipate declaring or paying any cash dividends for the foreseeable future. Any return to stockholders will therefore be limited to the increase, if any, of our stock price, which may never occur.</w:t>
      </w:r>
    </w:p>
    <w:p>
      <w:pPr>
        <w:spacing w:after="0" w:line="289" w:lineRule="exact"/>
        <w:rPr>
          <w:sz w:val="20"/>
          <w:szCs w:val="20"/>
          <w:color w:val="auto"/>
        </w:rPr>
      </w:pPr>
    </w:p>
    <w:p>
      <w:pPr>
        <w:ind w:right="460"/>
        <w:spacing w:after="0" w:line="271" w:lineRule="auto"/>
        <w:rPr>
          <w:sz w:val="20"/>
          <w:szCs w:val="20"/>
          <w:color w:val="auto"/>
        </w:rPr>
      </w:pPr>
      <w:r>
        <w:rPr>
          <w:rFonts w:ascii="Arial" w:cs="Arial" w:eastAsia="Arial" w:hAnsi="Arial"/>
          <w:sz w:val="18"/>
          <w:szCs w:val="18"/>
          <w:b w:val="1"/>
          <w:bCs w:val="1"/>
          <w:i w:val="1"/>
          <w:iCs w:val="1"/>
          <w:color w:val="auto"/>
        </w:rPr>
        <w:t>If securities or industry analysts do not publish research or publish inaccurate or unfavorable research about our business, our stock price and trading volume could decline.</w:t>
      </w:r>
    </w:p>
    <w:p>
      <w:pPr>
        <w:spacing w:after="0" w:line="68" w:lineRule="exact"/>
        <w:rPr>
          <w:sz w:val="20"/>
          <w:szCs w:val="20"/>
          <w:color w:val="auto"/>
        </w:rPr>
      </w:pPr>
    </w:p>
    <w:p>
      <w:pPr>
        <w:ind w:firstLine="518"/>
        <w:spacing w:after="0" w:line="237" w:lineRule="auto"/>
        <w:rPr>
          <w:sz w:val="20"/>
          <w:szCs w:val="20"/>
          <w:color w:val="auto"/>
        </w:rPr>
      </w:pPr>
      <w:r>
        <w:rPr>
          <w:rFonts w:ascii="Arial" w:cs="Arial" w:eastAsia="Arial" w:hAnsi="Arial"/>
          <w:sz w:val="18"/>
          <w:szCs w:val="18"/>
          <w:color w:val="auto"/>
        </w:rPr>
        <w:t>The trading market for our common stock will depend in part on the research and reports that securities or industry analysts publish about us or our business. If few securities analysts commence coverage of us, or if industry analysts cease coverage of us, the trading price for our common stock would be negatively affected. If one or more of the analysts who cover us downgrade our common stock or publish inaccurate or unfavorable research about our business, our common stock price would likely decline. If one or more of these analysts cease coverage of us or fail to publish reports on us regularly, demand for our common stock could decrease, which might cause our common stock price and trading volume to decline.</w:t>
      </w:r>
    </w:p>
    <w:p>
      <w:pPr>
        <w:spacing w:after="0" w:line="291" w:lineRule="exact"/>
        <w:rPr>
          <w:sz w:val="20"/>
          <w:szCs w:val="20"/>
          <w:color w:val="auto"/>
        </w:rPr>
      </w:pPr>
    </w:p>
    <w:p>
      <w:pPr>
        <w:jc w:val="both"/>
        <w:ind w:right="180"/>
        <w:spacing w:after="0" w:line="253" w:lineRule="auto"/>
        <w:rPr>
          <w:sz w:val="20"/>
          <w:szCs w:val="20"/>
          <w:color w:val="auto"/>
        </w:rPr>
      </w:pPr>
      <w:r>
        <w:rPr>
          <w:rFonts w:ascii="Arial" w:cs="Arial" w:eastAsia="Arial" w:hAnsi="Arial"/>
          <w:sz w:val="18"/>
          <w:szCs w:val="18"/>
          <w:b w:val="1"/>
          <w:bCs w:val="1"/>
          <w:i w:val="1"/>
          <w:iCs w:val="1"/>
          <w:color w:val="auto"/>
        </w:rPr>
        <w:t>Our amended and restated bylaws designate a state or federal court located within the State of Delaware as the exclusive forum for certain litigation that may be initiated by our stockholders, which could limit our stockholders’ ability to obtain a favorable judicial forum for disputes with us.</w:t>
      </w:r>
    </w:p>
    <w:p>
      <w:pPr>
        <w:spacing w:after="0" w:line="83" w:lineRule="exact"/>
        <w:rPr>
          <w:sz w:val="20"/>
          <w:szCs w:val="20"/>
          <w:color w:val="auto"/>
        </w:rPr>
      </w:pPr>
    </w:p>
    <w:p>
      <w:pPr>
        <w:ind w:right="40" w:firstLine="518"/>
        <w:spacing w:after="0" w:line="236" w:lineRule="auto"/>
        <w:rPr>
          <w:sz w:val="20"/>
          <w:szCs w:val="20"/>
          <w:color w:val="auto"/>
        </w:rPr>
      </w:pPr>
      <w:r>
        <w:rPr>
          <w:rFonts w:ascii="Arial" w:cs="Arial" w:eastAsia="Arial" w:hAnsi="Arial"/>
          <w:sz w:val="18"/>
          <w:szCs w:val="18"/>
          <w:color w:val="auto"/>
        </w:rPr>
        <w:t>Pursuant to our amended and restated bylaws, unless we consent in writing to the selection of an alternative forum, the sole and exclusive forum for (1) any derivative action or proceeding brought on our behalf, (2) any action asserting a claim of breach of a fiduciary duty owed by any of our directors, officers or other employees to us or our stockholders, (3) any action asserting a claim against us arising pursuant to any provision of the DGCL, or (4) any action asserting a claim against us that is governed by the internal affairs doctrine shall be a state or federal court located within the State of Delaware, in all cases subject to the court’s having personal jurisdiction over indispensable parties named as defendants. Any person or entity purchasing or otherwise acquiring any interest in shares of our capital stock shall be deemed to have notice of and consented to this provision. The forum selection clause in our amended and restated bylaws may have the effect of discouraging lawsuits against us or our directors and officers and may limit our stockholders’ ability to obtain a favorable judicial forum for disputes with us.</w:t>
      </w:r>
    </w:p>
    <w:p>
      <w:pPr>
        <w:spacing w:after="0" w:line="321"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1B.</w:t>
      </w:r>
      <w:r>
        <w:rPr>
          <w:sz w:val="20"/>
          <w:szCs w:val="20"/>
          <w:color w:val="auto"/>
        </w:rPr>
        <w:tab/>
      </w:r>
      <w:r>
        <w:rPr>
          <w:rFonts w:ascii="Arial" w:cs="Arial" w:eastAsia="Arial" w:hAnsi="Arial"/>
          <w:sz w:val="17"/>
          <w:szCs w:val="17"/>
          <w:b w:val="1"/>
          <w:bCs w:val="1"/>
          <w:color w:val="auto"/>
        </w:rPr>
        <w:t>Unresolved Staff Comments</w:t>
      </w:r>
    </w:p>
    <w:p>
      <w:pPr>
        <w:spacing w:after="0" w:line="126" w:lineRule="exact"/>
        <w:rPr>
          <w:sz w:val="20"/>
          <w:szCs w:val="20"/>
          <w:color w:val="auto"/>
        </w:rPr>
      </w:pPr>
    </w:p>
    <w:p>
      <w:pPr>
        <w:ind w:left="520"/>
        <w:spacing w:after="0"/>
        <w:rPr>
          <w:sz w:val="20"/>
          <w:szCs w:val="20"/>
          <w:color w:val="auto"/>
        </w:rPr>
      </w:pPr>
      <w:r>
        <w:rPr>
          <w:rFonts w:ascii="Arial" w:cs="Arial" w:eastAsia="Arial" w:hAnsi="Arial"/>
          <w:sz w:val="18"/>
          <w:szCs w:val="18"/>
          <w:color w:val="auto"/>
        </w:rPr>
        <w:t>None.</w:t>
      </w:r>
    </w:p>
    <w:p>
      <w:pPr>
        <w:spacing w:after="0" w:line="298"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i w:val="1"/>
          <w:iCs w:val="1"/>
          <w:color w:val="auto"/>
        </w:rPr>
        <w:t>Item 2.</w:t>
      </w:r>
      <w:r>
        <w:rPr>
          <w:sz w:val="20"/>
          <w:szCs w:val="20"/>
          <w:color w:val="auto"/>
        </w:rPr>
        <w:tab/>
      </w:r>
      <w:r>
        <w:rPr>
          <w:rFonts w:ascii="Arial" w:cs="Arial" w:eastAsia="Arial" w:hAnsi="Arial"/>
          <w:sz w:val="17"/>
          <w:szCs w:val="17"/>
          <w:b w:val="1"/>
          <w:bCs w:val="1"/>
          <w:i w:val="1"/>
          <w:iCs w:val="1"/>
          <w:color w:val="auto"/>
        </w:rPr>
        <w:t>Properties</w:t>
      </w:r>
    </w:p>
    <w:p>
      <w:pPr>
        <w:spacing w:after="0" w:line="126" w:lineRule="exact"/>
        <w:rPr>
          <w:sz w:val="20"/>
          <w:szCs w:val="20"/>
          <w:color w:val="auto"/>
        </w:rPr>
      </w:pPr>
    </w:p>
    <w:p>
      <w:pPr>
        <w:ind w:right="160" w:firstLine="518"/>
        <w:spacing w:after="0" w:line="238" w:lineRule="auto"/>
        <w:rPr>
          <w:sz w:val="20"/>
          <w:szCs w:val="20"/>
          <w:color w:val="auto"/>
        </w:rPr>
      </w:pPr>
      <w:r>
        <w:rPr>
          <w:rFonts w:ascii="Arial" w:cs="Arial" w:eastAsia="Arial" w:hAnsi="Arial"/>
          <w:sz w:val="18"/>
          <w:szCs w:val="18"/>
          <w:color w:val="auto"/>
        </w:rPr>
        <w:t>Our principal executive offices are located in Woodland Hills, California where we occupy approximately 89,000 square feet of space under a lease that expires in January 2024. We also occupy additional leased offices located in Australia, Canada, France, Germany, Netherlands, Singapore, and the United Kingdom. We believe that our properties are generally suitable to meet our needs for the foreseeable future. In addition, to the extent we require additional space in the future, we believe that it would be readily available on commercially reasonable terms.</w:t>
      </w:r>
    </w:p>
    <w:p>
      <w:pPr>
        <w:spacing w:after="0" w:line="289"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7"/>
          <w:szCs w:val="17"/>
          <w:b w:val="1"/>
          <w:bCs w:val="1"/>
          <w:i w:val="1"/>
          <w:iCs w:val="1"/>
          <w:color w:val="auto"/>
        </w:rPr>
        <w:t>Legal Proceedings</w:t>
      </w:r>
    </w:p>
    <w:p>
      <w:pPr>
        <w:spacing w:after="0" w:line="126" w:lineRule="exact"/>
        <w:rPr>
          <w:sz w:val="20"/>
          <w:szCs w:val="20"/>
          <w:color w:val="auto"/>
        </w:rPr>
      </w:pPr>
    </w:p>
    <w:p>
      <w:pPr>
        <w:ind w:right="20" w:firstLine="518"/>
        <w:spacing w:after="0" w:line="238" w:lineRule="auto"/>
        <w:rPr>
          <w:sz w:val="20"/>
          <w:szCs w:val="20"/>
          <w:color w:val="auto"/>
        </w:rPr>
      </w:pPr>
      <w:r>
        <w:rPr>
          <w:rFonts w:ascii="Arial" w:cs="Arial" w:eastAsia="Arial" w:hAnsi="Arial"/>
          <w:sz w:val="18"/>
          <w:szCs w:val="18"/>
          <w:color w:val="auto"/>
        </w:rPr>
        <w:t>From time to time, we may be subject to legal proceedings arising in the ordinary course of business. In addition, from time to time, third parties may assert intellectual property infringement claims against us in the form of letters and other forms of communication. As of the date of this Annual Report on Form 10-K for the year ended December 31, 2019, we are not a party to any litigation the outcome of which, if determined adversely to us, would individually or in the aggregate be reasonably expected to have a material adverse effect on our results of operations, prospects, cash flows, financial position or brand.</w:t>
      </w:r>
    </w:p>
    <w:p>
      <w:pPr>
        <w:spacing w:after="0" w:line="289"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7"/>
          <w:szCs w:val="17"/>
          <w:b w:val="1"/>
          <w:bCs w:val="1"/>
          <w:i w:val="1"/>
          <w:iCs w:val="1"/>
          <w:color w:val="auto"/>
        </w:rPr>
        <w:t>Mine Safety Disclosures</w:t>
      </w:r>
    </w:p>
    <w:p>
      <w:pPr>
        <w:spacing w:after="0" w:line="126" w:lineRule="exact"/>
        <w:rPr>
          <w:sz w:val="20"/>
          <w:szCs w:val="20"/>
          <w:color w:val="auto"/>
        </w:rPr>
      </w:pPr>
    </w:p>
    <w:p>
      <w:pPr>
        <w:ind w:left="520"/>
        <w:spacing w:after="0"/>
        <w:rPr>
          <w:sz w:val="20"/>
          <w:szCs w:val="20"/>
          <w:color w:val="auto"/>
        </w:rPr>
      </w:pPr>
      <w:r>
        <w:rPr>
          <w:rFonts w:ascii="Arial" w:cs="Arial" w:eastAsia="Arial" w:hAnsi="Arial"/>
          <w:sz w:val="18"/>
          <w:szCs w:val="18"/>
          <w:color w:val="auto"/>
        </w:rPr>
        <w:t>Not applicable.</w:t>
      </w:r>
    </w:p>
    <w:p>
      <w:pPr>
        <w:spacing w:after="0" w:line="21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2720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00"/>
          </w:cols>
          <w:pgMar w:left="240" w:top="657" w:right="259" w:bottom="1440" w:gutter="0" w:footer="0" w:header="0"/>
        </w:sectPr>
      </w:pPr>
    </w:p>
    <w:bookmarkStart w:id="32" w:name="page33"/>
    <w:bookmarkEnd w:id="32"/>
    <w:p>
      <w:pPr>
        <w:jc w:val="center"/>
        <w:ind w:right="-19"/>
        <w:spacing w:after="0"/>
        <w:rPr>
          <w:sz w:val="20"/>
          <w:szCs w:val="20"/>
          <w:color w:val="auto"/>
        </w:rPr>
      </w:pPr>
      <w:r>
        <w:rPr>
          <w:rFonts w:ascii="Arial" w:cs="Arial" w:eastAsia="Arial" w:hAnsi="Arial"/>
          <w:sz w:val="18"/>
          <w:szCs w:val="18"/>
          <w:b w:val="1"/>
          <w:bCs w:val="1"/>
          <w:color w:val="auto"/>
        </w:rPr>
        <w:t>PART II</w:t>
      </w:r>
    </w:p>
    <w:p>
      <w:pPr>
        <w:spacing w:after="0" w:line="212" w:lineRule="exact"/>
        <w:rPr>
          <w:sz w:val="20"/>
          <w:szCs w:val="20"/>
          <w:color w:val="auto"/>
        </w:rPr>
      </w:pPr>
    </w:p>
    <w:p>
      <w:pPr>
        <w:ind w:right="820"/>
        <w:spacing w:after="0" w:line="372" w:lineRule="auto"/>
        <w:rPr>
          <w:sz w:val="20"/>
          <w:szCs w:val="20"/>
          <w:color w:val="auto"/>
        </w:rPr>
      </w:pPr>
      <w:r>
        <w:rPr>
          <w:rFonts w:ascii="Arial" w:cs="Arial" w:eastAsia="Arial" w:hAnsi="Arial"/>
          <w:sz w:val="18"/>
          <w:szCs w:val="18"/>
          <w:b w:val="1"/>
          <w:bCs w:val="1"/>
          <w:color w:val="auto"/>
        </w:rPr>
        <w:t xml:space="preserve">Item 5. </w:t>
      </w:r>
      <w:r>
        <w:rPr>
          <w:rFonts w:ascii="Arial" w:cs="Arial" w:eastAsia="Arial" w:hAnsi="Arial"/>
          <w:sz w:val="18"/>
          <w:szCs w:val="18"/>
          <w:b w:val="1"/>
          <w:bCs w:val="1"/>
          <w:i w:val="1"/>
          <w:iCs w:val="1"/>
          <w:color w:val="auto"/>
        </w:rPr>
        <w:t>Market for Registrant's Common Equity, Related Stockholder Matters and Issuer Purchases of Equity Securities</w:t>
      </w:r>
      <w:r>
        <w:rPr>
          <w:rFonts w:ascii="Arial" w:cs="Arial" w:eastAsia="Arial" w:hAnsi="Arial"/>
          <w:sz w:val="18"/>
          <w:szCs w:val="18"/>
          <w:b w:val="1"/>
          <w:bCs w:val="1"/>
          <w:color w:val="auto"/>
        </w:rPr>
        <w:t xml:space="preserve"> Market for Our Common Stock and Related Stockholder Matters</w:t>
      </w:r>
    </w:p>
    <w:p>
      <w:pPr>
        <w:spacing w:after="0" w:line="2" w:lineRule="exact"/>
        <w:rPr>
          <w:sz w:val="20"/>
          <w:szCs w:val="20"/>
          <w:color w:val="auto"/>
        </w:rPr>
      </w:pPr>
    </w:p>
    <w:p>
      <w:pPr>
        <w:ind w:right="160" w:firstLine="518"/>
        <w:spacing w:after="0" w:line="246" w:lineRule="auto"/>
        <w:rPr>
          <w:sz w:val="20"/>
          <w:szCs w:val="20"/>
          <w:color w:val="auto"/>
        </w:rPr>
      </w:pPr>
      <w:r>
        <w:rPr>
          <w:rFonts w:ascii="Arial" w:cs="Arial" w:eastAsia="Arial" w:hAnsi="Arial"/>
          <w:sz w:val="18"/>
          <w:szCs w:val="18"/>
          <w:color w:val="auto"/>
        </w:rPr>
        <w:t>Our common stock has been traded on the NASDAQ Global Select Market under the symbol “BL” since October 28, 2016. Prior to that time, there was no public market for our common stock.</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Holders of Record</w:t>
      </w:r>
    </w:p>
    <w:p>
      <w:pPr>
        <w:spacing w:after="0" w:line="126" w:lineRule="exact"/>
        <w:rPr>
          <w:sz w:val="20"/>
          <w:szCs w:val="20"/>
          <w:color w:val="auto"/>
        </w:rPr>
      </w:pPr>
    </w:p>
    <w:p>
      <w:pPr>
        <w:jc w:val="both"/>
        <w:ind w:firstLine="518"/>
        <w:spacing w:after="0"/>
        <w:rPr>
          <w:sz w:val="20"/>
          <w:szCs w:val="20"/>
          <w:color w:val="auto"/>
        </w:rPr>
      </w:pPr>
      <w:r>
        <w:rPr>
          <w:rFonts w:ascii="Arial" w:cs="Arial" w:eastAsia="Arial" w:hAnsi="Arial"/>
          <w:sz w:val="18"/>
          <w:szCs w:val="18"/>
          <w:color w:val="auto"/>
        </w:rPr>
        <w:t>At February 21, 2020, there were 17 shareholders of record. The number of record holders does not include beneficial holders who hold their shares in “street name,” meaning that the shares are held for their accounts by a broker or other nominee. Accordingly, we believe that the total number of beneficial holders is higher than the number of our shareholders of record.</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Dividend Policy</w:t>
      </w:r>
    </w:p>
    <w:p>
      <w:pPr>
        <w:spacing w:after="0" w:line="126" w:lineRule="exact"/>
        <w:rPr>
          <w:sz w:val="20"/>
          <w:szCs w:val="20"/>
          <w:color w:val="auto"/>
        </w:rPr>
      </w:pPr>
    </w:p>
    <w:p>
      <w:pPr>
        <w:ind w:right="60" w:firstLine="518"/>
        <w:spacing w:after="0" w:line="238" w:lineRule="auto"/>
        <w:rPr>
          <w:sz w:val="20"/>
          <w:szCs w:val="20"/>
          <w:color w:val="auto"/>
        </w:rPr>
      </w:pPr>
      <w:r>
        <w:rPr>
          <w:rFonts w:ascii="Arial" w:cs="Arial" w:eastAsia="Arial" w:hAnsi="Arial"/>
          <w:sz w:val="18"/>
          <w:szCs w:val="18"/>
          <w:color w:val="auto"/>
        </w:rPr>
        <w:t>We have never declared or paid any cash dividends on our common stock. We currently intend to retain all of our future earnings, if any, to finance our operations and do not anticipate paying any cash dividends on our common stock in the foreseeable future. Any future determination as to the declaration and payment of dividends will be at the discretion of our board of directors and will depend on then-existing conditions, including our financial condition, operating results, contractual restrictions, capital requirements, business prospects, and other factors our board of directors may deem relevant.</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 Price Performance Graph</w:t>
      </w:r>
    </w:p>
    <w:p>
      <w:pPr>
        <w:spacing w:after="0" w:line="108" w:lineRule="exact"/>
        <w:rPr>
          <w:sz w:val="20"/>
          <w:szCs w:val="20"/>
          <w:color w:val="auto"/>
        </w:rPr>
      </w:pPr>
    </w:p>
    <w:p>
      <w:pPr>
        <w:ind w:right="220" w:firstLine="518"/>
        <w:spacing w:after="0" w:line="245" w:lineRule="auto"/>
        <w:rPr>
          <w:sz w:val="20"/>
          <w:szCs w:val="20"/>
          <w:color w:val="auto"/>
        </w:rPr>
      </w:pPr>
      <w:r>
        <w:rPr>
          <w:rFonts w:ascii="Arial" w:cs="Arial" w:eastAsia="Arial" w:hAnsi="Arial"/>
          <w:sz w:val="18"/>
          <w:szCs w:val="18"/>
          <w:i w:val="1"/>
          <w:iCs w:val="1"/>
          <w:color w:val="auto"/>
        </w:rPr>
        <w:t>This performance graph shall not be deemed “soliciting material” or to be “filed” with the Securities and Exchange Commission, or the SEC, for purposes of Section 18 of the Securities Exchange Act of 1934, as amended, or the Exchange Act, or otherwise subject to the liabilities under that Section, and shall not be deemed to be incorporated by reference into any of our filings under the Securities Act of 1933, as amended, or the Securities Act.</w:t>
      </w:r>
    </w:p>
    <w:p>
      <w:pPr>
        <w:spacing w:after="0" w:line="1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2720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00"/>
          </w:cols>
          <w:pgMar w:left="240" w:top="333" w:right="259" w:bottom="1440" w:gutter="0" w:footer="0" w:header="0"/>
        </w:sectPr>
      </w:pPr>
    </w:p>
    <w:bookmarkStart w:id="33" w:name="page34"/>
    <w:bookmarkEnd w:id="33"/>
    <w:p>
      <w:pPr>
        <w:ind w:firstLine="518"/>
        <w:spacing w:after="0" w:line="237" w:lineRule="auto"/>
        <w:rPr>
          <w:sz w:val="20"/>
          <w:szCs w:val="20"/>
          <w:color w:val="auto"/>
        </w:rPr>
      </w:pPr>
      <w:r>
        <w:rPr>
          <w:rFonts w:ascii="Arial" w:cs="Arial" w:eastAsia="Arial" w:hAnsi="Arial"/>
          <w:sz w:val="18"/>
          <w:szCs w:val="18"/>
          <w:color w:val="auto"/>
        </w:rPr>
        <w:t>The following graph compares (i) the cumulative total stockholder return on our common stock from October 28, 2016 (the date our common stock commenced trading on the NASDAQ Global Select Market) through December 31, 2019 with (ii) the cumulative total return of the S&amp;P 500 Index and the NASDAQ Computer &amp; Data Processing Index over the same period, assuming the investment of $100 in our common stock and in both of the other indices on October 28, 2016 and the reinvestment of dividends. The graph uses the closing market price on October 28, 2016 of $ 23.70 per share as the initial value of our common stock. As discussed above, we have never declared or paid a cash dividend on our common stock and do not anticipate declaring or paying a cash dividend in the foreseeable future.</w:t>
      </w:r>
    </w:p>
    <w:p>
      <w:pPr>
        <w:spacing w:after="0" w:line="18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COMPARISON OF CUMULATIVE TOTAL RETURN*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777240</wp:posOffset>
            </wp:positionH>
            <wp:positionV relativeFrom="paragraph">
              <wp:posOffset>149225</wp:posOffset>
            </wp:positionV>
            <wp:extent cx="5711190" cy="509397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5711190" cy="50939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ind w:right="240"/>
        <w:spacing w:after="0" w:line="246" w:lineRule="auto"/>
        <w:rPr>
          <w:sz w:val="20"/>
          <w:szCs w:val="20"/>
          <w:color w:val="auto"/>
        </w:rPr>
      </w:pPr>
      <w:r>
        <w:rPr>
          <w:rFonts w:ascii="Arial" w:cs="Arial" w:eastAsia="Arial" w:hAnsi="Arial"/>
          <w:sz w:val="18"/>
          <w:szCs w:val="18"/>
          <w:color w:val="auto"/>
        </w:rPr>
        <w:t>*Returns are based on historical results and are not necessarily indicative of future performance. See the disclosure in Part I, Item 1A. “Risk Factors.”</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Unregistered Sales of Equity Securities</w:t>
      </w:r>
    </w:p>
    <w:p>
      <w:pPr>
        <w:spacing w:after="0" w:line="126" w:lineRule="exact"/>
        <w:rPr>
          <w:sz w:val="20"/>
          <w:szCs w:val="20"/>
          <w:color w:val="auto"/>
        </w:rPr>
      </w:pPr>
    </w:p>
    <w:p>
      <w:pPr>
        <w:ind w:left="520"/>
        <w:spacing w:after="0"/>
        <w:rPr>
          <w:sz w:val="20"/>
          <w:szCs w:val="20"/>
          <w:color w:val="auto"/>
        </w:rPr>
      </w:pPr>
      <w:r>
        <w:rPr>
          <w:rFonts w:ascii="Arial" w:cs="Arial" w:eastAsia="Arial" w:hAnsi="Arial"/>
          <w:sz w:val="18"/>
          <w:szCs w:val="18"/>
          <w:color w:val="auto"/>
        </w:rPr>
        <w:t>None.</w:t>
      </w:r>
    </w:p>
    <w:p>
      <w:pPr>
        <w:spacing w:after="0" w:line="29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Use of Proceeds</w:t>
      </w:r>
    </w:p>
    <w:p>
      <w:pPr>
        <w:spacing w:after="0" w:line="126" w:lineRule="exact"/>
        <w:rPr>
          <w:sz w:val="20"/>
          <w:szCs w:val="20"/>
          <w:color w:val="auto"/>
        </w:rPr>
      </w:pPr>
    </w:p>
    <w:p>
      <w:pPr>
        <w:ind w:left="520"/>
        <w:spacing w:after="0"/>
        <w:rPr>
          <w:sz w:val="20"/>
          <w:szCs w:val="20"/>
          <w:color w:val="auto"/>
        </w:rPr>
      </w:pPr>
      <w:r>
        <w:rPr>
          <w:rFonts w:ascii="Arial" w:cs="Arial" w:eastAsia="Arial" w:hAnsi="Arial"/>
          <w:sz w:val="18"/>
          <w:szCs w:val="18"/>
          <w:color w:val="auto"/>
        </w:rPr>
        <w:t>None.</w:t>
      </w:r>
    </w:p>
    <w:p>
      <w:pPr>
        <w:spacing w:after="0" w:line="21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2720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00"/>
          </w:cols>
          <w:pgMar w:left="240" w:top="463" w:right="259" w:bottom="1440" w:gutter="0" w:footer="0" w:header="0"/>
        </w:sectPr>
      </w:pPr>
    </w:p>
    <w:bookmarkStart w:id="34" w:name="page35"/>
    <w:bookmarkEnd w:id="34"/>
    <w:p>
      <w:pPr>
        <w:spacing w:after="0"/>
        <w:rPr>
          <w:sz w:val="20"/>
          <w:szCs w:val="20"/>
          <w:color w:val="auto"/>
        </w:rPr>
      </w:pPr>
      <w:r>
        <w:rPr>
          <w:rFonts w:ascii="Arial" w:cs="Arial" w:eastAsia="Arial" w:hAnsi="Arial"/>
          <w:sz w:val="18"/>
          <w:szCs w:val="18"/>
          <w:b w:val="1"/>
          <w:bCs w:val="1"/>
          <w:color w:val="auto"/>
        </w:rPr>
        <w:t>Issuer Purchases of Equity Securities</w:t>
      </w:r>
    </w:p>
    <w:p>
      <w:pPr>
        <w:spacing w:after="0" w:line="126" w:lineRule="exact"/>
        <w:rPr>
          <w:sz w:val="20"/>
          <w:szCs w:val="20"/>
          <w:color w:val="auto"/>
        </w:rPr>
      </w:pPr>
    </w:p>
    <w:p>
      <w:pPr>
        <w:ind w:left="520"/>
        <w:spacing w:after="0"/>
        <w:rPr>
          <w:sz w:val="20"/>
          <w:szCs w:val="20"/>
          <w:color w:val="auto"/>
        </w:rPr>
      </w:pPr>
      <w:r>
        <w:rPr>
          <w:rFonts w:ascii="Arial" w:cs="Arial" w:eastAsia="Arial" w:hAnsi="Arial"/>
          <w:sz w:val="18"/>
          <w:szCs w:val="18"/>
          <w:color w:val="auto"/>
        </w:rPr>
        <w:t>None.</w:t>
      </w:r>
    </w:p>
    <w:p>
      <w:pPr>
        <w:spacing w:after="0" w:line="298"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7"/>
          <w:szCs w:val="17"/>
          <w:b w:val="1"/>
          <w:bCs w:val="1"/>
          <w:i w:val="1"/>
          <w:iCs w:val="1"/>
          <w:color w:val="auto"/>
        </w:rPr>
        <w:t>Selected Financial Data</w:t>
      </w:r>
    </w:p>
    <w:p>
      <w:pPr>
        <w:spacing w:after="0" w:line="126" w:lineRule="exact"/>
        <w:rPr>
          <w:sz w:val="20"/>
          <w:szCs w:val="20"/>
          <w:color w:val="auto"/>
        </w:rPr>
      </w:pPr>
    </w:p>
    <w:p>
      <w:pPr>
        <w:ind w:firstLine="518"/>
        <w:spacing w:after="0" w:line="239" w:lineRule="auto"/>
        <w:rPr>
          <w:sz w:val="20"/>
          <w:szCs w:val="20"/>
          <w:color w:val="auto"/>
        </w:rPr>
      </w:pPr>
      <w:r>
        <w:rPr>
          <w:rFonts w:ascii="Arial" w:cs="Arial" w:eastAsia="Arial" w:hAnsi="Arial"/>
          <w:sz w:val="18"/>
          <w:szCs w:val="18"/>
          <w:color w:val="auto"/>
        </w:rPr>
        <w:t>The consolidated statements of operations data for the years ended December 31, 2019, 2018, and 2017 and the consolidated balance sheet data at December 31, 2019 and 2018 are derived from our audited financial statements included elsewhere in this Annual Report on Form 10-K. Such consolidated financial data reflects the correction of certain immaterial tax misstatements discussed in Part II, Item 8 “Financial Statements and Supplementary Data—Note 2 to the Consolidated Financial Statements—Significant Accounting Policies.”</w:t>
      </w:r>
    </w:p>
    <w:p>
      <w:pPr>
        <w:spacing w:after="0" w:line="94" w:lineRule="exact"/>
        <w:rPr>
          <w:sz w:val="20"/>
          <w:szCs w:val="20"/>
          <w:color w:val="auto"/>
        </w:rPr>
      </w:pPr>
    </w:p>
    <w:p>
      <w:pPr>
        <w:ind w:right="60" w:firstLine="518"/>
        <w:spacing w:after="0" w:line="246" w:lineRule="auto"/>
        <w:rPr>
          <w:sz w:val="20"/>
          <w:szCs w:val="20"/>
          <w:color w:val="auto"/>
        </w:rPr>
      </w:pPr>
      <w:r>
        <w:rPr>
          <w:rFonts w:ascii="Arial" w:cs="Arial" w:eastAsia="Arial" w:hAnsi="Arial"/>
          <w:sz w:val="18"/>
          <w:szCs w:val="18"/>
          <w:color w:val="auto"/>
        </w:rPr>
        <w:t>The consolidated statements of operations data for the years ended December 31, 2016 and 2015 and the consolidated balance sheet data at December 31, 2017, 2016, and 2015 are derived from our financial statements not included in this Annual Report on Form 10-K.</w:t>
      </w:r>
    </w:p>
    <w:p>
      <w:pPr>
        <w:spacing w:after="0" w:line="89" w:lineRule="exact"/>
        <w:rPr>
          <w:sz w:val="20"/>
          <w:szCs w:val="20"/>
          <w:color w:val="auto"/>
        </w:rPr>
      </w:pPr>
    </w:p>
    <w:p>
      <w:pPr>
        <w:ind w:right="180" w:firstLine="518"/>
        <w:spacing w:after="0"/>
        <w:rPr>
          <w:sz w:val="20"/>
          <w:szCs w:val="20"/>
          <w:color w:val="auto"/>
        </w:rPr>
      </w:pPr>
      <w:r>
        <w:rPr>
          <w:rFonts w:ascii="Arial" w:cs="Arial" w:eastAsia="Arial" w:hAnsi="Arial"/>
          <w:sz w:val="18"/>
          <w:szCs w:val="18"/>
          <w:color w:val="auto"/>
        </w:rPr>
        <w:t>The selected consolidated financial data below are not necessarily indicative of future performance and should be read in conjunction with Item 7, “Management’s Discussion and Analysis of Financial Condition and Results of Operations” and the consolidated financial statements and related notes thereto included in Item 8 of this Annual Report on Form 10-K.</w:t>
      </w:r>
    </w:p>
    <w:p>
      <w:pPr>
        <w:spacing w:after="0" w:line="20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2720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300"/>
          </w:cols>
          <w:pgMar w:left="240" w:top="657" w:right="359" w:bottom="1440" w:gutter="0" w:footer="0" w:header="0"/>
        </w:sectPr>
      </w:pPr>
    </w:p>
    <w:bookmarkStart w:id="35" w:name="page36"/>
    <w:bookmarkEnd w:id="35"/>
    <w:p>
      <w:pPr>
        <w:spacing w:after="0"/>
        <w:rPr>
          <w:sz w:val="20"/>
          <w:szCs w:val="20"/>
          <w:color w:val="auto"/>
        </w:rPr>
      </w:pPr>
      <w:r>
        <w:rPr>
          <w:rFonts w:ascii="Arial" w:cs="Arial" w:eastAsia="Arial" w:hAnsi="Arial"/>
          <w:sz w:val="18"/>
          <w:szCs w:val="18"/>
          <w:b w:val="1"/>
          <w:bCs w:val="1"/>
          <w:i w:val="1"/>
          <w:iCs w:val="1"/>
          <w:color w:val="auto"/>
        </w:rPr>
        <w:t>Consolidated Statements of Operations Data (in thousands, except per share data):</w:t>
      </w:r>
    </w:p>
    <w:p>
      <w:pPr>
        <w:spacing w:after="0" w:line="316"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532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2600" w:type="dxa"/>
            <w:vAlign w:val="bottom"/>
            <w:tcBorders>
              <w:bottom w:val="single" w:sz="8" w:color="auto"/>
            </w:tcBorders>
            <w:gridSpan w:val="7"/>
          </w:tcPr>
          <w:p>
            <w:pPr>
              <w:jc w:val="center"/>
              <w:ind w:left="552"/>
              <w:spacing w:after="0"/>
              <w:rPr>
                <w:sz w:val="20"/>
                <w:szCs w:val="20"/>
                <w:color w:val="auto"/>
              </w:rPr>
            </w:pPr>
            <w:r>
              <w:rPr>
                <w:rFonts w:ascii="Arial" w:cs="Arial" w:eastAsia="Arial" w:hAnsi="Arial"/>
                <w:sz w:val="14"/>
                <w:szCs w:val="14"/>
                <w:b w:val="1"/>
                <w:bCs w:val="1"/>
                <w:color w:val="auto"/>
              </w:rPr>
              <w:t>Year Ended December 31,</w:t>
            </w:r>
          </w:p>
        </w:tc>
        <w:tc>
          <w:tcPr>
            <w:tcW w:w="76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r>
      <w:tr>
        <w:trPr>
          <w:trHeight w:val="210"/>
        </w:trPr>
        <w:tc>
          <w:tcPr>
            <w:tcW w:w="532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171"/>
              <w:spacing w:after="0"/>
              <w:rPr>
                <w:sz w:val="20"/>
                <w:szCs w:val="20"/>
                <w:color w:val="auto"/>
              </w:rPr>
            </w:pPr>
            <w:r>
              <w:rPr>
                <w:rFonts w:ascii="Arial" w:cs="Arial" w:eastAsia="Arial" w:hAnsi="Arial"/>
                <w:sz w:val="14"/>
                <w:szCs w:val="14"/>
                <w:b w:val="1"/>
                <w:bCs w:val="1"/>
                <w:color w:val="auto"/>
              </w:rPr>
              <w:t>2019(1)</w:t>
            </w:r>
          </w:p>
        </w:tc>
        <w:tc>
          <w:tcPr>
            <w:tcW w:w="24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92"/>
              <w:spacing w:after="0"/>
              <w:rPr>
                <w:sz w:val="20"/>
                <w:szCs w:val="20"/>
                <w:color w:val="auto"/>
              </w:rPr>
            </w:pPr>
            <w:r>
              <w:rPr>
                <w:rFonts w:ascii="Arial" w:cs="Arial" w:eastAsia="Arial" w:hAnsi="Arial"/>
                <w:sz w:val="14"/>
                <w:szCs w:val="14"/>
                <w:b w:val="1"/>
                <w:bCs w:val="1"/>
                <w:color w:val="auto"/>
              </w:rPr>
              <w:t>2018(1)(3)</w:t>
            </w:r>
          </w:p>
        </w:tc>
        <w:tc>
          <w:tcPr>
            <w:tcW w:w="1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center"/>
              <w:ind w:right="51"/>
              <w:spacing w:after="0"/>
              <w:rPr>
                <w:sz w:val="20"/>
                <w:szCs w:val="20"/>
                <w:color w:val="auto"/>
              </w:rPr>
            </w:pPr>
            <w:r>
              <w:rPr>
                <w:rFonts w:ascii="Arial" w:cs="Arial" w:eastAsia="Arial" w:hAnsi="Arial"/>
                <w:sz w:val="14"/>
                <w:szCs w:val="14"/>
                <w:b w:val="1"/>
                <w:bCs w:val="1"/>
                <w:color w:val="auto"/>
              </w:rPr>
              <w:t>2017(1)(3)</w:t>
            </w:r>
          </w:p>
        </w:tc>
        <w:tc>
          <w:tcPr>
            <w:tcW w:w="24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2016(1)(2)(3)</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191"/>
              <w:spacing w:after="0"/>
              <w:rPr>
                <w:sz w:val="20"/>
                <w:szCs w:val="20"/>
                <w:color w:val="auto"/>
              </w:rPr>
            </w:pPr>
            <w:r>
              <w:rPr>
                <w:rFonts w:ascii="Arial" w:cs="Arial" w:eastAsia="Arial" w:hAnsi="Arial"/>
                <w:sz w:val="14"/>
                <w:szCs w:val="14"/>
                <w:b w:val="1"/>
                <w:bCs w:val="1"/>
                <w:color w:val="auto"/>
              </w:rPr>
              <w:t>2015(1)</w:t>
            </w:r>
          </w:p>
        </w:tc>
        <w:tc>
          <w:tcPr>
            <w:tcW w:w="100" w:type="dxa"/>
            <w:vAlign w:val="bottom"/>
          </w:tcPr>
          <w:p>
            <w:pPr>
              <w:spacing w:after="0"/>
              <w:rPr>
                <w:sz w:val="18"/>
                <w:szCs w:val="18"/>
                <w:color w:val="auto"/>
              </w:rPr>
            </w:pPr>
          </w:p>
        </w:tc>
      </w:tr>
      <w:tr>
        <w:trPr>
          <w:trHeight w:val="210"/>
        </w:trPr>
        <w:tc>
          <w:tcPr>
            <w:tcW w:w="5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520" w:type="dxa"/>
            <w:vAlign w:val="bottom"/>
            <w:gridSpan w:val="9"/>
          </w:tcPr>
          <w:p>
            <w:pPr>
              <w:jc w:val="center"/>
              <w:ind w:right="300"/>
              <w:spacing w:after="0"/>
              <w:rPr>
                <w:sz w:val="20"/>
                <w:szCs w:val="20"/>
                <w:color w:val="auto"/>
              </w:rPr>
            </w:pPr>
            <w:r>
              <w:rPr>
                <w:rFonts w:ascii="Arial" w:cs="Arial" w:eastAsia="Arial" w:hAnsi="Arial"/>
                <w:sz w:val="14"/>
                <w:szCs w:val="14"/>
                <w:b w:val="1"/>
                <w:bCs w:val="1"/>
                <w:color w:val="auto"/>
              </w:rPr>
              <w:t>(in thousands, except per share data)</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320" w:type="dxa"/>
            <w:vAlign w:val="bottom"/>
            <w:shd w:val="clear" w:color="auto" w:fill="CFF0FC"/>
          </w:tcPr>
          <w:p>
            <w:pPr>
              <w:spacing w:after="0"/>
              <w:rPr>
                <w:sz w:val="20"/>
                <w:szCs w:val="20"/>
                <w:color w:val="auto"/>
              </w:rPr>
            </w:pPr>
            <w:r>
              <w:rPr>
                <w:rFonts w:ascii="Arial" w:cs="Arial" w:eastAsia="Arial" w:hAnsi="Arial"/>
                <w:sz w:val="18"/>
                <w:szCs w:val="18"/>
                <w:color w:val="auto"/>
              </w:rPr>
              <w:t>Revenues</w:t>
            </w:r>
          </w:p>
        </w:tc>
        <w:tc>
          <w:tcPr>
            <w:tcW w:w="18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5320" w:type="dxa"/>
            <w:vAlign w:val="bottom"/>
          </w:tcPr>
          <w:p>
            <w:pPr>
              <w:ind w:left="260"/>
              <w:spacing w:after="0"/>
              <w:rPr>
                <w:sz w:val="20"/>
                <w:szCs w:val="20"/>
                <w:color w:val="auto"/>
              </w:rPr>
            </w:pPr>
            <w:r>
              <w:rPr>
                <w:rFonts w:ascii="Arial" w:cs="Arial" w:eastAsia="Arial" w:hAnsi="Arial"/>
                <w:sz w:val="18"/>
                <w:szCs w:val="18"/>
                <w:color w:val="auto"/>
              </w:rPr>
              <w:t>Subscription and support</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272,447</w:t>
            </w:r>
          </w:p>
        </w:tc>
        <w:tc>
          <w:tcPr>
            <w:tcW w:w="24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217,406</w:t>
            </w:r>
          </w:p>
        </w:tc>
        <w:tc>
          <w:tcPr>
            <w:tcW w:w="140" w:type="dxa"/>
            <w:vAlign w:val="bottom"/>
          </w:tcPr>
          <w:p>
            <w:pPr>
              <w:spacing w:after="0"/>
              <w:rPr>
                <w:sz w:val="18"/>
                <w:szCs w:val="18"/>
                <w:color w:val="auto"/>
              </w:rPr>
            </w:pPr>
          </w:p>
        </w:tc>
        <w:tc>
          <w:tcPr>
            <w:tcW w:w="2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167,081</w:t>
            </w:r>
          </w:p>
        </w:tc>
        <w:tc>
          <w:tcPr>
            <w:tcW w:w="240" w:type="dxa"/>
            <w:vAlign w:val="bottom"/>
          </w:tcPr>
          <w:p>
            <w:pPr>
              <w:spacing w:after="0"/>
              <w:rPr>
                <w:sz w:val="18"/>
                <w:szCs w:val="18"/>
                <w:color w:val="auto"/>
              </w:rPr>
            </w:pPr>
          </w:p>
        </w:tc>
        <w:tc>
          <w:tcPr>
            <w:tcW w:w="240" w:type="dxa"/>
            <w:vAlign w:val="bottom"/>
          </w:tcPr>
          <w:p>
            <w:pPr>
              <w:jc w:val="right"/>
              <w:ind w:right="54"/>
              <w:spacing w:after="0"/>
              <w:rPr>
                <w:sz w:val="20"/>
                <w:szCs w:val="20"/>
                <w:color w:val="auto"/>
              </w:rPr>
            </w:pPr>
            <w:r>
              <w:rPr>
                <w:rFonts w:ascii="Arial" w:cs="Arial" w:eastAsia="Arial" w:hAnsi="Arial"/>
                <w:sz w:val="18"/>
                <w:szCs w:val="18"/>
                <w:color w:val="auto"/>
                <w:w w:val="79"/>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122,441</w:t>
            </w:r>
          </w:p>
        </w:tc>
        <w:tc>
          <w:tcPr>
            <w:tcW w:w="160" w:type="dxa"/>
            <w:vAlign w:val="bottom"/>
          </w:tcPr>
          <w:p>
            <w:pPr>
              <w:spacing w:after="0"/>
              <w:rPr>
                <w:sz w:val="18"/>
                <w:szCs w:val="18"/>
                <w:color w:val="auto"/>
              </w:rPr>
            </w:pPr>
          </w:p>
        </w:tc>
        <w:tc>
          <w:tcPr>
            <w:tcW w:w="26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80,080</w:t>
            </w:r>
          </w:p>
        </w:tc>
        <w:tc>
          <w:tcPr>
            <w:tcW w:w="100" w:type="dxa"/>
            <w:vAlign w:val="bottom"/>
          </w:tcPr>
          <w:p>
            <w:pPr>
              <w:spacing w:after="0"/>
              <w:rPr>
                <w:sz w:val="18"/>
                <w:szCs w:val="18"/>
                <w:color w:val="auto"/>
              </w:rPr>
            </w:pPr>
          </w:p>
        </w:tc>
      </w:tr>
      <w:tr>
        <w:trPr>
          <w:trHeight w:val="216"/>
        </w:trPr>
        <w:tc>
          <w:tcPr>
            <w:tcW w:w="53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Professional services</w:t>
            </w:r>
          </w:p>
        </w:tc>
        <w:tc>
          <w:tcPr>
            <w:tcW w:w="180" w:type="dxa"/>
            <w:vAlign w:val="bottom"/>
            <w:tcBorders>
              <w:bottom w:val="single" w:sz="8" w:color="auto"/>
            </w:tcBorders>
            <w:shd w:val="clear" w:color="auto" w:fill="CFF0FC"/>
          </w:tcPr>
          <w:p>
            <w:pPr>
              <w:spacing w:after="0"/>
              <w:rPr>
                <w:sz w:val="18"/>
                <w:szCs w:val="18"/>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16,529</w:t>
            </w:r>
          </w:p>
        </w:tc>
        <w:tc>
          <w:tcPr>
            <w:tcW w:w="240" w:type="dxa"/>
            <w:vAlign w:val="bottom"/>
            <w:shd w:val="clear" w:color="auto" w:fill="CFF0FC"/>
          </w:tcPr>
          <w:p>
            <w:pPr>
              <w:spacing w:after="0"/>
              <w:rPr>
                <w:sz w:val="18"/>
                <w:szCs w:val="18"/>
                <w:color w:val="auto"/>
              </w:rPr>
            </w:pPr>
          </w:p>
        </w:tc>
        <w:tc>
          <w:tcPr>
            <w:tcW w:w="120" w:type="dxa"/>
            <w:vAlign w:val="bottom"/>
            <w:tcBorders>
              <w:bottom w:val="single" w:sz="8" w:color="auto"/>
            </w:tcBorders>
            <w:shd w:val="clear" w:color="auto" w:fill="CFF0FC"/>
          </w:tcPr>
          <w:p>
            <w:pPr>
              <w:spacing w:after="0"/>
              <w:rPr>
                <w:sz w:val="18"/>
                <w:szCs w:val="18"/>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10,382</w:t>
            </w: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20" w:type="dxa"/>
            <w:vAlign w:val="bottom"/>
            <w:tcBorders>
              <w:bottom w:val="single" w:sz="8" w:color="auto"/>
            </w:tcBorders>
            <w:shd w:val="clear" w:color="auto" w:fill="CFF0FC"/>
          </w:tcPr>
          <w:p>
            <w:pPr>
              <w:spacing w:after="0"/>
              <w:rPr>
                <w:sz w:val="18"/>
                <w:szCs w:val="18"/>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8,522</w:t>
            </w:r>
          </w:p>
        </w:tc>
        <w:tc>
          <w:tcPr>
            <w:tcW w:w="240" w:type="dxa"/>
            <w:vAlign w:val="bottom"/>
            <w:shd w:val="clear" w:color="auto" w:fill="CFF0FC"/>
          </w:tcPr>
          <w:p>
            <w:pPr>
              <w:spacing w:after="0"/>
              <w:rPr>
                <w:sz w:val="18"/>
                <w:szCs w:val="18"/>
                <w:color w:val="auto"/>
              </w:rPr>
            </w:pPr>
          </w:p>
        </w:tc>
        <w:tc>
          <w:tcPr>
            <w:tcW w:w="240" w:type="dxa"/>
            <w:vAlign w:val="bottom"/>
            <w:tcBorders>
              <w:bottom w:val="single" w:sz="8" w:color="auto"/>
            </w:tcBorders>
            <w:shd w:val="clear" w:color="auto" w:fill="CFF0FC"/>
          </w:tcPr>
          <w:p>
            <w:pPr>
              <w:spacing w:after="0"/>
              <w:rPr>
                <w:sz w:val="18"/>
                <w:szCs w:val="18"/>
                <w:color w:val="auto"/>
              </w:rPr>
            </w:pPr>
          </w:p>
        </w:tc>
        <w:tc>
          <w:tcPr>
            <w:tcW w:w="7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5,593</w:t>
            </w:r>
          </w:p>
        </w:tc>
        <w:tc>
          <w:tcPr>
            <w:tcW w:w="1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80" w:type="dxa"/>
            <w:vAlign w:val="bottom"/>
            <w:tcBorders>
              <w:bottom w:val="single" w:sz="8" w:color="auto"/>
            </w:tcBorders>
            <w:shd w:val="clear" w:color="auto" w:fill="CFF0FC"/>
          </w:tcPr>
          <w:p>
            <w:pPr>
              <w:spacing w:after="0"/>
              <w:rPr>
                <w:sz w:val="18"/>
                <w:szCs w:val="18"/>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3,527</w:t>
            </w:r>
          </w:p>
        </w:tc>
        <w:tc>
          <w:tcPr>
            <w:tcW w:w="100" w:type="dxa"/>
            <w:vAlign w:val="bottom"/>
            <w:shd w:val="clear" w:color="auto" w:fill="CFF0FC"/>
          </w:tcPr>
          <w:p>
            <w:pPr>
              <w:spacing w:after="0"/>
              <w:rPr>
                <w:sz w:val="18"/>
                <w:szCs w:val="18"/>
                <w:color w:val="auto"/>
              </w:rPr>
            </w:pPr>
          </w:p>
        </w:tc>
      </w:tr>
      <w:tr>
        <w:trPr>
          <w:trHeight w:val="210"/>
        </w:trPr>
        <w:tc>
          <w:tcPr>
            <w:tcW w:w="5320" w:type="dxa"/>
            <w:vAlign w:val="bottom"/>
            <w:tcBorders>
              <w:bottom w:val="single" w:sz="8" w:color="CFF0FC"/>
            </w:tcBorders>
          </w:tcPr>
          <w:p>
            <w:pPr>
              <w:ind w:left="380"/>
              <w:spacing w:after="0"/>
              <w:rPr>
                <w:sz w:val="20"/>
                <w:szCs w:val="20"/>
                <w:color w:val="auto"/>
              </w:rPr>
            </w:pPr>
            <w:r>
              <w:rPr>
                <w:rFonts w:ascii="Arial" w:cs="Arial" w:eastAsia="Arial" w:hAnsi="Arial"/>
                <w:sz w:val="18"/>
                <w:szCs w:val="18"/>
                <w:color w:val="auto"/>
              </w:rPr>
              <w:t>Total revenues</w:t>
            </w:r>
          </w:p>
        </w:tc>
        <w:tc>
          <w:tcPr>
            <w:tcW w:w="18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288,976</w:t>
            </w:r>
          </w:p>
        </w:tc>
        <w:tc>
          <w:tcPr>
            <w:tcW w:w="240" w:type="dxa"/>
            <w:vAlign w:val="bottom"/>
            <w:tcBorders>
              <w:bottom w:val="single" w:sz="8" w:color="CFF0FC"/>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227,788</w:t>
            </w:r>
          </w:p>
        </w:tc>
        <w:tc>
          <w:tcPr>
            <w:tcW w:w="140" w:type="dxa"/>
            <w:vAlign w:val="bottom"/>
            <w:tcBorders>
              <w:bottom w:val="single" w:sz="8" w:color="CFF0FC"/>
            </w:tcBorders>
          </w:tcPr>
          <w:p>
            <w:pPr>
              <w:spacing w:after="0"/>
              <w:rPr>
                <w:sz w:val="18"/>
                <w:szCs w:val="18"/>
                <w:color w:val="auto"/>
              </w:rPr>
            </w:pPr>
          </w:p>
        </w:tc>
        <w:tc>
          <w:tcPr>
            <w:tcW w:w="100" w:type="dxa"/>
            <w:vAlign w:val="bottom"/>
            <w:tcBorders>
              <w:bottom w:val="single" w:sz="8" w:color="CFF0FC"/>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175,603</w:t>
            </w:r>
          </w:p>
        </w:tc>
        <w:tc>
          <w:tcPr>
            <w:tcW w:w="240" w:type="dxa"/>
            <w:vAlign w:val="bottom"/>
            <w:tcBorders>
              <w:bottom w:val="single" w:sz="8" w:color="CFF0FC"/>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128,034</w:t>
            </w:r>
          </w:p>
        </w:tc>
        <w:tc>
          <w:tcPr>
            <w:tcW w:w="160" w:type="dxa"/>
            <w:vAlign w:val="bottom"/>
            <w:tcBorders>
              <w:bottom w:val="single" w:sz="8" w:color="CFF0FC"/>
            </w:tcBorders>
          </w:tcPr>
          <w:p>
            <w:pPr>
              <w:spacing w:after="0"/>
              <w:rPr>
                <w:sz w:val="18"/>
                <w:szCs w:val="18"/>
                <w:color w:val="auto"/>
              </w:rPr>
            </w:pPr>
          </w:p>
        </w:tc>
        <w:tc>
          <w:tcPr>
            <w:tcW w:w="80" w:type="dxa"/>
            <w:vAlign w:val="bottom"/>
            <w:tcBorders>
              <w:bottom w:val="single" w:sz="8" w:color="CFF0FC"/>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83,607</w:t>
            </w:r>
          </w:p>
        </w:tc>
        <w:tc>
          <w:tcPr>
            <w:tcW w:w="100" w:type="dxa"/>
            <w:vAlign w:val="bottom"/>
            <w:tcBorders>
              <w:bottom w:val="single" w:sz="8" w:color="CFF0FC"/>
            </w:tcBorders>
          </w:tcPr>
          <w:p>
            <w:pPr>
              <w:spacing w:after="0"/>
              <w:rPr>
                <w:sz w:val="18"/>
                <w:szCs w:val="18"/>
                <w:color w:val="auto"/>
              </w:rPr>
            </w:pPr>
          </w:p>
        </w:tc>
      </w:tr>
      <w:tr>
        <w:trPr>
          <w:trHeight w:val="210"/>
        </w:trPr>
        <w:tc>
          <w:tcPr>
            <w:tcW w:w="5320" w:type="dxa"/>
            <w:vAlign w:val="bottom"/>
            <w:shd w:val="clear" w:color="auto" w:fill="CFF0FC"/>
          </w:tcPr>
          <w:p>
            <w:pPr>
              <w:spacing w:after="0"/>
              <w:rPr>
                <w:sz w:val="20"/>
                <w:szCs w:val="20"/>
                <w:color w:val="auto"/>
              </w:rPr>
            </w:pPr>
            <w:r>
              <w:rPr>
                <w:rFonts w:ascii="Arial" w:cs="Arial" w:eastAsia="Arial" w:hAnsi="Arial"/>
                <w:sz w:val="18"/>
                <w:szCs w:val="18"/>
                <w:color w:val="auto"/>
              </w:rPr>
              <w:t>Cost of revenues</w:t>
            </w:r>
          </w:p>
        </w:tc>
        <w:tc>
          <w:tcPr>
            <w:tcW w:w="18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5320" w:type="dxa"/>
            <w:vAlign w:val="bottom"/>
          </w:tcPr>
          <w:p>
            <w:pPr>
              <w:ind w:left="260"/>
              <w:spacing w:after="0"/>
              <w:rPr>
                <w:sz w:val="20"/>
                <w:szCs w:val="20"/>
                <w:color w:val="auto"/>
              </w:rPr>
            </w:pPr>
            <w:r>
              <w:rPr>
                <w:rFonts w:ascii="Arial" w:cs="Arial" w:eastAsia="Arial" w:hAnsi="Arial"/>
                <w:sz w:val="18"/>
                <w:szCs w:val="18"/>
                <w:color w:val="auto"/>
              </w:rPr>
              <w:t>Subscription and support</w:t>
            </w:r>
          </w:p>
        </w:tc>
        <w:tc>
          <w:tcPr>
            <w:tcW w:w="1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44,968</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41,428</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33,530</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25,900</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19,773</w:t>
            </w:r>
          </w:p>
        </w:tc>
        <w:tc>
          <w:tcPr>
            <w:tcW w:w="100" w:type="dxa"/>
            <w:vAlign w:val="bottom"/>
          </w:tcPr>
          <w:p>
            <w:pPr>
              <w:spacing w:after="0"/>
              <w:rPr>
                <w:sz w:val="18"/>
                <w:szCs w:val="18"/>
                <w:color w:val="auto"/>
              </w:rPr>
            </w:pPr>
          </w:p>
        </w:tc>
      </w:tr>
      <w:tr>
        <w:trPr>
          <w:trHeight w:val="216"/>
        </w:trPr>
        <w:tc>
          <w:tcPr>
            <w:tcW w:w="53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Professional services</w:t>
            </w:r>
          </w:p>
        </w:tc>
        <w:tc>
          <w:tcPr>
            <w:tcW w:w="180" w:type="dxa"/>
            <w:vAlign w:val="bottom"/>
            <w:tcBorders>
              <w:bottom w:val="single" w:sz="8" w:color="auto"/>
            </w:tcBorders>
            <w:shd w:val="clear" w:color="auto" w:fill="CFF0FC"/>
          </w:tcPr>
          <w:p>
            <w:pPr>
              <w:spacing w:after="0"/>
              <w:rPr>
                <w:sz w:val="18"/>
                <w:szCs w:val="18"/>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14,007</w:t>
            </w:r>
          </w:p>
        </w:tc>
        <w:tc>
          <w:tcPr>
            <w:tcW w:w="240" w:type="dxa"/>
            <w:vAlign w:val="bottom"/>
            <w:shd w:val="clear" w:color="auto" w:fill="CFF0FC"/>
          </w:tcPr>
          <w:p>
            <w:pPr>
              <w:spacing w:after="0"/>
              <w:rPr>
                <w:sz w:val="18"/>
                <w:szCs w:val="18"/>
                <w:color w:val="auto"/>
              </w:rPr>
            </w:pPr>
          </w:p>
        </w:tc>
        <w:tc>
          <w:tcPr>
            <w:tcW w:w="120" w:type="dxa"/>
            <w:vAlign w:val="bottom"/>
            <w:tcBorders>
              <w:bottom w:val="single" w:sz="8" w:color="auto"/>
            </w:tcBorders>
            <w:shd w:val="clear" w:color="auto" w:fill="CFF0FC"/>
          </w:tcPr>
          <w:p>
            <w:pPr>
              <w:spacing w:after="0"/>
              <w:rPr>
                <w:sz w:val="18"/>
                <w:szCs w:val="18"/>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9,446</w:t>
            </w: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20" w:type="dxa"/>
            <w:vAlign w:val="bottom"/>
            <w:tcBorders>
              <w:bottom w:val="single" w:sz="8" w:color="auto"/>
            </w:tcBorders>
            <w:shd w:val="clear" w:color="auto" w:fill="CFF0FC"/>
          </w:tcPr>
          <w:p>
            <w:pPr>
              <w:spacing w:after="0"/>
              <w:rPr>
                <w:sz w:val="18"/>
                <w:szCs w:val="18"/>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7,855</w:t>
            </w:r>
          </w:p>
        </w:tc>
        <w:tc>
          <w:tcPr>
            <w:tcW w:w="240" w:type="dxa"/>
            <w:vAlign w:val="bottom"/>
            <w:shd w:val="clear" w:color="auto" w:fill="CFF0FC"/>
          </w:tcPr>
          <w:p>
            <w:pPr>
              <w:spacing w:after="0"/>
              <w:rPr>
                <w:sz w:val="18"/>
                <w:szCs w:val="18"/>
                <w:color w:val="auto"/>
              </w:rPr>
            </w:pPr>
          </w:p>
        </w:tc>
        <w:tc>
          <w:tcPr>
            <w:tcW w:w="240" w:type="dxa"/>
            <w:vAlign w:val="bottom"/>
            <w:tcBorders>
              <w:bottom w:val="single" w:sz="8" w:color="auto"/>
            </w:tcBorders>
            <w:shd w:val="clear" w:color="auto" w:fill="CFF0FC"/>
          </w:tcPr>
          <w:p>
            <w:pPr>
              <w:spacing w:after="0"/>
              <w:rPr>
                <w:sz w:val="18"/>
                <w:szCs w:val="18"/>
                <w:color w:val="auto"/>
              </w:rPr>
            </w:pPr>
          </w:p>
        </w:tc>
        <w:tc>
          <w:tcPr>
            <w:tcW w:w="7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4,311</w:t>
            </w:r>
          </w:p>
        </w:tc>
        <w:tc>
          <w:tcPr>
            <w:tcW w:w="1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80" w:type="dxa"/>
            <w:vAlign w:val="bottom"/>
            <w:tcBorders>
              <w:bottom w:val="single" w:sz="8" w:color="auto"/>
            </w:tcBorders>
            <w:shd w:val="clear" w:color="auto" w:fill="CFF0FC"/>
          </w:tcPr>
          <w:p>
            <w:pPr>
              <w:spacing w:after="0"/>
              <w:rPr>
                <w:sz w:val="18"/>
                <w:szCs w:val="18"/>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2,956</w:t>
            </w:r>
          </w:p>
        </w:tc>
        <w:tc>
          <w:tcPr>
            <w:tcW w:w="100" w:type="dxa"/>
            <w:vAlign w:val="bottom"/>
            <w:shd w:val="clear" w:color="auto" w:fill="CFF0FC"/>
          </w:tcPr>
          <w:p>
            <w:pPr>
              <w:spacing w:after="0"/>
              <w:rPr>
                <w:sz w:val="18"/>
                <w:szCs w:val="18"/>
                <w:color w:val="auto"/>
              </w:rPr>
            </w:pPr>
          </w:p>
        </w:tc>
      </w:tr>
      <w:tr>
        <w:trPr>
          <w:trHeight w:val="210"/>
        </w:trPr>
        <w:tc>
          <w:tcPr>
            <w:tcW w:w="5320" w:type="dxa"/>
            <w:vAlign w:val="bottom"/>
            <w:tcBorders>
              <w:bottom w:val="single" w:sz="8" w:color="CFF0FC"/>
            </w:tcBorders>
          </w:tcPr>
          <w:p>
            <w:pPr>
              <w:ind w:left="380"/>
              <w:spacing w:after="0"/>
              <w:rPr>
                <w:sz w:val="20"/>
                <w:szCs w:val="20"/>
                <w:color w:val="auto"/>
              </w:rPr>
            </w:pPr>
            <w:r>
              <w:rPr>
                <w:rFonts w:ascii="Arial" w:cs="Arial" w:eastAsia="Arial" w:hAnsi="Arial"/>
                <w:sz w:val="18"/>
                <w:szCs w:val="18"/>
                <w:color w:val="auto"/>
              </w:rPr>
              <w:t>Total cost of revenues(4)(5)</w:t>
            </w:r>
          </w:p>
        </w:tc>
        <w:tc>
          <w:tcPr>
            <w:tcW w:w="18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58,975</w:t>
            </w:r>
          </w:p>
        </w:tc>
        <w:tc>
          <w:tcPr>
            <w:tcW w:w="240" w:type="dxa"/>
            <w:vAlign w:val="bottom"/>
            <w:tcBorders>
              <w:bottom w:val="single" w:sz="8" w:color="CFF0FC"/>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50,874</w:t>
            </w:r>
          </w:p>
        </w:tc>
        <w:tc>
          <w:tcPr>
            <w:tcW w:w="140" w:type="dxa"/>
            <w:vAlign w:val="bottom"/>
            <w:tcBorders>
              <w:bottom w:val="single" w:sz="8" w:color="CFF0FC"/>
            </w:tcBorders>
          </w:tcPr>
          <w:p>
            <w:pPr>
              <w:spacing w:after="0"/>
              <w:rPr>
                <w:sz w:val="18"/>
                <w:szCs w:val="18"/>
                <w:color w:val="auto"/>
              </w:rPr>
            </w:pPr>
          </w:p>
        </w:tc>
        <w:tc>
          <w:tcPr>
            <w:tcW w:w="100" w:type="dxa"/>
            <w:vAlign w:val="bottom"/>
            <w:tcBorders>
              <w:bottom w:val="single" w:sz="8" w:color="CFF0FC"/>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41,385</w:t>
            </w:r>
          </w:p>
        </w:tc>
        <w:tc>
          <w:tcPr>
            <w:tcW w:w="240" w:type="dxa"/>
            <w:vAlign w:val="bottom"/>
            <w:tcBorders>
              <w:bottom w:val="single" w:sz="8" w:color="CFF0FC"/>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30,211</w:t>
            </w:r>
          </w:p>
        </w:tc>
        <w:tc>
          <w:tcPr>
            <w:tcW w:w="160" w:type="dxa"/>
            <w:vAlign w:val="bottom"/>
            <w:tcBorders>
              <w:bottom w:val="single" w:sz="8" w:color="CFF0FC"/>
            </w:tcBorders>
          </w:tcPr>
          <w:p>
            <w:pPr>
              <w:spacing w:after="0"/>
              <w:rPr>
                <w:sz w:val="18"/>
                <w:szCs w:val="18"/>
                <w:color w:val="auto"/>
              </w:rPr>
            </w:pPr>
          </w:p>
        </w:tc>
        <w:tc>
          <w:tcPr>
            <w:tcW w:w="80" w:type="dxa"/>
            <w:vAlign w:val="bottom"/>
            <w:tcBorders>
              <w:bottom w:val="single" w:sz="8" w:color="CFF0FC"/>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22,729</w:t>
            </w:r>
          </w:p>
        </w:tc>
        <w:tc>
          <w:tcPr>
            <w:tcW w:w="100" w:type="dxa"/>
            <w:vAlign w:val="bottom"/>
            <w:tcBorders>
              <w:bottom w:val="single" w:sz="8" w:color="CFF0FC"/>
            </w:tcBorders>
          </w:tcPr>
          <w:p>
            <w:pPr>
              <w:spacing w:after="0"/>
              <w:rPr>
                <w:sz w:val="18"/>
                <w:szCs w:val="18"/>
                <w:color w:val="auto"/>
              </w:rPr>
            </w:pPr>
          </w:p>
        </w:tc>
      </w:tr>
      <w:tr>
        <w:trPr>
          <w:trHeight w:val="210"/>
        </w:trPr>
        <w:tc>
          <w:tcPr>
            <w:tcW w:w="5320" w:type="dxa"/>
            <w:vAlign w:val="bottom"/>
            <w:shd w:val="clear" w:color="auto" w:fill="CFF0FC"/>
          </w:tcPr>
          <w:p>
            <w:pPr>
              <w:spacing w:after="0"/>
              <w:rPr>
                <w:sz w:val="20"/>
                <w:szCs w:val="20"/>
                <w:color w:val="auto"/>
              </w:rPr>
            </w:pPr>
            <w:r>
              <w:rPr>
                <w:rFonts w:ascii="Arial" w:cs="Arial" w:eastAsia="Arial" w:hAnsi="Arial"/>
                <w:sz w:val="18"/>
                <w:szCs w:val="18"/>
                <w:color w:val="auto"/>
              </w:rPr>
              <w:t>Gross profit</w:t>
            </w:r>
          </w:p>
        </w:tc>
        <w:tc>
          <w:tcPr>
            <w:tcW w:w="180" w:type="dxa"/>
            <w:vAlign w:val="bottom"/>
            <w:tcBorders>
              <w:bottom w:val="single" w:sz="8" w:color="auto"/>
            </w:tcBorders>
            <w:shd w:val="clear" w:color="auto" w:fill="CFF0FC"/>
          </w:tcPr>
          <w:p>
            <w:pPr>
              <w:spacing w:after="0"/>
              <w:rPr>
                <w:sz w:val="18"/>
                <w:szCs w:val="18"/>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230,001</w:t>
            </w:r>
          </w:p>
        </w:tc>
        <w:tc>
          <w:tcPr>
            <w:tcW w:w="240" w:type="dxa"/>
            <w:vAlign w:val="bottom"/>
            <w:shd w:val="clear" w:color="auto" w:fill="CFF0FC"/>
          </w:tcPr>
          <w:p>
            <w:pPr>
              <w:spacing w:after="0"/>
              <w:rPr>
                <w:sz w:val="18"/>
                <w:szCs w:val="18"/>
                <w:color w:val="auto"/>
              </w:rPr>
            </w:pPr>
          </w:p>
        </w:tc>
        <w:tc>
          <w:tcPr>
            <w:tcW w:w="120" w:type="dxa"/>
            <w:vAlign w:val="bottom"/>
            <w:tcBorders>
              <w:bottom w:val="single" w:sz="8" w:color="auto"/>
            </w:tcBorders>
            <w:shd w:val="clear" w:color="auto" w:fill="CFF0FC"/>
          </w:tcPr>
          <w:p>
            <w:pPr>
              <w:spacing w:after="0"/>
              <w:rPr>
                <w:sz w:val="18"/>
                <w:szCs w:val="18"/>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176,914</w:t>
            </w: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20" w:type="dxa"/>
            <w:vAlign w:val="bottom"/>
            <w:tcBorders>
              <w:bottom w:val="single" w:sz="8" w:color="auto"/>
            </w:tcBorders>
            <w:shd w:val="clear" w:color="auto" w:fill="CFF0FC"/>
          </w:tcPr>
          <w:p>
            <w:pPr>
              <w:spacing w:after="0"/>
              <w:rPr>
                <w:sz w:val="18"/>
                <w:szCs w:val="18"/>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134,218</w:t>
            </w:r>
          </w:p>
        </w:tc>
        <w:tc>
          <w:tcPr>
            <w:tcW w:w="240" w:type="dxa"/>
            <w:vAlign w:val="bottom"/>
            <w:shd w:val="clear" w:color="auto" w:fill="CFF0FC"/>
          </w:tcPr>
          <w:p>
            <w:pPr>
              <w:spacing w:after="0"/>
              <w:rPr>
                <w:sz w:val="18"/>
                <w:szCs w:val="18"/>
                <w:color w:val="auto"/>
              </w:rPr>
            </w:pPr>
          </w:p>
        </w:tc>
        <w:tc>
          <w:tcPr>
            <w:tcW w:w="240" w:type="dxa"/>
            <w:vAlign w:val="bottom"/>
            <w:tcBorders>
              <w:bottom w:val="single" w:sz="8" w:color="auto"/>
            </w:tcBorders>
            <w:shd w:val="clear" w:color="auto" w:fill="CFF0FC"/>
          </w:tcPr>
          <w:p>
            <w:pPr>
              <w:spacing w:after="0"/>
              <w:rPr>
                <w:sz w:val="18"/>
                <w:szCs w:val="18"/>
                <w:color w:val="auto"/>
              </w:rPr>
            </w:pPr>
          </w:p>
        </w:tc>
        <w:tc>
          <w:tcPr>
            <w:tcW w:w="7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97,823</w:t>
            </w:r>
          </w:p>
        </w:tc>
        <w:tc>
          <w:tcPr>
            <w:tcW w:w="1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80" w:type="dxa"/>
            <w:vAlign w:val="bottom"/>
            <w:tcBorders>
              <w:bottom w:val="single" w:sz="8" w:color="auto"/>
            </w:tcBorders>
            <w:shd w:val="clear" w:color="auto" w:fill="CFF0FC"/>
          </w:tcPr>
          <w:p>
            <w:pPr>
              <w:spacing w:after="0"/>
              <w:rPr>
                <w:sz w:val="18"/>
                <w:szCs w:val="18"/>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60,878</w:t>
            </w:r>
          </w:p>
        </w:tc>
        <w:tc>
          <w:tcPr>
            <w:tcW w:w="100" w:type="dxa"/>
            <w:vAlign w:val="bottom"/>
            <w:shd w:val="clear" w:color="auto" w:fill="CFF0FC"/>
          </w:tcPr>
          <w:p>
            <w:pPr>
              <w:spacing w:after="0"/>
              <w:rPr>
                <w:sz w:val="18"/>
                <w:szCs w:val="18"/>
                <w:color w:val="auto"/>
              </w:rPr>
            </w:pPr>
          </w:p>
        </w:tc>
      </w:tr>
      <w:tr>
        <w:trPr>
          <w:trHeight w:val="210"/>
        </w:trPr>
        <w:tc>
          <w:tcPr>
            <w:tcW w:w="5320" w:type="dxa"/>
            <w:vAlign w:val="bottom"/>
          </w:tcPr>
          <w:p>
            <w:pPr>
              <w:spacing w:after="0"/>
              <w:rPr>
                <w:sz w:val="20"/>
                <w:szCs w:val="20"/>
                <w:color w:val="auto"/>
              </w:rPr>
            </w:pPr>
            <w:r>
              <w:rPr>
                <w:rFonts w:ascii="Arial" w:cs="Arial" w:eastAsia="Arial" w:hAnsi="Arial"/>
                <w:sz w:val="18"/>
                <w:szCs w:val="18"/>
                <w:color w:val="auto"/>
              </w:rPr>
              <w:t>Operating expenses</w:t>
            </w:r>
          </w:p>
        </w:tc>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3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Sales and marketing(4)(5)</w:t>
            </w:r>
          </w:p>
        </w:tc>
        <w:tc>
          <w:tcPr>
            <w:tcW w:w="180" w:type="dxa"/>
            <w:vAlign w:val="bottom"/>
            <w:shd w:val="clear" w:color="auto" w:fill="CFF0FC"/>
          </w:tcPr>
          <w:p>
            <w:pPr>
              <w:spacing w:after="0"/>
              <w:rPr>
                <w:sz w:val="18"/>
                <w:szCs w:val="18"/>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158,837</w:t>
            </w:r>
          </w:p>
        </w:tc>
        <w:tc>
          <w:tcPr>
            <w:tcW w:w="2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128,808</w:t>
            </w: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103,967</w:t>
            </w:r>
          </w:p>
        </w:tc>
        <w:tc>
          <w:tcPr>
            <w:tcW w:w="2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71,970</w:t>
            </w:r>
          </w:p>
        </w:tc>
        <w:tc>
          <w:tcPr>
            <w:tcW w:w="1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56,546</w:t>
            </w:r>
          </w:p>
        </w:tc>
        <w:tc>
          <w:tcPr>
            <w:tcW w:w="100" w:type="dxa"/>
            <w:vAlign w:val="bottom"/>
            <w:shd w:val="clear" w:color="auto" w:fill="CFF0FC"/>
          </w:tcPr>
          <w:p>
            <w:pPr>
              <w:spacing w:after="0"/>
              <w:rPr>
                <w:sz w:val="18"/>
                <w:szCs w:val="18"/>
                <w:color w:val="auto"/>
              </w:rPr>
            </w:pPr>
          </w:p>
        </w:tc>
      </w:tr>
      <w:tr>
        <w:trPr>
          <w:trHeight w:val="216"/>
        </w:trPr>
        <w:tc>
          <w:tcPr>
            <w:tcW w:w="5320" w:type="dxa"/>
            <w:vAlign w:val="bottom"/>
          </w:tcPr>
          <w:p>
            <w:pPr>
              <w:ind w:left="260"/>
              <w:spacing w:after="0"/>
              <w:rPr>
                <w:sz w:val="20"/>
                <w:szCs w:val="20"/>
                <w:color w:val="auto"/>
              </w:rPr>
            </w:pPr>
            <w:r>
              <w:rPr>
                <w:rFonts w:ascii="Arial" w:cs="Arial" w:eastAsia="Arial" w:hAnsi="Arial"/>
                <w:sz w:val="18"/>
                <w:szCs w:val="18"/>
                <w:color w:val="auto"/>
              </w:rPr>
              <w:t>Research and development(4)</w:t>
            </w:r>
          </w:p>
        </w:tc>
        <w:tc>
          <w:tcPr>
            <w:tcW w:w="1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43,006</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30,754</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23,874</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21,125</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18,216</w:t>
            </w:r>
          </w:p>
        </w:tc>
        <w:tc>
          <w:tcPr>
            <w:tcW w:w="100" w:type="dxa"/>
            <w:vAlign w:val="bottom"/>
          </w:tcPr>
          <w:p>
            <w:pPr>
              <w:spacing w:after="0"/>
              <w:rPr>
                <w:sz w:val="18"/>
                <w:szCs w:val="18"/>
                <w:color w:val="auto"/>
              </w:rPr>
            </w:pPr>
          </w:p>
        </w:tc>
      </w:tr>
      <w:tr>
        <w:trPr>
          <w:trHeight w:val="216"/>
        </w:trPr>
        <w:tc>
          <w:tcPr>
            <w:tcW w:w="53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General and administrative(4)(5)(6)</w:t>
            </w:r>
          </w:p>
        </w:tc>
        <w:tc>
          <w:tcPr>
            <w:tcW w:w="180" w:type="dxa"/>
            <w:vAlign w:val="bottom"/>
            <w:tcBorders>
              <w:bottom w:val="single" w:sz="8" w:color="auto"/>
            </w:tcBorders>
            <w:shd w:val="clear" w:color="auto" w:fill="CFF0FC"/>
          </w:tcPr>
          <w:p>
            <w:pPr>
              <w:spacing w:after="0"/>
              <w:rPr>
                <w:sz w:val="18"/>
                <w:szCs w:val="18"/>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56,057</w:t>
            </w:r>
          </w:p>
        </w:tc>
        <w:tc>
          <w:tcPr>
            <w:tcW w:w="240" w:type="dxa"/>
            <w:vAlign w:val="bottom"/>
            <w:shd w:val="clear" w:color="auto" w:fill="CFF0FC"/>
          </w:tcPr>
          <w:p>
            <w:pPr>
              <w:spacing w:after="0"/>
              <w:rPr>
                <w:sz w:val="18"/>
                <w:szCs w:val="18"/>
                <w:color w:val="auto"/>
              </w:rPr>
            </w:pPr>
          </w:p>
        </w:tc>
        <w:tc>
          <w:tcPr>
            <w:tcW w:w="120" w:type="dxa"/>
            <w:vAlign w:val="bottom"/>
            <w:tcBorders>
              <w:bottom w:val="single" w:sz="8" w:color="auto"/>
            </w:tcBorders>
            <w:shd w:val="clear" w:color="auto" w:fill="CFF0FC"/>
          </w:tcPr>
          <w:p>
            <w:pPr>
              <w:spacing w:after="0"/>
              <w:rPr>
                <w:sz w:val="18"/>
                <w:szCs w:val="18"/>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47,188</w:t>
            </w: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20" w:type="dxa"/>
            <w:vAlign w:val="bottom"/>
            <w:tcBorders>
              <w:bottom w:val="single" w:sz="8" w:color="auto"/>
            </w:tcBorders>
            <w:shd w:val="clear" w:color="auto" w:fill="CFF0FC"/>
          </w:tcPr>
          <w:p>
            <w:pPr>
              <w:spacing w:after="0"/>
              <w:rPr>
                <w:sz w:val="18"/>
                <w:szCs w:val="18"/>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36,786</w:t>
            </w:r>
          </w:p>
        </w:tc>
        <w:tc>
          <w:tcPr>
            <w:tcW w:w="240" w:type="dxa"/>
            <w:vAlign w:val="bottom"/>
            <w:shd w:val="clear" w:color="auto" w:fill="CFF0FC"/>
          </w:tcPr>
          <w:p>
            <w:pPr>
              <w:spacing w:after="0"/>
              <w:rPr>
                <w:sz w:val="18"/>
                <w:szCs w:val="18"/>
                <w:color w:val="auto"/>
              </w:rPr>
            </w:pPr>
          </w:p>
        </w:tc>
        <w:tc>
          <w:tcPr>
            <w:tcW w:w="240" w:type="dxa"/>
            <w:vAlign w:val="bottom"/>
            <w:tcBorders>
              <w:bottom w:val="single" w:sz="8" w:color="auto"/>
            </w:tcBorders>
            <w:shd w:val="clear" w:color="auto" w:fill="CFF0FC"/>
          </w:tcPr>
          <w:p>
            <w:pPr>
              <w:spacing w:after="0"/>
              <w:rPr>
                <w:sz w:val="18"/>
                <w:szCs w:val="18"/>
                <w:color w:val="auto"/>
              </w:rPr>
            </w:pPr>
          </w:p>
        </w:tc>
        <w:tc>
          <w:tcPr>
            <w:tcW w:w="7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27,911</w:t>
            </w:r>
          </w:p>
        </w:tc>
        <w:tc>
          <w:tcPr>
            <w:tcW w:w="1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80" w:type="dxa"/>
            <w:vAlign w:val="bottom"/>
            <w:tcBorders>
              <w:bottom w:val="single" w:sz="8" w:color="auto"/>
            </w:tcBorders>
            <w:shd w:val="clear" w:color="auto" w:fill="CFF0FC"/>
          </w:tcPr>
          <w:p>
            <w:pPr>
              <w:spacing w:after="0"/>
              <w:rPr>
                <w:sz w:val="18"/>
                <w:szCs w:val="18"/>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20,928</w:t>
            </w:r>
          </w:p>
        </w:tc>
        <w:tc>
          <w:tcPr>
            <w:tcW w:w="100" w:type="dxa"/>
            <w:vAlign w:val="bottom"/>
            <w:shd w:val="clear" w:color="auto" w:fill="CFF0FC"/>
          </w:tcPr>
          <w:p>
            <w:pPr>
              <w:spacing w:after="0"/>
              <w:rPr>
                <w:sz w:val="18"/>
                <w:szCs w:val="18"/>
                <w:color w:val="auto"/>
              </w:rPr>
            </w:pPr>
          </w:p>
        </w:tc>
      </w:tr>
      <w:tr>
        <w:trPr>
          <w:trHeight w:val="210"/>
        </w:trPr>
        <w:tc>
          <w:tcPr>
            <w:tcW w:w="5320" w:type="dxa"/>
            <w:vAlign w:val="bottom"/>
            <w:tcBorders>
              <w:bottom w:val="single" w:sz="8" w:color="CFF0FC"/>
            </w:tcBorders>
          </w:tcPr>
          <w:p>
            <w:pPr>
              <w:ind w:left="380"/>
              <w:spacing w:after="0"/>
              <w:rPr>
                <w:sz w:val="20"/>
                <w:szCs w:val="20"/>
                <w:color w:val="auto"/>
              </w:rPr>
            </w:pPr>
            <w:r>
              <w:rPr>
                <w:rFonts w:ascii="Arial" w:cs="Arial" w:eastAsia="Arial" w:hAnsi="Arial"/>
                <w:sz w:val="18"/>
                <w:szCs w:val="18"/>
                <w:color w:val="auto"/>
              </w:rPr>
              <w:t>Total operating expenses</w:t>
            </w:r>
          </w:p>
        </w:tc>
        <w:tc>
          <w:tcPr>
            <w:tcW w:w="18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257,900</w:t>
            </w:r>
          </w:p>
        </w:tc>
        <w:tc>
          <w:tcPr>
            <w:tcW w:w="240" w:type="dxa"/>
            <w:vAlign w:val="bottom"/>
            <w:tcBorders>
              <w:bottom w:val="single" w:sz="8" w:color="CFF0FC"/>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206,750</w:t>
            </w:r>
          </w:p>
        </w:tc>
        <w:tc>
          <w:tcPr>
            <w:tcW w:w="140" w:type="dxa"/>
            <w:vAlign w:val="bottom"/>
            <w:tcBorders>
              <w:bottom w:val="single" w:sz="8" w:color="CFF0FC"/>
            </w:tcBorders>
          </w:tcPr>
          <w:p>
            <w:pPr>
              <w:spacing w:after="0"/>
              <w:rPr>
                <w:sz w:val="18"/>
                <w:szCs w:val="18"/>
                <w:color w:val="auto"/>
              </w:rPr>
            </w:pPr>
          </w:p>
        </w:tc>
        <w:tc>
          <w:tcPr>
            <w:tcW w:w="100" w:type="dxa"/>
            <w:vAlign w:val="bottom"/>
            <w:tcBorders>
              <w:bottom w:val="single" w:sz="8" w:color="CFF0FC"/>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164,627</w:t>
            </w:r>
          </w:p>
        </w:tc>
        <w:tc>
          <w:tcPr>
            <w:tcW w:w="240" w:type="dxa"/>
            <w:vAlign w:val="bottom"/>
            <w:tcBorders>
              <w:bottom w:val="single" w:sz="8" w:color="CFF0FC"/>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121,006</w:t>
            </w:r>
          </w:p>
        </w:tc>
        <w:tc>
          <w:tcPr>
            <w:tcW w:w="160" w:type="dxa"/>
            <w:vAlign w:val="bottom"/>
            <w:tcBorders>
              <w:bottom w:val="single" w:sz="8" w:color="CFF0FC"/>
            </w:tcBorders>
          </w:tcPr>
          <w:p>
            <w:pPr>
              <w:spacing w:after="0"/>
              <w:rPr>
                <w:sz w:val="18"/>
                <w:szCs w:val="18"/>
                <w:color w:val="auto"/>
              </w:rPr>
            </w:pPr>
          </w:p>
        </w:tc>
        <w:tc>
          <w:tcPr>
            <w:tcW w:w="80" w:type="dxa"/>
            <w:vAlign w:val="bottom"/>
            <w:tcBorders>
              <w:bottom w:val="single" w:sz="8" w:color="CFF0FC"/>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95,690</w:t>
            </w:r>
          </w:p>
        </w:tc>
        <w:tc>
          <w:tcPr>
            <w:tcW w:w="100" w:type="dxa"/>
            <w:vAlign w:val="bottom"/>
            <w:tcBorders>
              <w:bottom w:val="single" w:sz="8" w:color="CFF0FC"/>
            </w:tcBorders>
          </w:tcPr>
          <w:p>
            <w:pPr>
              <w:spacing w:after="0"/>
              <w:rPr>
                <w:sz w:val="18"/>
                <w:szCs w:val="18"/>
                <w:color w:val="auto"/>
              </w:rPr>
            </w:pPr>
          </w:p>
        </w:tc>
      </w:tr>
      <w:tr>
        <w:trPr>
          <w:trHeight w:val="210"/>
        </w:trPr>
        <w:tc>
          <w:tcPr>
            <w:tcW w:w="5320" w:type="dxa"/>
            <w:vAlign w:val="bottom"/>
            <w:shd w:val="clear" w:color="auto" w:fill="CFF0FC"/>
          </w:tcPr>
          <w:p>
            <w:pPr>
              <w:spacing w:after="0"/>
              <w:rPr>
                <w:sz w:val="20"/>
                <w:szCs w:val="20"/>
                <w:color w:val="auto"/>
              </w:rPr>
            </w:pPr>
            <w:r>
              <w:rPr>
                <w:rFonts w:ascii="Arial" w:cs="Arial" w:eastAsia="Arial" w:hAnsi="Arial"/>
                <w:sz w:val="18"/>
                <w:szCs w:val="18"/>
                <w:color w:val="auto"/>
              </w:rPr>
              <w:t>Loss from operations</w:t>
            </w:r>
          </w:p>
        </w:tc>
        <w:tc>
          <w:tcPr>
            <w:tcW w:w="180" w:type="dxa"/>
            <w:vAlign w:val="bottom"/>
            <w:shd w:val="clear" w:color="auto" w:fill="CFF0FC"/>
          </w:tcPr>
          <w:p>
            <w:pPr>
              <w:spacing w:after="0"/>
              <w:rPr>
                <w:sz w:val="18"/>
                <w:szCs w:val="18"/>
                <w:color w:val="auto"/>
              </w:rPr>
            </w:pPr>
          </w:p>
        </w:tc>
        <w:tc>
          <w:tcPr>
            <w:tcW w:w="108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(27,899)</w:t>
            </w:r>
          </w:p>
        </w:tc>
        <w:tc>
          <w:tcPr>
            <w:tcW w:w="120" w:type="dxa"/>
            <w:vAlign w:val="bottom"/>
            <w:shd w:val="clear" w:color="auto" w:fill="CFF0FC"/>
          </w:tcPr>
          <w:p>
            <w:pPr>
              <w:spacing w:after="0"/>
              <w:rPr>
                <w:sz w:val="18"/>
                <w:szCs w:val="18"/>
                <w:color w:val="auto"/>
              </w:rPr>
            </w:pPr>
          </w:p>
        </w:tc>
        <w:tc>
          <w:tcPr>
            <w:tcW w:w="102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(29,836)</w:t>
            </w:r>
          </w:p>
        </w:tc>
        <w:tc>
          <w:tcPr>
            <w:tcW w:w="1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12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(30,409)</w:t>
            </w:r>
          </w:p>
        </w:tc>
        <w:tc>
          <w:tcPr>
            <w:tcW w:w="240" w:type="dxa"/>
            <w:vAlign w:val="bottom"/>
            <w:shd w:val="clear" w:color="auto" w:fill="CFF0FC"/>
          </w:tcPr>
          <w:p>
            <w:pPr>
              <w:spacing w:after="0"/>
              <w:rPr>
                <w:sz w:val="18"/>
                <w:szCs w:val="18"/>
                <w:color w:val="auto"/>
              </w:rPr>
            </w:pPr>
          </w:p>
        </w:tc>
        <w:tc>
          <w:tcPr>
            <w:tcW w:w="92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(23,183)</w:t>
            </w:r>
          </w:p>
        </w:tc>
        <w:tc>
          <w:tcPr>
            <w:tcW w:w="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9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(34,812)</w:t>
            </w:r>
          </w:p>
        </w:tc>
      </w:tr>
      <w:tr>
        <w:trPr>
          <w:trHeight w:val="210"/>
        </w:trPr>
        <w:tc>
          <w:tcPr>
            <w:tcW w:w="5320" w:type="dxa"/>
            <w:vAlign w:val="bottom"/>
          </w:tcPr>
          <w:p>
            <w:pPr>
              <w:spacing w:after="0"/>
              <w:rPr>
                <w:sz w:val="20"/>
                <w:szCs w:val="20"/>
                <w:color w:val="auto"/>
              </w:rPr>
            </w:pPr>
            <w:r>
              <w:rPr>
                <w:rFonts w:ascii="Arial" w:cs="Arial" w:eastAsia="Arial" w:hAnsi="Arial"/>
                <w:sz w:val="18"/>
                <w:szCs w:val="18"/>
                <w:color w:val="auto"/>
              </w:rPr>
              <w:t>Other income (expense)</w:t>
            </w:r>
          </w:p>
        </w:tc>
        <w:tc>
          <w:tcPr>
            <w:tcW w:w="18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3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Interest income</w:t>
            </w:r>
          </w:p>
        </w:tc>
        <w:tc>
          <w:tcPr>
            <w:tcW w:w="180" w:type="dxa"/>
            <w:vAlign w:val="bottom"/>
            <w:shd w:val="clear" w:color="auto" w:fill="CFF0FC"/>
          </w:tcPr>
          <w:p>
            <w:pPr>
              <w:spacing w:after="0"/>
              <w:rPr>
                <w:sz w:val="18"/>
                <w:szCs w:val="18"/>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6,128</w:t>
            </w:r>
          </w:p>
        </w:tc>
        <w:tc>
          <w:tcPr>
            <w:tcW w:w="2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2,136</w:t>
            </w: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1,069</w:t>
            </w:r>
          </w:p>
        </w:tc>
        <w:tc>
          <w:tcPr>
            <w:tcW w:w="2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w:t>
            </w:r>
          </w:p>
        </w:tc>
        <w:tc>
          <w:tcPr>
            <w:tcW w:w="1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94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r>
      <w:tr>
        <w:trPr>
          <w:trHeight w:val="216"/>
        </w:trPr>
        <w:tc>
          <w:tcPr>
            <w:tcW w:w="5320" w:type="dxa"/>
            <w:vAlign w:val="bottom"/>
          </w:tcPr>
          <w:p>
            <w:pPr>
              <w:ind w:left="260"/>
              <w:spacing w:after="0"/>
              <w:rPr>
                <w:sz w:val="20"/>
                <w:szCs w:val="20"/>
                <w:color w:val="auto"/>
              </w:rPr>
            </w:pPr>
            <w:r>
              <w:rPr>
                <w:rFonts w:ascii="Arial" w:cs="Arial" w:eastAsia="Arial" w:hAnsi="Arial"/>
                <w:sz w:val="18"/>
                <w:szCs w:val="18"/>
                <w:color w:val="auto"/>
              </w:rPr>
              <w:t>Interest expense</w:t>
            </w:r>
          </w:p>
        </w:tc>
        <w:tc>
          <w:tcPr>
            <w:tcW w:w="180" w:type="dxa"/>
            <w:vAlign w:val="bottom"/>
          </w:tcPr>
          <w:p>
            <w:pPr>
              <w:spacing w:after="0"/>
              <w:rPr>
                <w:sz w:val="18"/>
                <w:szCs w:val="18"/>
                <w:color w:val="auto"/>
              </w:rPr>
            </w:pPr>
          </w:p>
        </w:tc>
        <w:tc>
          <w:tcPr>
            <w:tcW w:w="1080" w:type="dxa"/>
            <w:vAlign w:val="bottom"/>
            <w:gridSpan w:val="2"/>
          </w:tcPr>
          <w:p>
            <w:pPr>
              <w:jc w:val="right"/>
              <w:ind w:right="180"/>
              <w:spacing w:after="0"/>
              <w:rPr>
                <w:sz w:val="20"/>
                <w:szCs w:val="20"/>
                <w:color w:val="auto"/>
              </w:rPr>
            </w:pPr>
            <w:r>
              <w:rPr>
                <w:rFonts w:ascii="Arial" w:cs="Arial" w:eastAsia="Arial" w:hAnsi="Arial"/>
                <w:sz w:val="18"/>
                <w:szCs w:val="18"/>
                <w:color w:val="auto"/>
              </w:rPr>
              <w:t>(8,650)</w:t>
            </w:r>
          </w:p>
        </w:tc>
        <w:tc>
          <w:tcPr>
            <w:tcW w:w="120" w:type="dxa"/>
            <w:vAlign w:val="bottom"/>
          </w:tcPr>
          <w:p>
            <w:pPr>
              <w:spacing w:after="0"/>
              <w:rPr>
                <w:sz w:val="18"/>
                <w:szCs w:val="18"/>
                <w:color w:val="auto"/>
              </w:rPr>
            </w:pPr>
          </w:p>
        </w:tc>
        <w:tc>
          <w:tcPr>
            <w:tcW w:w="1020" w:type="dxa"/>
            <w:vAlign w:val="bottom"/>
            <w:gridSpan w:val="2"/>
          </w:tcPr>
          <w:p>
            <w:pPr>
              <w:jc w:val="right"/>
              <w:ind w:right="80"/>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180"/>
              <w:spacing w:after="0"/>
              <w:rPr>
                <w:sz w:val="20"/>
                <w:szCs w:val="20"/>
                <w:color w:val="auto"/>
              </w:rPr>
            </w:pPr>
            <w:r>
              <w:rPr>
                <w:rFonts w:ascii="Arial" w:cs="Arial" w:eastAsia="Arial" w:hAnsi="Arial"/>
                <w:sz w:val="18"/>
                <w:szCs w:val="18"/>
                <w:color w:val="auto"/>
              </w:rPr>
              <w:t>(13)</w:t>
            </w:r>
          </w:p>
        </w:tc>
        <w:tc>
          <w:tcPr>
            <w:tcW w:w="24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(5,936)</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gridSpan w:val="2"/>
          </w:tcPr>
          <w:p>
            <w:pPr>
              <w:jc w:val="right"/>
              <w:ind w:right="40"/>
              <w:spacing w:after="0"/>
              <w:rPr>
                <w:sz w:val="20"/>
                <w:szCs w:val="20"/>
                <w:color w:val="auto"/>
              </w:rPr>
            </w:pPr>
            <w:r>
              <w:rPr>
                <w:rFonts w:ascii="Arial" w:cs="Arial" w:eastAsia="Arial" w:hAnsi="Arial"/>
                <w:sz w:val="18"/>
                <w:szCs w:val="18"/>
                <w:color w:val="auto"/>
              </w:rPr>
              <w:t>(3,215)</w:t>
            </w:r>
          </w:p>
        </w:tc>
      </w:tr>
      <w:tr>
        <w:trPr>
          <w:trHeight w:val="215"/>
        </w:trPr>
        <w:tc>
          <w:tcPr>
            <w:tcW w:w="53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Change in fair value of the common</w:t>
            </w:r>
          </w:p>
        </w:tc>
        <w:tc>
          <w:tcPr>
            <w:tcW w:w="18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03"/>
        </w:trPr>
        <w:tc>
          <w:tcPr>
            <w:tcW w:w="5320" w:type="dxa"/>
            <w:vAlign w:val="bottom"/>
            <w:shd w:val="clear" w:color="auto" w:fill="CFF0FC"/>
          </w:tcPr>
          <w:p>
            <w:pPr>
              <w:ind w:left="400"/>
              <w:spacing w:after="0" w:line="203" w:lineRule="exact"/>
              <w:rPr>
                <w:sz w:val="20"/>
                <w:szCs w:val="20"/>
                <w:color w:val="auto"/>
              </w:rPr>
            </w:pPr>
            <w:r>
              <w:rPr>
                <w:rFonts w:ascii="Arial" w:cs="Arial" w:eastAsia="Arial" w:hAnsi="Arial"/>
                <w:sz w:val="18"/>
                <w:szCs w:val="18"/>
                <w:color w:val="auto"/>
              </w:rPr>
              <w:t>stock warrant liability</w:t>
            </w:r>
          </w:p>
        </w:tc>
        <w:tc>
          <w:tcPr>
            <w:tcW w:w="180" w:type="dxa"/>
            <w:vAlign w:val="bottom"/>
            <w:shd w:val="clear" w:color="auto" w:fill="CFF0FC"/>
          </w:tcPr>
          <w:p>
            <w:pPr>
              <w:spacing w:after="0"/>
              <w:rPr>
                <w:sz w:val="17"/>
                <w:szCs w:val="17"/>
                <w:color w:val="auto"/>
              </w:rPr>
            </w:pPr>
          </w:p>
        </w:tc>
        <w:tc>
          <w:tcPr>
            <w:tcW w:w="840" w:type="dxa"/>
            <w:vAlign w:val="bottom"/>
            <w:shd w:val="clear" w:color="auto" w:fill="CFF0FC"/>
          </w:tcPr>
          <w:p>
            <w:pPr>
              <w:jc w:val="right"/>
              <w:spacing w:after="0" w:line="203" w:lineRule="exact"/>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880" w:type="dxa"/>
            <w:vAlign w:val="bottom"/>
            <w:shd w:val="clear" w:color="auto" w:fill="CFF0FC"/>
          </w:tcPr>
          <w:p>
            <w:pPr>
              <w:jc w:val="right"/>
              <w:spacing w:after="0" w:line="203" w:lineRule="exact"/>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120" w:type="dxa"/>
            <w:vAlign w:val="bottom"/>
            <w:gridSpan w:val="2"/>
            <w:shd w:val="clear" w:color="auto" w:fill="CFF0FC"/>
          </w:tcPr>
          <w:p>
            <w:pPr>
              <w:jc w:val="right"/>
              <w:ind w:right="180"/>
              <w:spacing w:after="0" w:line="203" w:lineRule="exact"/>
              <w:rPr>
                <w:sz w:val="20"/>
                <w:szCs w:val="20"/>
                <w:color w:val="auto"/>
              </w:rPr>
            </w:pPr>
            <w:r>
              <w:rPr>
                <w:rFonts w:ascii="Arial" w:cs="Arial" w:eastAsia="Arial" w:hAnsi="Arial"/>
                <w:sz w:val="18"/>
                <w:szCs w:val="18"/>
                <w:color w:val="auto"/>
              </w:rPr>
              <w:t>(3,490)</w:t>
            </w:r>
          </w:p>
        </w:tc>
        <w:tc>
          <w:tcPr>
            <w:tcW w:w="240" w:type="dxa"/>
            <w:vAlign w:val="bottom"/>
            <w:shd w:val="clear" w:color="auto" w:fill="CFF0FC"/>
          </w:tcPr>
          <w:p>
            <w:pPr>
              <w:spacing w:after="0"/>
              <w:rPr>
                <w:sz w:val="17"/>
                <w:szCs w:val="17"/>
                <w:color w:val="auto"/>
              </w:rPr>
            </w:pPr>
          </w:p>
        </w:tc>
        <w:tc>
          <w:tcPr>
            <w:tcW w:w="920" w:type="dxa"/>
            <w:vAlign w:val="bottom"/>
            <w:gridSpan w:val="2"/>
            <w:shd w:val="clear" w:color="auto" w:fill="CFF0FC"/>
          </w:tcPr>
          <w:p>
            <w:pPr>
              <w:jc w:val="right"/>
              <w:ind w:right="100"/>
              <w:spacing w:after="0" w:line="203" w:lineRule="exact"/>
              <w:rPr>
                <w:sz w:val="20"/>
                <w:szCs w:val="20"/>
                <w:color w:val="auto"/>
              </w:rPr>
            </w:pPr>
            <w:r>
              <w:rPr>
                <w:rFonts w:ascii="Arial" w:cs="Arial" w:eastAsia="Arial" w:hAnsi="Arial"/>
                <w:sz w:val="18"/>
                <w:szCs w:val="18"/>
                <w:color w:val="auto"/>
              </w:rPr>
              <w:t>(5,880)</w:t>
            </w:r>
          </w:p>
        </w:tc>
        <w:tc>
          <w:tcPr>
            <w:tcW w:w="8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940" w:type="dxa"/>
            <w:vAlign w:val="bottom"/>
            <w:gridSpan w:val="2"/>
            <w:shd w:val="clear" w:color="auto" w:fill="CFF0FC"/>
          </w:tcPr>
          <w:p>
            <w:pPr>
              <w:jc w:val="right"/>
              <w:ind w:right="40"/>
              <w:spacing w:after="0" w:line="203" w:lineRule="exact"/>
              <w:rPr>
                <w:sz w:val="20"/>
                <w:szCs w:val="20"/>
                <w:color w:val="auto"/>
              </w:rPr>
            </w:pPr>
            <w:r>
              <w:rPr>
                <w:rFonts w:ascii="Arial" w:cs="Arial" w:eastAsia="Arial" w:hAnsi="Arial"/>
                <w:sz w:val="18"/>
                <w:szCs w:val="18"/>
                <w:color w:val="auto"/>
              </w:rPr>
              <w:t>(420)</w:t>
            </w:r>
          </w:p>
        </w:tc>
      </w:tr>
      <w:tr>
        <w:trPr>
          <w:trHeight w:val="20"/>
        </w:trPr>
        <w:tc>
          <w:tcPr>
            <w:tcW w:w="53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5320" w:type="dxa"/>
            <w:vAlign w:val="bottom"/>
          </w:tcPr>
          <w:p>
            <w:pPr>
              <w:spacing w:after="0"/>
              <w:rPr>
                <w:sz w:val="20"/>
                <w:szCs w:val="20"/>
                <w:color w:val="auto"/>
              </w:rPr>
            </w:pPr>
            <w:r>
              <w:rPr>
                <w:rFonts w:ascii="Arial" w:cs="Arial" w:eastAsia="Arial" w:hAnsi="Arial"/>
                <w:sz w:val="18"/>
                <w:szCs w:val="18"/>
                <w:color w:val="auto"/>
              </w:rPr>
              <w:t>Other income (expense), net</w:t>
            </w:r>
          </w:p>
        </w:tc>
        <w:tc>
          <w:tcPr>
            <w:tcW w:w="180" w:type="dxa"/>
            <w:vAlign w:val="bottom"/>
          </w:tcPr>
          <w:p>
            <w:pPr>
              <w:spacing w:after="0"/>
              <w:rPr>
                <w:sz w:val="18"/>
                <w:szCs w:val="18"/>
                <w:color w:val="auto"/>
              </w:rPr>
            </w:pPr>
          </w:p>
        </w:tc>
        <w:tc>
          <w:tcPr>
            <w:tcW w:w="1080" w:type="dxa"/>
            <w:vAlign w:val="bottom"/>
            <w:gridSpan w:val="2"/>
          </w:tcPr>
          <w:p>
            <w:pPr>
              <w:jc w:val="right"/>
              <w:ind w:right="180"/>
              <w:spacing w:after="0"/>
              <w:rPr>
                <w:sz w:val="20"/>
                <w:szCs w:val="20"/>
                <w:color w:val="auto"/>
              </w:rPr>
            </w:pPr>
            <w:r>
              <w:rPr>
                <w:rFonts w:ascii="Arial" w:cs="Arial" w:eastAsia="Arial" w:hAnsi="Arial"/>
                <w:sz w:val="18"/>
                <w:szCs w:val="18"/>
                <w:color w:val="auto"/>
              </w:rPr>
              <w:t>(2,522)</w:t>
            </w:r>
          </w:p>
        </w:tc>
        <w:tc>
          <w:tcPr>
            <w:tcW w:w="1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2,132</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180"/>
              <w:spacing w:after="0"/>
              <w:rPr>
                <w:sz w:val="20"/>
                <w:szCs w:val="20"/>
                <w:color w:val="auto"/>
              </w:rPr>
            </w:pPr>
            <w:r>
              <w:rPr>
                <w:rFonts w:ascii="Arial" w:cs="Arial" w:eastAsia="Arial" w:hAnsi="Arial"/>
                <w:sz w:val="18"/>
                <w:szCs w:val="18"/>
                <w:color w:val="auto"/>
              </w:rPr>
              <w:t>(2,434)</w:t>
            </w:r>
          </w:p>
        </w:tc>
        <w:tc>
          <w:tcPr>
            <w:tcW w:w="24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(11,812)</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gridSpan w:val="2"/>
          </w:tcPr>
          <w:p>
            <w:pPr>
              <w:jc w:val="right"/>
              <w:ind w:right="40"/>
              <w:spacing w:after="0"/>
              <w:rPr>
                <w:sz w:val="20"/>
                <w:szCs w:val="20"/>
                <w:color w:val="auto"/>
              </w:rPr>
            </w:pPr>
            <w:r>
              <w:rPr>
                <w:rFonts w:ascii="Arial" w:cs="Arial" w:eastAsia="Arial" w:hAnsi="Arial"/>
                <w:sz w:val="18"/>
                <w:szCs w:val="18"/>
                <w:color w:val="auto"/>
              </w:rPr>
              <w:t>(3,635)</w:t>
            </w:r>
          </w:p>
        </w:tc>
      </w:tr>
      <w:tr>
        <w:trPr>
          <w:trHeight w:val="20"/>
        </w:trPr>
        <w:tc>
          <w:tcPr>
            <w:tcW w:w="532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210"/>
        </w:trPr>
        <w:tc>
          <w:tcPr>
            <w:tcW w:w="5320" w:type="dxa"/>
            <w:vAlign w:val="bottom"/>
            <w:shd w:val="clear" w:color="auto" w:fill="CFF0FC"/>
          </w:tcPr>
          <w:p>
            <w:pPr>
              <w:spacing w:after="0"/>
              <w:rPr>
                <w:sz w:val="20"/>
                <w:szCs w:val="20"/>
                <w:color w:val="auto"/>
              </w:rPr>
            </w:pPr>
            <w:r>
              <w:rPr>
                <w:rFonts w:ascii="Arial" w:cs="Arial" w:eastAsia="Arial" w:hAnsi="Arial"/>
                <w:sz w:val="18"/>
                <w:szCs w:val="18"/>
                <w:color w:val="auto"/>
              </w:rPr>
              <w:t>Loss before income taxes</w:t>
            </w:r>
          </w:p>
        </w:tc>
        <w:tc>
          <w:tcPr>
            <w:tcW w:w="180" w:type="dxa"/>
            <w:vAlign w:val="bottom"/>
            <w:shd w:val="clear" w:color="auto" w:fill="CFF0FC"/>
          </w:tcPr>
          <w:p>
            <w:pPr>
              <w:spacing w:after="0"/>
              <w:rPr>
                <w:sz w:val="18"/>
                <w:szCs w:val="18"/>
                <w:color w:val="auto"/>
              </w:rPr>
            </w:pPr>
          </w:p>
        </w:tc>
        <w:tc>
          <w:tcPr>
            <w:tcW w:w="108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(30,421)</w:t>
            </w:r>
          </w:p>
        </w:tc>
        <w:tc>
          <w:tcPr>
            <w:tcW w:w="120" w:type="dxa"/>
            <w:vAlign w:val="bottom"/>
            <w:shd w:val="clear" w:color="auto" w:fill="CFF0FC"/>
          </w:tcPr>
          <w:p>
            <w:pPr>
              <w:spacing w:after="0"/>
              <w:rPr>
                <w:sz w:val="18"/>
                <w:szCs w:val="18"/>
                <w:color w:val="auto"/>
              </w:rPr>
            </w:pPr>
          </w:p>
        </w:tc>
        <w:tc>
          <w:tcPr>
            <w:tcW w:w="102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(27,704)</w:t>
            </w:r>
          </w:p>
        </w:tc>
        <w:tc>
          <w:tcPr>
            <w:tcW w:w="1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12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(32,843)</w:t>
            </w:r>
          </w:p>
        </w:tc>
        <w:tc>
          <w:tcPr>
            <w:tcW w:w="240" w:type="dxa"/>
            <w:vAlign w:val="bottom"/>
            <w:shd w:val="clear" w:color="auto" w:fill="CFF0FC"/>
          </w:tcPr>
          <w:p>
            <w:pPr>
              <w:spacing w:after="0"/>
              <w:rPr>
                <w:sz w:val="18"/>
                <w:szCs w:val="18"/>
                <w:color w:val="auto"/>
              </w:rPr>
            </w:pPr>
          </w:p>
        </w:tc>
        <w:tc>
          <w:tcPr>
            <w:tcW w:w="92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(34,995)</w:t>
            </w:r>
          </w:p>
        </w:tc>
        <w:tc>
          <w:tcPr>
            <w:tcW w:w="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9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(38,447)</w:t>
            </w:r>
          </w:p>
        </w:tc>
      </w:tr>
      <w:tr>
        <w:trPr>
          <w:trHeight w:val="216"/>
        </w:trPr>
        <w:tc>
          <w:tcPr>
            <w:tcW w:w="5320" w:type="dxa"/>
            <w:vAlign w:val="bottom"/>
          </w:tcPr>
          <w:p>
            <w:pPr>
              <w:spacing w:after="0"/>
              <w:rPr>
                <w:sz w:val="20"/>
                <w:szCs w:val="20"/>
                <w:color w:val="auto"/>
              </w:rPr>
            </w:pPr>
            <w:r>
              <w:rPr>
                <w:rFonts w:ascii="Arial" w:cs="Arial" w:eastAsia="Arial" w:hAnsi="Arial"/>
                <w:sz w:val="18"/>
                <w:szCs w:val="18"/>
                <w:color w:val="auto"/>
              </w:rPr>
              <w:t>Provision for (benefit from) income taxes</w:t>
            </w:r>
          </w:p>
        </w:tc>
        <w:tc>
          <w:tcPr>
            <w:tcW w:w="1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1,725</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1,072</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565</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(8,058)</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gridSpan w:val="2"/>
          </w:tcPr>
          <w:p>
            <w:pPr>
              <w:jc w:val="right"/>
              <w:ind w:right="40"/>
              <w:spacing w:after="0"/>
              <w:rPr>
                <w:sz w:val="20"/>
                <w:szCs w:val="20"/>
                <w:color w:val="auto"/>
              </w:rPr>
            </w:pPr>
            <w:r>
              <w:rPr>
                <w:rFonts w:ascii="Arial" w:cs="Arial" w:eastAsia="Arial" w:hAnsi="Arial"/>
                <w:sz w:val="18"/>
                <w:szCs w:val="18"/>
                <w:color w:val="auto"/>
              </w:rPr>
              <w:t>(13,713)</w:t>
            </w:r>
          </w:p>
        </w:tc>
      </w:tr>
      <w:tr>
        <w:trPr>
          <w:trHeight w:val="20"/>
        </w:trPr>
        <w:tc>
          <w:tcPr>
            <w:tcW w:w="532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210"/>
        </w:trPr>
        <w:tc>
          <w:tcPr>
            <w:tcW w:w="5320" w:type="dxa"/>
            <w:vAlign w:val="bottom"/>
            <w:shd w:val="clear" w:color="auto" w:fill="CFF0FC"/>
          </w:tcPr>
          <w:p>
            <w:pPr>
              <w:spacing w:after="0"/>
              <w:rPr>
                <w:sz w:val="20"/>
                <w:szCs w:val="20"/>
                <w:color w:val="auto"/>
              </w:rPr>
            </w:pPr>
            <w:r>
              <w:rPr>
                <w:rFonts w:ascii="Arial" w:cs="Arial" w:eastAsia="Arial" w:hAnsi="Arial"/>
                <w:sz w:val="18"/>
                <w:szCs w:val="18"/>
                <w:color w:val="auto"/>
              </w:rPr>
              <w:t>Net loss</w:t>
            </w:r>
          </w:p>
        </w:tc>
        <w:tc>
          <w:tcPr>
            <w:tcW w:w="180" w:type="dxa"/>
            <w:vAlign w:val="bottom"/>
            <w:shd w:val="clear" w:color="auto" w:fill="CFF0FC"/>
          </w:tcPr>
          <w:p>
            <w:pPr>
              <w:spacing w:after="0"/>
              <w:rPr>
                <w:sz w:val="18"/>
                <w:szCs w:val="18"/>
                <w:color w:val="auto"/>
              </w:rPr>
            </w:pPr>
          </w:p>
        </w:tc>
        <w:tc>
          <w:tcPr>
            <w:tcW w:w="108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(32,146)</w:t>
            </w:r>
          </w:p>
        </w:tc>
        <w:tc>
          <w:tcPr>
            <w:tcW w:w="120" w:type="dxa"/>
            <w:vAlign w:val="bottom"/>
            <w:shd w:val="clear" w:color="auto" w:fill="CFF0FC"/>
          </w:tcPr>
          <w:p>
            <w:pPr>
              <w:spacing w:after="0"/>
              <w:rPr>
                <w:sz w:val="18"/>
                <w:szCs w:val="18"/>
                <w:color w:val="auto"/>
              </w:rPr>
            </w:pPr>
          </w:p>
        </w:tc>
        <w:tc>
          <w:tcPr>
            <w:tcW w:w="102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(28,776)</w:t>
            </w:r>
          </w:p>
        </w:tc>
        <w:tc>
          <w:tcPr>
            <w:tcW w:w="1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12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(33,408)</w:t>
            </w:r>
          </w:p>
        </w:tc>
        <w:tc>
          <w:tcPr>
            <w:tcW w:w="240" w:type="dxa"/>
            <w:vAlign w:val="bottom"/>
            <w:shd w:val="clear" w:color="auto" w:fill="CFF0FC"/>
          </w:tcPr>
          <w:p>
            <w:pPr>
              <w:spacing w:after="0"/>
              <w:rPr>
                <w:sz w:val="18"/>
                <w:szCs w:val="18"/>
                <w:color w:val="auto"/>
              </w:rPr>
            </w:pPr>
          </w:p>
        </w:tc>
        <w:tc>
          <w:tcPr>
            <w:tcW w:w="92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(26,937)</w:t>
            </w:r>
          </w:p>
        </w:tc>
        <w:tc>
          <w:tcPr>
            <w:tcW w:w="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9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(24,734)</w:t>
            </w:r>
          </w:p>
        </w:tc>
      </w:tr>
      <w:tr>
        <w:trPr>
          <w:trHeight w:val="20"/>
        </w:trPr>
        <w:tc>
          <w:tcPr>
            <w:tcW w:w="53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5320" w:type="dxa"/>
            <w:vAlign w:val="bottom"/>
          </w:tcPr>
          <w:p>
            <w:pPr>
              <w:spacing w:after="0"/>
              <w:rPr>
                <w:sz w:val="20"/>
                <w:szCs w:val="20"/>
                <w:color w:val="auto"/>
              </w:rPr>
            </w:pPr>
            <w:r>
              <w:rPr>
                <w:rFonts w:ascii="Arial" w:cs="Arial" w:eastAsia="Arial" w:hAnsi="Arial"/>
                <w:sz w:val="18"/>
                <w:szCs w:val="18"/>
                <w:color w:val="auto"/>
              </w:rPr>
              <w:t>Net loss attributable to non-controlling interest</w:t>
            </w:r>
          </w:p>
        </w:tc>
        <w:tc>
          <w:tcPr>
            <w:tcW w:w="180" w:type="dxa"/>
            <w:vAlign w:val="bottom"/>
          </w:tcPr>
          <w:p>
            <w:pPr>
              <w:spacing w:after="0"/>
              <w:rPr>
                <w:sz w:val="18"/>
                <w:szCs w:val="18"/>
                <w:color w:val="auto"/>
              </w:rPr>
            </w:pPr>
          </w:p>
        </w:tc>
        <w:tc>
          <w:tcPr>
            <w:tcW w:w="1080" w:type="dxa"/>
            <w:vAlign w:val="bottom"/>
            <w:gridSpan w:val="2"/>
          </w:tcPr>
          <w:p>
            <w:pPr>
              <w:jc w:val="right"/>
              <w:ind w:right="180"/>
              <w:spacing w:after="0"/>
              <w:rPr>
                <w:sz w:val="20"/>
                <w:szCs w:val="20"/>
                <w:color w:val="auto"/>
              </w:rPr>
            </w:pPr>
            <w:r>
              <w:rPr>
                <w:rFonts w:ascii="Arial" w:cs="Arial" w:eastAsia="Arial" w:hAnsi="Arial"/>
                <w:sz w:val="18"/>
                <w:szCs w:val="18"/>
                <w:color w:val="auto"/>
              </w:rPr>
              <w:t>(1,444)</w:t>
            </w:r>
          </w:p>
        </w:tc>
        <w:tc>
          <w:tcPr>
            <w:tcW w:w="120" w:type="dxa"/>
            <w:vAlign w:val="bottom"/>
          </w:tcPr>
          <w:p>
            <w:pPr>
              <w:spacing w:after="0"/>
              <w:rPr>
                <w:sz w:val="18"/>
                <w:szCs w:val="18"/>
                <w:color w:val="auto"/>
              </w:rPr>
            </w:pPr>
          </w:p>
        </w:tc>
        <w:tc>
          <w:tcPr>
            <w:tcW w:w="1020" w:type="dxa"/>
            <w:vAlign w:val="bottom"/>
            <w:gridSpan w:val="2"/>
          </w:tcPr>
          <w:p>
            <w:pPr>
              <w:jc w:val="right"/>
              <w:ind w:right="80"/>
              <w:spacing w:after="0"/>
              <w:rPr>
                <w:sz w:val="20"/>
                <w:szCs w:val="20"/>
                <w:color w:val="auto"/>
              </w:rPr>
            </w:pPr>
            <w:r>
              <w:rPr>
                <w:rFonts w:ascii="Arial" w:cs="Arial" w:eastAsia="Arial" w:hAnsi="Arial"/>
                <w:sz w:val="18"/>
                <w:szCs w:val="18"/>
                <w:color w:val="auto"/>
              </w:rPr>
              <w:t>(62)</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r>
      <w:tr>
        <w:trPr>
          <w:trHeight w:val="216"/>
        </w:trPr>
        <w:tc>
          <w:tcPr>
            <w:tcW w:w="5320" w:type="dxa"/>
            <w:vAlign w:val="bottom"/>
            <w:shd w:val="clear" w:color="auto" w:fill="CFF0FC"/>
          </w:tcPr>
          <w:p>
            <w:pPr>
              <w:spacing w:after="0"/>
              <w:rPr>
                <w:sz w:val="20"/>
                <w:szCs w:val="20"/>
                <w:color w:val="auto"/>
              </w:rPr>
            </w:pPr>
            <w:r>
              <w:rPr>
                <w:rFonts w:ascii="Arial" w:cs="Arial" w:eastAsia="Arial" w:hAnsi="Arial"/>
                <w:sz w:val="18"/>
                <w:szCs w:val="18"/>
                <w:color w:val="auto"/>
              </w:rPr>
              <w:t>Adjustment attributable to non-controlling interest</w:t>
            </w:r>
          </w:p>
        </w:tc>
        <w:tc>
          <w:tcPr>
            <w:tcW w:w="180" w:type="dxa"/>
            <w:vAlign w:val="bottom"/>
            <w:tcBorders>
              <w:bottom w:val="single" w:sz="8" w:color="auto"/>
            </w:tcBorders>
            <w:shd w:val="clear" w:color="auto" w:fill="CFF0FC"/>
          </w:tcPr>
          <w:p>
            <w:pPr>
              <w:spacing w:after="0"/>
              <w:rPr>
                <w:sz w:val="18"/>
                <w:szCs w:val="18"/>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1,833</w:t>
            </w:r>
          </w:p>
        </w:tc>
        <w:tc>
          <w:tcPr>
            <w:tcW w:w="240" w:type="dxa"/>
            <w:vAlign w:val="bottom"/>
            <w:shd w:val="clear" w:color="auto" w:fill="CFF0FC"/>
          </w:tcPr>
          <w:p>
            <w:pPr>
              <w:spacing w:after="0"/>
              <w:rPr>
                <w:sz w:val="18"/>
                <w:szCs w:val="18"/>
                <w:color w:val="auto"/>
              </w:rPr>
            </w:pPr>
          </w:p>
        </w:tc>
        <w:tc>
          <w:tcPr>
            <w:tcW w:w="120" w:type="dxa"/>
            <w:vAlign w:val="bottom"/>
            <w:tcBorders>
              <w:bottom w:val="single" w:sz="8" w:color="auto"/>
            </w:tcBorders>
            <w:shd w:val="clear" w:color="auto" w:fill="CFF0FC"/>
          </w:tcPr>
          <w:p>
            <w:pPr>
              <w:spacing w:after="0"/>
              <w:rPr>
                <w:sz w:val="18"/>
                <w:szCs w:val="18"/>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20" w:type="dxa"/>
            <w:vAlign w:val="bottom"/>
            <w:tcBorders>
              <w:bottom w:val="single" w:sz="8" w:color="auto"/>
            </w:tcBorders>
            <w:shd w:val="clear" w:color="auto" w:fill="CFF0FC"/>
          </w:tcPr>
          <w:p>
            <w:pPr>
              <w:spacing w:after="0"/>
              <w:rPr>
                <w:sz w:val="18"/>
                <w:szCs w:val="18"/>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18"/>
                <w:szCs w:val="18"/>
                <w:color w:val="auto"/>
              </w:rPr>
            </w:pPr>
          </w:p>
        </w:tc>
        <w:tc>
          <w:tcPr>
            <w:tcW w:w="240" w:type="dxa"/>
            <w:vAlign w:val="bottom"/>
            <w:tcBorders>
              <w:bottom w:val="single" w:sz="8" w:color="auto"/>
            </w:tcBorders>
            <w:shd w:val="clear" w:color="auto" w:fill="CFF0FC"/>
          </w:tcPr>
          <w:p>
            <w:pPr>
              <w:spacing w:after="0"/>
              <w:rPr>
                <w:sz w:val="18"/>
                <w:szCs w:val="18"/>
                <w:color w:val="auto"/>
              </w:rPr>
            </w:pPr>
          </w:p>
        </w:tc>
        <w:tc>
          <w:tcPr>
            <w:tcW w:w="7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80" w:type="dxa"/>
            <w:vAlign w:val="bottom"/>
            <w:tcBorders>
              <w:bottom w:val="single" w:sz="8" w:color="auto"/>
            </w:tcBorders>
            <w:shd w:val="clear" w:color="auto" w:fill="CFF0FC"/>
          </w:tcPr>
          <w:p>
            <w:pPr>
              <w:spacing w:after="0"/>
              <w:rPr>
                <w:sz w:val="18"/>
                <w:szCs w:val="18"/>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8"/>
                <w:szCs w:val="18"/>
                <w:color w:val="auto"/>
              </w:rPr>
            </w:pPr>
          </w:p>
        </w:tc>
      </w:tr>
      <w:tr>
        <w:trPr>
          <w:trHeight w:val="230"/>
        </w:trPr>
        <w:tc>
          <w:tcPr>
            <w:tcW w:w="5320" w:type="dxa"/>
            <w:vAlign w:val="bottom"/>
          </w:tcPr>
          <w:p>
            <w:pPr>
              <w:spacing w:after="0"/>
              <w:rPr>
                <w:sz w:val="20"/>
                <w:szCs w:val="20"/>
                <w:color w:val="auto"/>
              </w:rPr>
            </w:pPr>
            <w:r>
              <w:rPr>
                <w:rFonts w:ascii="Arial" w:cs="Arial" w:eastAsia="Arial" w:hAnsi="Arial"/>
                <w:sz w:val="18"/>
                <w:szCs w:val="18"/>
                <w:color w:val="auto"/>
              </w:rPr>
              <w:t>Net loss attributable to BlackLine, Inc.</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gridSpan w:val="2"/>
          </w:tcPr>
          <w:p>
            <w:pPr>
              <w:jc w:val="right"/>
              <w:ind w:right="180"/>
              <w:spacing w:after="0"/>
              <w:rPr>
                <w:sz w:val="20"/>
                <w:szCs w:val="20"/>
                <w:color w:val="auto"/>
              </w:rPr>
            </w:pPr>
            <w:r>
              <w:rPr>
                <w:rFonts w:ascii="Arial" w:cs="Arial" w:eastAsia="Arial" w:hAnsi="Arial"/>
                <w:sz w:val="18"/>
                <w:szCs w:val="18"/>
                <w:color w:val="auto"/>
              </w:rPr>
              <w:t>(32,535)</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gridSpan w:val="2"/>
          </w:tcPr>
          <w:p>
            <w:pPr>
              <w:jc w:val="right"/>
              <w:ind w:right="80"/>
              <w:spacing w:after="0"/>
              <w:rPr>
                <w:sz w:val="20"/>
                <w:szCs w:val="20"/>
                <w:color w:val="auto"/>
              </w:rPr>
            </w:pPr>
            <w:r>
              <w:rPr>
                <w:rFonts w:ascii="Arial" w:cs="Arial" w:eastAsia="Arial" w:hAnsi="Arial"/>
                <w:sz w:val="18"/>
                <w:szCs w:val="18"/>
                <w:color w:val="auto"/>
              </w:rPr>
              <w:t>(28,714)</w:t>
            </w:r>
          </w:p>
        </w:tc>
        <w:tc>
          <w:tcPr>
            <w:tcW w:w="2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180"/>
              <w:spacing w:after="0"/>
              <w:rPr>
                <w:sz w:val="20"/>
                <w:szCs w:val="20"/>
                <w:color w:val="auto"/>
              </w:rPr>
            </w:pPr>
            <w:r>
              <w:rPr>
                <w:rFonts w:ascii="Arial" w:cs="Arial" w:eastAsia="Arial" w:hAnsi="Arial"/>
                <w:sz w:val="18"/>
                <w:szCs w:val="18"/>
                <w:color w:val="auto"/>
              </w:rPr>
              <w:t>(33,408)</w:t>
            </w:r>
          </w:p>
        </w:tc>
        <w:tc>
          <w:tcPr>
            <w:tcW w:w="240" w:type="dxa"/>
            <w:vAlign w:val="bottom"/>
          </w:tcPr>
          <w:p>
            <w:pPr>
              <w:jc w:val="right"/>
              <w:ind w:right="54"/>
              <w:spacing w:after="0"/>
              <w:rPr>
                <w:sz w:val="20"/>
                <w:szCs w:val="20"/>
                <w:color w:val="auto"/>
              </w:rPr>
            </w:pPr>
            <w:r>
              <w:rPr>
                <w:rFonts w:ascii="Arial" w:cs="Arial" w:eastAsia="Arial" w:hAnsi="Arial"/>
                <w:sz w:val="18"/>
                <w:szCs w:val="18"/>
                <w:color w:val="auto"/>
                <w:w w:val="79"/>
              </w:rPr>
              <w:t>$</w:t>
            </w: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(26,937)</w:t>
            </w:r>
          </w:p>
        </w:tc>
        <w:tc>
          <w:tcPr>
            <w:tcW w:w="26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40"/>
              <w:spacing w:after="0"/>
              <w:rPr>
                <w:sz w:val="20"/>
                <w:szCs w:val="20"/>
                <w:color w:val="auto"/>
              </w:rPr>
            </w:pPr>
            <w:r>
              <w:rPr>
                <w:rFonts w:ascii="Arial" w:cs="Arial" w:eastAsia="Arial" w:hAnsi="Arial"/>
                <w:sz w:val="18"/>
                <w:szCs w:val="18"/>
                <w:color w:val="auto"/>
              </w:rPr>
              <w:t>(24,734)</w:t>
            </w:r>
          </w:p>
        </w:tc>
      </w:tr>
      <w:tr>
        <w:trPr>
          <w:trHeight w:val="20"/>
        </w:trPr>
        <w:tc>
          <w:tcPr>
            <w:tcW w:w="5320" w:type="dxa"/>
            <w:vAlign w:val="bottom"/>
            <w:tcBorders>
              <w:top w:val="single" w:sz="8" w:color="CFF0FC"/>
            </w:tcBorders>
            <w:shd w:val="clear" w:color="auto" w:fill="CFF0FC"/>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84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76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FF0FC"/>
            </w:tcBorders>
            <w:shd w:val="clear" w:color="auto" w:fill="CFF0FC"/>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8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r>
      <w:tr>
        <w:trPr>
          <w:trHeight w:val="197"/>
        </w:trPr>
        <w:tc>
          <w:tcPr>
            <w:tcW w:w="5320" w:type="dxa"/>
            <w:vAlign w:val="bottom"/>
            <w:shd w:val="clear" w:color="auto" w:fill="CFF0FC"/>
          </w:tcPr>
          <w:p>
            <w:pPr>
              <w:spacing w:after="0" w:line="196" w:lineRule="exact"/>
              <w:rPr>
                <w:sz w:val="20"/>
                <w:szCs w:val="20"/>
                <w:color w:val="auto"/>
              </w:rPr>
            </w:pPr>
            <w:r>
              <w:rPr>
                <w:rFonts w:ascii="Arial" w:cs="Arial" w:eastAsia="Arial" w:hAnsi="Arial"/>
                <w:sz w:val="18"/>
                <w:szCs w:val="18"/>
                <w:color w:val="auto"/>
              </w:rPr>
              <w:t>Basic net loss per share attributable to BlackLine, Inc.</w:t>
            </w:r>
          </w:p>
        </w:tc>
        <w:tc>
          <w:tcPr>
            <w:tcW w:w="18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FF0FC"/>
          </w:tcPr>
          <w:p>
            <w:pPr>
              <w:jc w:val="right"/>
              <w:ind w:right="180"/>
              <w:spacing w:after="0" w:line="196" w:lineRule="exact"/>
              <w:rPr>
                <w:sz w:val="20"/>
                <w:szCs w:val="20"/>
                <w:color w:val="auto"/>
              </w:rPr>
            </w:pPr>
            <w:r>
              <w:rPr>
                <w:rFonts w:ascii="Arial" w:cs="Arial" w:eastAsia="Arial" w:hAnsi="Arial"/>
                <w:sz w:val="18"/>
                <w:szCs w:val="18"/>
                <w:color w:val="auto"/>
              </w:rPr>
              <w:t>(0.59)</w:t>
            </w:r>
          </w:p>
        </w:tc>
        <w:tc>
          <w:tcPr>
            <w:tcW w:w="12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w w:val="79"/>
              </w:rPr>
              <w:t>$</w:t>
            </w:r>
          </w:p>
        </w:tc>
        <w:tc>
          <w:tcPr>
            <w:tcW w:w="1020" w:type="dxa"/>
            <w:vAlign w:val="bottom"/>
            <w:gridSpan w:val="2"/>
            <w:shd w:val="clear" w:color="auto" w:fill="CFF0FC"/>
          </w:tcPr>
          <w:p>
            <w:pPr>
              <w:jc w:val="right"/>
              <w:ind w:right="80"/>
              <w:spacing w:after="0" w:line="196" w:lineRule="exact"/>
              <w:rPr>
                <w:sz w:val="20"/>
                <w:szCs w:val="20"/>
                <w:color w:val="auto"/>
              </w:rPr>
            </w:pPr>
            <w:r>
              <w:rPr>
                <w:rFonts w:ascii="Arial" w:cs="Arial" w:eastAsia="Arial" w:hAnsi="Arial"/>
                <w:sz w:val="18"/>
                <w:szCs w:val="18"/>
                <w:color w:val="auto"/>
              </w:rPr>
              <w:t>(0.53)</w:t>
            </w:r>
          </w:p>
        </w:tc>
        <w:tc>
          <w:tcPr>
            <w:tcW w:w="220" w:type="dxa"/>
            <w:vAlign w:val="bottom"/>
            <w:gridSpan w:val="2"/>
            <w:shd w:val="clear" w:color="auto" w:fill="CFF0FC"/>
          </w:tcPr>
          <w:p>
            <w:pPr>
              <w:jc w:val="right"/>
              <w:ind w:right="20"/>
              <w:spacing w:after="0" w:line="196" w:lineRule="exact"/>
              <w:rPr>
                <w:sz w:val="20"/>
                <w:szCs w:val="20"/>
                <w:color w:val="auto"/>
              </w:rPr>
            </w:pPr>
            <w:r>
              <w:rPr>
                <w:rFonts w:ascii="Arial" w:cs="Arial" w:eastAsia="Arial" w:hAnsi="Arial"/>
                <w:sz w:val="18"/>
                <w:szCs w:val="18"/>
                <w:color w:val="auto"/>
              </w:rPr>
              <w:t>$</w:t>
            </w:r>
          </w:p>
        </w:tc>
        <w:tc>
          <w:tcPr>
            <w:tcW w:w="1120" w:type="dxa"/>
            <w:vAlign w:val="bottom"/>
            <w:gridSpan w:val="2"/>
            <w:shd w:val="clear" w:color="auto" w:fill="CFF0FC"/>
          </w:tcPr>
          <w:p>
            <w:pPr>
              <w:jc w:val="right"/>
              <w:ind w:right="180"/>
              <w:spacing w:after="0" w:line="196" w:lineRule="exact"/>
              <w:rPr>
                <w:sz w:val="20"/>
                <w:szCs w:val="20"/>
                <w:color w:val="auto"/>
              </w:rPr>
            </w:pPr>
            <w:r>
              <w:rPr>
                <w:rFonts w:ascii="Arial" w:cs="Arial" w:eastAsia="Arial" w:hAnsi="Arial"/>
                <w:sz w:val="18"/>
                <w:szCs w:val="18"/>
                <w:color w:val="auto"/>
              </w:rPr>
              <w:t>(0.64)</w:t>
            </w:r>
          </w:p>
        </w:tc>
        <w:tc>
          <w:tcPr>
            <w:tcW w:w="240" w:type="dxa"/>
            <w:vAlign w:val="bottom"/>
            <w:shd w:val="clear" w:color="auto" w:fill="CFF0FC"/>
          </w:tcPr>
          <w:p>
            <w:pPr>
              <w:jc w:val="right"/>
              <w:ind w:right="54"/>
              <w:spacing w:after="0" w:line="196" w:lineRule="exact"/>
              <w:rPr>
                <w:sz w:val="20"/>
                <w:szCs w:val="20"/>
                <w:color w:val="auto"/>
              </w:rPr>
            </w:pPr>
            <w:r>
              <w:rPr>
                <w:rFonts w:ascii="Arial" w:cs="Arial" w:eastAsia="Arial" w:hAnsi="Arial"/>
                <w:sz w:val="18"/>
                <w:szCs w:val="18"/>
                <w:color w:val="auto"/>
                <w:w w:val="79"/>
              </w:rPr>
              <w:t>$</w:t>
            </w:r>
          </w:p>
        </w:tc>
        <w:tc>
          <w:tcPr>
            <w:tcW w:w="920" w:type="dxa"/>
            <w:vAlign w:val="bottom"/>
            <w:gridSpan w:val="2"/>
            <w:shd w:val="clear" w:color="auto" w:fill="CFF0FC"/>
          </w:tcPr>
          <w:p>
            <w:pPr>
              <w:jc w:val="right"/>
              <w:ind w:right="100"/>
              <w:spacing w:after="0" w:line="196" w:lineRule="exact"/>
              <w:rPr>
                <w:sz w:val="20"/>
                <w:szCs w:val="20"/>
                <w:color w:val="auto"/>
              </w:rPr>
            </w:pPr>
            <w:r>
              <w:rPr>
                <w:rFonts w:ascii="Arial" w:cs="Arial" w:eastAsia="Arial" w:hAnsi="Arial"/>
                <w:sz w:val="18"/>
                <w:szCs w:val="18"/>
                <w:color w:val="auto"/>
              </w:rPr>
              <w:t>(0.63)</w:t>
            </w:r>
          </w:p>
        </w:tc>
        <w:tc>
          <w:tcPr>
            <w:tcW w:w="260" w:type="dxa"/>
            <w:vAlign w:val="bottom"/>
            <w:gridSpan w:val="2"/>
            <w:shd w:val="clear" w:color="auto" w:fill="CFF0FC"/>
          </w:tcPr>
          <w:p>
            <w:pPr>
              <w:jc w:val="right"/>
              <w:ind w:right="80"/>
              <w:spacing w:after="0" w:line="196" w:lineRule="exact"/>
              <w:rPr>
                <w:sz w:val="20"/>
                <w:szCs w:val="20"/>
                <w:color w:val="auto"/>
              </w:rPr>
            </w:pPr>
            <w:r>
              <w:rPr>
                <w:rFonts w:ascii="Arial" w:cs="Arial" w:eastAsia="Arial" w:hAnsi="Arial"/>
                <w:sz w:val="18"/>
                <w:szCs w:val="18"/>
                <w:color w:val="auto"/>
              </w:rPr>
              <w:t>$</w:t>
            </w:r>
          </w:p>
        </w:tc>
        <w:tc>
          <w:tcPr>
            <w:tcW w:w="940" w:type="dxa"/>
            <w:vAlign w:val="bottom"/>
            <w:gridSpan w:val="2"/>
            <w:shd w:val="clear" w:color="auto" w:fill="CFF0FC"/>
          </w:tcPr>
          <w:p>
            <w:pPr>
              <w:jc w:val="right"/>
              <w:ind w:right="40"/>
              <w:spacing w:after="0" w:line="196" w:lineRule="exact"/>
              <w:rPr>
                <w:sz w:val="20"/>
                <w:szCs w:val="20"/>
                <w:color w:val="auto"/>
              </w:rPr>
            </w:pPr>
            <w:r>
              <w:rPr>
                <w:rFonts w:ascii="Arial" w:cs="Arial" w:eastAsia="Arial" w:hAnsi="Arial"/>
                <w:sz w:val="18"/>
                <w:szCs w:val="18"/>
                <w:color w:val="auto"/>
              </w:rPr>
              <w:t>(0.61)</w:t>
            </w:r>
          </w:p>
        </w:tc>
      </w:tr>
      <w:tr>
        <w:trPr>
          <w:trHeight w:val="20"/>
        </w:trPr>
        <w:tc>
          <w:tcPr>
            <w:tcW w:w="5320" w:type="dxa"/>
            <w:vAlign w:val="bottom"/>
            <w:tcBorders>
              <w:top w:val="single" w:sz="8" w:color="CFF0FC"/>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FF0FC"/>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r>
      <w:tr>
        <w:trPr>
          <w:trHeight w:val="237"/>
        </w:trPr>
        <w:tc>
          <w:tcPr>
            <w:tcW w:w="5320" w:type="dxa"/>
            <w:vAlign w:val="bottom"/>
            <w:tcBorders>
              <w:bottom w:val="single" w:sz="8" w:color="CFF0FC"/>
            </w:tcBorders>
          </w:tcPr>
          <w:p>
            <w:pPr>
              <w:spacing w:after="0" w:line="196" w:lineRule="exact"/>
              <w:rPr>
                <w:sz w:val="20"/>
                <w:szCs w:val="20"/>
                <w:color w:val="auto"/>
              </w:rPr>
            </w:pPr>
            <w:r>
              <w:rPr>
                <w:rFonts w:ascii="Arial" w:cs="Arial" w:eastAsia="Arial" w:hAnsi="Arial"/>
                <w:sz w:val="18"/>
                <w:szCs w:val="18"/>
                <w:color w:val="auto"/>
              </w:rPr>
              <w:t>Shares used to calculate basic net loss per share</w:t>
            </w:r>
          </w:p>
        </w:tc>
        <w:tc>
          <w:tcPr>
            <w:tcW w:w="18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55,320</w:t>
            </w:r>
          </w:p>
        </w:tc>
        <w:tc>
          <w:tcPr>
            <w:tcW w:w="240" w:type="dxa"/>
            <w:vAlign w:val="bottom"/>
            <w:tcBorders>
              <w:bottom w:val="single" w:sz="8" w:color="CFF0FC"/>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53,912</w:t>
            </w:r>
          </w:p>
        </w:tc>
        <w:tc>
          <w:tcPr>
            <w:tcW w:w="140" w:type="dxa"/>
            <w:vAlign w:val="bottom"/>
            <w:tcBorders>
              <w:bottom w:val="single" w:sz="8" w:color="CFF0FC"/>
            </w:tcBorders>
          </w:tcPr>
          <w:p>
            <w:pPr>
              <w:spacing w:after="0"/>
              <w:rPr>
                <w:sz w:val="20"/>
                <w:szCs w:val="20"/>
                <w:color w:val="auto"/>
              </w:rPr>
            </w:pPr>
          </w:p>
        </w:tc>
        <w:tc>
          <w:tcPr>
            <w:tcW w:w="100" w:type="dxa"/>
            <w:vAlign w:val="bottom"/>
            <w:tcBorders>
              <w:bottom w:val="single" w:sz="8" w:color="CFF0FC"/>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52,161</w:t>
            </w:r>
          </w:p>
        </w:tc>
        <w:tc>
          <w:tcPr>
            <w:tcW w:w="240" w:type="dxa"/>
            <w:vAlign w:val="bottom"/>
            <w:tcBorders>
              <w:bottom w:val="single" w:sz="8" w:color="CFF0FC"/>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42,497</w:t>
            </w:r>
          </w:p>
        </w:tc>
        <w:tc>
          <w:tcPr>
            <w:tcW w:w="160" w:type="dxa"/>
            <w:vAlign w:val="bottom"/>
            <w:tcBorders>
              <w:bottom w:val="single" w:sz="8" w:color="CFF0FC"/>
            </w:tcBorders>
          </w:tcPr>
          <w:p>
            <w:pPr>
              <w:spacing w:after="0"/>
              <w:rPr>
                <w:sz w:val="20"/>
                <w:szCs w:val="20"/>
                <w:color w:val="auto"/>
              </w:rPr>
            </w:pPr>
          </w:p>
        </w:tc>
        <w:tc>
          <w:tcPr>
            <w:tcW w:w="80" w:type="dxa"/>
            <w:vAlign w:val="bottom"/>
            <w:tcBorders>
              <w:bottom w:val="single" w:sz="8" w:color="CFF0FC"/>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40,579</w:t>
            </w:r>
          </w:p>
        </w:tc>
        <w:tc>
          <w:tcPr>
            <w:tcW w:w="100" w:type="dxa"/>
            <w:vAlign w:val="bottom"/>
            <w:tcBorders>
              <w:bottom w:val="single" w:sz="8" w:color="CFF0FC"/>
            </w:tcBorders>
          </w:tcPr>
          <w:p>
            <w:pPr>
              <w:spacing w:after="0"/>
              <w:rPr>
                <w:sz w:val="20"/>
                <w:szCs w:val="20"/>
                <w:color w:val="auto"/>
              </w:rPr>
            </w:pPr>
          </w:p>
        </w:tc>
      </w:tr>
      <w:tr>
        <w:trPr>
          <w:trHeight w:val="197"/>
        </w:trPr>
        <w:tc>
          <w:tcPr>
            <w:tcW w:w="5320" w:type="dxa"/>
            <w:vAlign w:val="bottom"/>
            <w:shd w:val="clear" w:color="auto" w:fill="CFF0FC"/>
          </w:tcPr>
          <w:p>
            <w:pPr>
              <w:spacing w:after="0" w:line="196" w:lineRule="exact"/>
              <w:rPr>
                <w:sz w:val="20"/>
                <w:szCs w:val="20"/>
                <w:color w:val="auto"/>
              </w:rPr>
            </w:pPr>
            <w:r>
              <w:rPr>
                <w:rFonts w:ascii="Arial" w:cs="Arial" w:eastAsia="Arial" w:hAnsi="Arial"/>
                <w:sz w:val="18"/>
                <w:szCs w:val="18"/>
                <w:color w:val="auto"/>
              </w:rPr>
              <w:t>Diluted net loss per share attributable to BlackLine, Inc.</w:t>
            </w:r>
          </w:p>
        </w:tc>
        <w:tc>
          <w:tcPr>
            <w:tcW w:w="18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FF0FC"/>
          </w:tcPr>
          <w:p>
            <w:pPr>
              <w:jc w:val="right"/>
              <w:ind w:right="180"/>
              <w:spacing w:after="0" w:line="196" w:lineRule="exact"/>
              <w:rPr>
                <w:sz w:val="20"/>
                <w:szCs w:val="20"/>
                <w:color w:val="auto"/>
              </w:rPr>
            </w:pPr>
            <w:r>
              <w:rPr>
                <w:rFonts w:ascii="Arial" w:cs="Arial" w:eastAsia="Arial" w:hAnsi="Arial"/>
                <w:sz w:val="18"/>
                <w:szCs w:val="18"/>
                <w:color w:val="auto"/>
              </w:rPr>
              <w:t>(0.59)</w:t>
            </w:r>
          </w:p>
        </w:tc>
        <w:tc>
          <w:tcPr>
            <w:tcW w:w="12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w w:val="79"/>
              </w:rPr>
              <w:t>$</w:t>
            </w:r>
          </w:p>
        </w:tc>
        <w:tc>
          <w:tcPr>
            <w:tcW w:w="1020" w:type="dxa"/>
            <w:vAlign w:val="bottom"/>
            <w:gridSpan w:val="2"/>
            <w:shd w:val="clear" w:color="auto" w:fill="CFF0FC"/>
          </w:tcPr>
          <w:p>
            <w:pPr>
              <w:jc w:val="right"/>
              <w:ind w:right="80"/>
              <w:spacing w:after="0" w:line="196" w:lineRule="exact"/>
              <w:rPr>
                <w:sz w:val="20"/>
                <w:szCs w:val="20"/>
                <w:color w:val="auto"/>
              </w:rPr>
            </w:pPr>
            <w:r>
              <w:rPr>
                <w:rFonts w:ascii="Arial" w:cs="Arial" w:eastAsia="Arial" w:hAnsi="Arial"/>
                <w:sz w:val="18"/>
                <w:szCs w:val="18"/>
                <w:color w:val="auto"/>
              </w:rPr>
              <w:t>(0.53)</w:t>
            </w:r>
          </w:p>
        </w:tc>
        <w:tc>
          <w:tcPr>
            <w:tcW w:w="220" w:type="dxa"/>
            <w:vAlign w:val="bottom"/>
            <w:gridSpan w:val="2"/>
            <w:shd w:val="clear" w:color="auto" w:fill="CFF0FC"/>
          </w:tcPr>
          <w:p>
            <w:pPr>
              <w:jc w:val="right"/>
              <w:ind w:right="20"/>
              <w:spacing w:after="0" w:line="196" w:lineRule="exact"/>
              <w:rPr>
                <w:sz w:val="20"/>
                <w:szCs w:val="20"/>
                <w:color w:val="auto"/>
              </w:rPr>
            </w:pPr>
            <w:r>
              <w:rPr>
                <w:rFonts w:ascii="Arial" w:cs="Arial" w:eastAsia="Arial" w:hAnsi="Arial"/>
                <w:sz w:val="18"/>
                <w:szCs w:val="18"/>
                <w:color w:val="auto"/>
              </w:rPr>
              <w:t>$</w:t>
            </w:r>
          </w:p>
        </w:tc>
        <w:tc>
          <w:tcPr>
            <w:tcW w:w="1120" w:type="dxa"/>
            <w:vAlign w:val="bottom"/>
            <w:gridSpan w:val="2"/>
            <w:shd w:val="clear" w:color="auto" w:fill="CFF0FC"/>
          </w:tcPr>
          <w:p>
            <w:pPr>
              <w:jc w:val="right"/>
              <w:ind w:right="180"/>
              <w:spacing w:after="0" w:line="196" w:lineRule="exact"/>
              <w:rPr>
                <w:sz w:val="20"/>
                <w:szCs w:val="20"/>
                <w:color w:val="auto"/>
              </w:rPr>
            </w:pPr>
            <w:r>
              <w:rPr>
                <w:rFonts w:ascii="Arial" w:cs="Arial" w:eastAsia="Arial" w:hAnsi="Arial"/>
                <w:sz w:val="18"/>
                <w:szCs w:val="18"/>
                <w:color w:val="auto"/>
              </w:rPr>
              <w:t>(0.64)</w:t>
            </w:r>
          </w:p>
        </w:tc>
        <w:tc>
          <w:tcPr>
            <w:tcW w:w="240" w:type="dxa"/>
            <w:vAlign w:val="bottom"/>
            <w:shd w:val="clear" w:color="auto" w:fill="CFF0FC"/>
          </w:tcPr>
          <w:p>
            <w:pPr>
              <w:jc w:val="right"/>
              <w:ind w:right="54"/>
              <w:spacing w:after="0" w:line="196" w:lineRule="exact"/>
              <w:rPr>
                <w:sz w:val="20"/>
                <w:szCs w:val="20"/>
                <w:color w:val="auto"/>
              </w:rPr>
            </w:pPr>
            <w:r>
              <w:rPr>
                <w:rFonts w:ascii="Arial" w:cs="Arial" w:eastAsia="Arial" w:hAnsi="Arial"/>
                <w:sz w:val="18"/>
                <w:szCs w:val="18"/>
                <w:color w:val="auto"/>
                <w:w w:val="79"/>
              </w:rPr>
              <w:t>$</w:t>
            </w:r>
          </w:p>
        </w:tc>
        <w:tc>
          <w:tcPr>
            <w:tcW w:w="920" w:type="dxa"/>
            <w:vAlign w:val="bottom"/>
            <w:gridSpan w:val="2"/>
            <w:shd w:val="clear" w:color="auto" w:fill="CFF0FC"/>
          </w:tcPr>
          <w:p>
            <w:pPr>
              <w:jc w:val="right"/>
              <w:ind w:right="100"/>
              <w:spacing w:after="0" w:line="196" w:lineRule="exact"/>
              <w:rPr>
                <w:sz w:val="20"/>
                <w:szCs w:val="20"/>
                <w:color w:val="auto"/>
              </w:rPr>
            </w:pPr>
            <w:r>
              <w:rPr>
                <w:rFonts w:ascii="Arial" w:cs="Arial" w:eastAsia="Arial" w:hAnsi="Arial"/>
                <w:sz w:val="18"/>
                <w:szCs w:val="18"/>
                <w:color w:val="auto"/>
              </w:rPr>
              <w:t>(0.63)</w:t>
            </w:r>
          </w:p>
        </w:tc>
        <w:tc>
          <w:tcPr>
            <w:tcW w:w="260" w:type="dxa"/>
            <w:vAlign w:val="bottom"/>
            <w:gridSpan w:val="2"/>
            <w:shd w:val="clear" w:color="auto" w:fill="CFF0FC"/>
          </w:tcPr>
          <w:p>
            <w:pPr>
              <w:jc w:val="right"/>
              <w:ind w:right="80"/>
              <w:spacing w:after="0" w:line="196" w:lineRule="exact"/>
              <w:rPr>
                <w:sz w:val="20"/>
                <w:szCs w:val="20"/>
                <w:color w:val="auto"/>
              </w:rPr>
            </w:pPr>
            <w:r>
              <w:rPr>
                <w:rFonts w:ascii="Arial" w:cs="Arial" w:eastAsia="Arial" w:hAnsi="Arial"/>
                <w:sz w:val="18"/>
                <w:szCs w:val="18"/>
                <w:color w:val="auto"/>
              </w:rPr>
              <w:t>$</w:t>
            </w:r>
          </w:p>
        </w:tc>
        <w:tc>
          <w:tcPr>
            <w:tcW w:w="940" w:type="dxa"/>
            <w:vAlign w:val="bottom"/>
            <w:gridSpan w:val="2"/>
            <w:shd w:val="clear" w:color="auto" w:fill="CFF0FC"/>
          </w:tcPr>
          <w:p>
            <w:pPr>
              <w:jc w:val="right"/>
              <w:ind w:right="40"/>
              <w:spacing w:after="0" w:line="196" w:lineRule="exact"/>
              <w:rPr>
                <w:sz w:val="20"/>
                <w:szCs w:val="20"/>
                <w:color w:val="auto"/>
              </w:rPr>
            </w:pPr>
            <w:r>
              <w:rPr>
                <w:rFonts w:ascii="Arial" w:cs="Arial" w:eastAsia="Arial" w:hAnsi="Arial"/>
                <w:sz w:val="18"/>
                <w:szCs w:val="18"/>
                <w:color w:val="auto"/>
              </w:rPr>
              <w:t>(0.61)</w:t>
            </w:r>
          </w:p>
        </w:tc>
      </w:tr>
      <w:tr>
        <w:trPr>
          <w:trHeight w:val="20"/>
        </w:trPr>
        <w:tc>
          <w:tcPr>
            <w:tcW w:w="5320" w:type="dxa"/>
            <w:vAlign w:val="bottom"/>
            <w:tcBorders>
              <w:top w:val="single" w:sz="8" w:color="CFF0FC"/>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FF0FC"/>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r>
      <w:tr>
        <w:trPr>
          <w:trHeight w:val="197"/>
        </w:trPr>
        <w:tc>
          <w:tcPr>
            <w:tcW w:w="5320" w:type="dxa"/>
            <w:vAlign w:val="bottom"/>
          </w:tcPr>
          <w:p>
            <w:pPr>
              <w:spacing w:after="0" w:line="196" w:lineRule="exact"/>
              <w:rPr>
                <w:sz w:val="20"/>
                <w:szCs w:val="20"/>
                <w:color w:val="auto"/>
              </w:rPr>
            </w:pPr>
            <w:r>
              <w:rPr>
                <w:rFonts w:ascii="Arial" w:cs="Arial" w:eastAsia="Arial" w:hAnsi="Arial"/>
                <w:sz w:val="18"/>
                <w:szCs w:val="18"/>
                <w:color w:val="auto"/>
              </w:rPr>
              <w:t>Shares used to calculate diluted net loss per share</w:t>
            </w:r>
          </w:p>
        </w:tc>
        <w:tc>
          <w:tcPr>
            <w:tcW w:w="18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55,320</w:t>
            </w:r>
          </w:p>
        </w:tc>
        <w:tc>
          <w:tcPr>
            <w:tcW w:w="24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53,912</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52,161</w:t>
            </w:r>
          </w:p>
        </w:tc>
        <w:tc>
          <w:tcPr>
            <w:tcW w:w="24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42,497</w:t>
            </w: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40,579</w:t>
            </w:r>
          </w:p>
        </w:tc>
        <w:tc>
          <w:tcPr>
            <w:tcW w:w="100" w:type="dxa"/>
            <w:vAlign w:val="bottom"/>
          </w:tcPr>
          <w:p>
            <w:pPr>
              <w:spacing w:after="0"/>
              <w:rPr>
                <w:sz w:val="17"/>
                <w:szCs w:val="17"/>
                <w:color w:val="auto"/>
              </w:rPr>
            </w:pPr>
          </w:p>
        </w:tc>
      </w:tr>
      <w:tr>
        <w:trPr>
          <w:trHeight w:val="20"/>
        </w:trPr>
        <w:tc>
          <w:tcPr>
            <w:tcW w:w="53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24" w:lineRule="exact"/>
        <w:rPr>
          <w:sz w:val="20"/>
          <w:szCs w:val="20"/>
          <w:color w:val="auto"/>
        </w:rPr>
      </w:pPr>
    </w:p>
    <w:p>
      <w:pPr>
        <w:jc w:val="both"/>
        <w:ind w:left="520" w:right="300" w:hanging="512"/>
        <w:spacing w:after="0" w:line="241" w:lineRule="auto"/>
        <w:tabs>
          <w:tab w:leader="none" w:pos="5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 xml:space="preserve">On January 1, 2018, we adopted ASC 606, </w:t>
      </w:r>
      <w:r>
        <w:rPr>
          <w:rFonts w:ascii="Arial" w:cs="Arial" w:eastAsia="Arial" w:hAnsi="Arial"/>
          <w:sz w:val="18"/>
          <w:szCs w:val="18"/>
          <w:i w:val="1"/>
          <w:iCs w:val="1"/>
          <w:color w:val="auto"/>
        </w:rPr>
        <w:t>Revenue from Contracts with Customers</w:t>
      </w:r>
      <w:r>
        <w:rPr>
          <w:rFonts w:ascii="Arial" w:cs="Arial" w:eastAsia="Arial" w:hAnsi="Arial"/>
          <w:sz w:val="18"/>
          <w:szCs w:val="18"/>
          <w:color w:val="auto"/>
        </w:rPr>
        <w:t xml:space="preserve"> using the full retrospective method applied to all contracts. Results for the years ended December 31, 2019, 2018, 2017, and 2016 are presented under ASC 606, while the results for the year ended December 31, 2015 have not been adjusted for ASC 606.</w:t>
      </w:r>
    </w:p>
    <w:p>
      <w:pPr>
        <w:spacing w:after="0" w:line="2" w:lineRule="exact"/>
        <w:rPr>
          <w:rFonts w:ascii="Arial" w:cs="Arial" w:eastAsia="Arial" w:hAnsi="Arial"/>
          <w:sz w:val="18"/>
          <w:szCs w:val="18"/>
          <w:color w:val="auto"/>
        </w:rPr>
      </w:pPr>
    </w:p>
    <w:p>
      <w:pPr>
        <w:ind w:left="520" w:right="260" w:hanging="512"/>
        <w:spacing w:after="0" w:line="234" w:lineRule="auto"/>
        <w:tabs>
          <w:tab w:leader="none" w:pos="5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On August 31, 2016, we completed the Runbook Acquisition. The Runbook Acquisition was accounted for as a business combination. The results of Runbook are included in our consolidated results of operations for the periods subsequent to the acquisition date.</w:t>
      </w:r>
    </w:p>
    <w:p>
      <w:pPr>
        <w:spacing w:after="0" w:line="1" w:lineRule="exact"/>
        <w:rPr>
          <w:rFonts w:ascii="Arial" w:cs="Arial" w:eastAsia="Arial" w:hAnsi="Arial"/>
          <w:sz w:val="18"/>
          <w:szCs w:val="18"/>
          <w:color w:val="auto"/>
        </w:rPr>
      </w:pPr>
    </w:p>
    <w:p>
      <w:pPr>
        <w:ind w:left="520" w:right="220" w:hanging="512"/>
        <w:spacing w:after="0" w:line="246" w:lineRule="auto"/>
        <w:tabs>
          <w:tab w:leader="none" w:pos="5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Revised to correct for immaterial tax errors, which had previously understated provision for (benefit from) income taxes by $0.9 million, $0.4 million, and $0.6 million, for the years ended December 31, 2018, 2017, and 2016, respectively.</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2720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657" w:right="239" w:bottom="1440" w:gutter="0" w:footer="0" w:header="0"/>
        </w:sectPr>
      </w:pPr>
    </w:p>
    <w:bookmarkStart w:id="36" w:name="page37"/>
    <w:bookmarkEnd w:id="36"/>
    <w:p>
      <w:pPr>
        <w:ind w:left="520" w:hanging="512"/>
        <w:spacing w:after="0"/>
        <w:tabs>
          <w:tab w:leader="none" w:pos="5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following table presents stock-based compensation included in each respective expense category (in thousands):</w:t>
      </w:r>
    </w:p>
    <w:p>
      <w:pPr>
        <w:spacing w:after="0" w:line="280"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372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2540" w:type="dxa"/>
            <w:vAlign w:val="bottom"/>
            <w:tcBorders>
              <w:bottom w:val="single" w:sz="8" w:color="auto"/>
            </w:tcBorders>
            <w:gridSpan w:val="6"/>
          </w:tcPr>
          <w:p>
            <w:pPr>
              <w:jc w:val="right"/>
              <w:ind w:right="100"/>
              <w:spacing w:after="0"/>
              <w:rPr>
                <w:sz w:val="20"/>
                <w:szCs w:val="20"/>
                <w:color w:val="auto"/>
              </w:rPr>
            </w:pPr>
            <w:r>
              <w:rPr>
                <w:rFonts w:ascii="Arial" w:cs="Arial" w:eastAsia="Arial" w:hAnsi="Arial"/>
                <w:sz w:val="14"/>
                <w:szCs w:val="14"/>
                <w:b w:val="1"/>
                <w:bCs w:val="1"/>
                <w:color w:val="auto"/>
              </w:rPr>
              <w:t>Year Ended December 31,</w:t>
            </w:r>
          </w:p>
        </w:tc>
        <w:tc>
          <w:tcPr>
            <w:tcW w:w="78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r>
      <w:tr>
        <w:trPr>
          <w:trHeight w:val="210"/>
        </w:trPr>
        <w:tc>
          <w:tcPr>
            <w:tcW w:w="3720" w:type="dxa"/>
            <w:vAlign w:val="bottom"/>
            <w:tcBorders>
              <w:bottom w:val="single" w:sz="8" w:color="CFF0FC"/>
            </w:tcBorders>
          </w:tcPr>
          <w:p>
            <w:pPr>
              <w:spacing w:after="0"/>
              <w:rPr>
                <w:sz w:val="18"/>
                <w:szCs w:val="18"/>
                <w:color w:val="auto"/>
              </w:rPr>
            </w:pPr>
          </w:p>
        </w:tc>
        <w:tc>
          <w:tcPr>
            <w:tcW w:w="1520" w:type="dxa"/>
            <w:vAlign w:val="bottom"/>
            <w:tcBorders>
              <w:bottom w:val="single" w:sz="8" w:color="CFF0FC"/>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ind w:right="273"/>
              <w:spacing w:after="0"/>
              <w:rPr>
                <w:sz w:val="20"/>
                <w:szCs w:val="20"/>
                <w:color w:val="auto"/>
              </w:rPr>
            </w:pPr>
            <w:r>
              <w:rPr>
                <w:rFonts w:ascii="Arial" w:cs="Arial" w:eastAsia="Arial" w:hAnsi="Arial"/>
                <w:sz w:val="14"/>
                <w:szCs w:val="14"/>
                <w:b w:val="1"/>
                <w:bCs w:val="1"/>
                <w:color w:val="auto"/>
              </w:rPr>
              <w:t>2019</w:t>
            </w:r>
          </w:p>
        </w:tc>
        <w:tc>
          <w:tcPr>
            <w:tcW w:w="220" w:type="dxa"/>
            <w:vAlign w:val="bottom"/>
            <w:tcBorders>
              <w:bottom w:val="single" w:sz="8" w:color="CFF0FC"/>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275"/>
              <w:spacing w:after="0"/>
              <w:rPr>
                <w:sz w:val="20"/>
                <w:szCs w:val="20"/>
                <w:color w:val="auto"/>
              </w:rPr>
            </w:pPr>
            <w:r>
              <w:rPr>
                <w:rFonts w:ascii="Arial" w:cs="Arial" w:eastAsia="Arial" w:hAnsi="Arial"/>
                <w:sz w:val="14"/>
                <w:szCs w:val="14"/>
                <w:b w:val="1"/>
                <w:bCs w:val="1"/>
                <w:color w:val="auto"/>
              </w:rPr>
              <w:t>2018</w:t>
            </w:r>
          </w:p>
        </w:tc>
        <w:tc>
          <w:tcPr>
            <w:tcW w:w="220" w:type="dxa"/>
            <w:vAlign w:val="bottom"/>
            <w:tcBorders>
              <w:bottom w:val="single" w:sz="8" w:color="CFF0FC"/>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ind w:right="273"/>
              <w:spacing w:after="0"/>
              <w:rPr>
                <w:sz w:val="20"/>
                <w:szCs w:val="20"/>
                <w:color w:val="auto"/>
              </w:rPr>
            </w:pPr>
            <w:r>
              <w:rPr>
                <w:rFonts w:ascii="Arial" w:cs="Arial" w:eastAsia="Arial" w:hAnsi="Arial"/>
                <w:sz w:val="14"/>
                <w:szCs w:val="14"/>
                <w:b w:val="1"/>
                <w:bCs w:val="1"/>
                <w:color w:val="auto"/>
              </w:rPr>
              <w:t>2017</w:t>
            </w:r>
          </w:p>
        </w:tc>
        <w:tc>
          <w:tcPr>
            <w:tcW w:w="240" w:type="dxa"/>
            <w:vAlign w:val="bottom"/>
            <w:tcBorders>
              <w:bottom w:val="single" w:sz="8" w:color="CFF0FC"/>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ind w:right="273"/>
              <w:spacing w:after="0"/>
              <w:rPr>
                <w:sz w:val="20"/>
                <w:szCs w:val="20"/>
                <w:color w:val="auto"/>
              </w:rPr>
            </w:pPr>
            <w:r>
              <w:rPr>
                <w:rFonts w:ascii="Arial" w:cs="Arial" w:eastAsia="Arial" w:hAnsi="Arial"/>
                <w:sz w:val="14"/>
                <w:szCs w:val="14"/>
                <w:b w:val="1"/>
                <w:bCs w:val="1"/>
                <w:color w:val="auto"/>
              </w:rPr>
              <w:t>2016</w:t>
            </w:r>
          </w:p>
        </w:tc>
        <w:tc>
          <w:tcPr>
            <w:tcW w:w="240" w:type="dxa"/>
            <w:vAlign w:val="bottom"/>
            <w:tcBorders>
              <w:bottom w:val="single" w:sz="8" w:color="CFF0FC"/>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293"/>
              <w:spacing w:after="0"/>
              <w:rPr>
                <w:sz w:val="20"/>
                <w:szCs w:val="20"/>
                <w:color w:val="auto"/>
              </w:rPr>
            </w:pPr>
            <w:r>
              <w:rPr>
                <w:rFonts w:ascii="Arial" w:cs="Arial" w:eastAsia="Arial" w:hAnsi="Arial"/>
                <w:sz w:val="14"/>
                <w:szCs w:val="14"/>
                <w:b w:val="1"/>
                <w:bCs w:val="1"/>
                <w:color w:val="auto"/>
              </w:rPr>
              <w:t>2015</w:t>
            </w:r>
          </w:p>
        </w:tc>
        <w:tc>
          <w:tcPr>
            <w:tcW w:w="100" w:type="dxa"/>
            <w:vAlign w:val="bottom"/>
            <w:tcBorders>
              <w:bottom w:val="single" w:sz="8" w:color="CFF0FC"/>
            </w:tcBorders>
          </w:tcPr>
          <w:p>
            <w:pPr>
              <w:spacing w:after="0"/>
              <w:rPr>
                <w:sz w:val="18"/>
                <w:szCs w:val="18"/>
                <w:color w:val="auto"/>
              </w:rPr>
            </w:pPr>
          </w:p>
        </w:tc>
      </w:tr>
      <w:tr>
        <w:trPr>
          <w:trHeight w:val="210"/>
        </w:trPr>
        <w:tc>
          <w:tcPr>
            <w:tcW w:w="3720" w:type="dxa"/>
            <w:vAlign w:val="bottom"/>
            <w:shd w:val="clear" w:color="auto" w:fill="CFF0FC"/>
          </w:tcPr>
          <w:p>
            <w:pPr>
              <w:spacing w:after="0"/>
              <w:rPr>
                <w:sz w:val="20"/>
                <w:szCs w:val="20"/>
                <w:color w:val="auto"/>
              </w:rPr>
            </w:pPr>
            <w:r>
              <w:rPr>
                <w:rFonts w:ascii="Arial" w:cs="Arial" w:eastAsia="Arial" w:hAnsi="Arial"/>
                <w:sz w:val="18"/>
                <w:szCs w:val="18"/>
                <w:color w:val="auto"/>
              </w:rPr>
              <w:t>Cost of revenues</w:t>
            </w:r>
          </w:p>
        </w:tc>
        <w:tc>
          <w:tcPr>
            <w:tcW w:w="176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4,814</w:t>
            </w:r>
          </w:p>
        </w:tc>
        <w:tc>
          <w:tcPr>
            <w:tcW w:w="44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3,265</w:t>
            </w:r>
          </w:p>
        </w:tc>
        <w:tc>
          <w:tcPr>
            <w:tcW w:w="44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1,149</w:t>
            </w:r>
          </w:p>
        </w:tc>
        <w:tc>
          <w:tcPr>
            <w:tcW w:w="48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715</w:t>
            </w:r>
          </w:p>
        </w:tc>
        <w:tc>
          <w:tcPr>
            <w:tcW w:w="46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466</w:t>
            </w:r>
          </w:p>
        </w:tc>
        <w:tc>
          <w:tcPr>
            <w:tcW w:w="100" w:type="dxa"/>
            <w:vAlign w:val="bottom"/>
            <w:shd w:val="clear" w:color="auto" w:fill="CFF0FC"/>
          </w:tcPr>
          <w:p>
            <w:pPr>
              <w:spacing w:after="0"/>
              <w:rPr>
                <w:sz w:val="18"/>
                <w:szCs w:val="18"/>
                <w:color w:val="auto"/>
              </w:rPr>
            </w:pPr>
          </w:p>
        </w:tc>
      </w:tr>
      <w:tr>
        <w:trPr>
          <w:trHeight w:val="216"/>
        </w:trPr>
        <w:tc>
          <w:tcPr>
            <w:tcW w:w="3720" w:type="dxa"/>
            <w:vAlign w:val="bottom"/>
          </w:tcPr>
          <w:p>
            <w:pPr>
              <w:spacing w:after="0"/>
              <w:rPr>
                <w:sz w:val="20"/>
                <w:szCs w:val="20"/>
                <w:color w:val="auto"/>
              </w:rPr>
            </w:pPr>
            <w:r>
              <w:rPr>
                <w:rFonts w:ascii="Arial" w:cs="Arial" w:eastAsia="Arial" w:hAnsi="Arial"/>
                <w:sz w:val="18"/>
                <w:szCs w:val="18"/>
                <w:color w:val="auto"/>
              </w:rPr>
              <w:t>Sales and marketing</w:t>
            </w:r>
          </w:p>
        </w:tc>
        <w:tc>
          <w:tcPr>
            <w:tcW w:w="15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15,389</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8,674</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10,811</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2,490</w:t>
            </w: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2,418</w:t>
            </w:r>
          </w:p>
        </w:tc>
        <w:tc>
          <w:tcPr>
            <w:tcW w:w="100" w:type="dxa"/>
            <w:vAlign w:val="bottom"/>
          </w:tcPr>
          <w:p>
            <w:pPr>
              <w:spacing w:after="0"/>
              <w:rPr>
                <w:sz w:val="18"/>
                <w:szCs w:val="18"/>
                <w:color w:val="auto"/>
              </w:rPr>
            </w:pPr>
          </w:p>
        </w:tc>
      </w:tr>
      <w:tr>
        <w:trPr>
          <w:trHeight w:val="216"/>
        </w:trPr>
        <w:tc>
          <w:tcPr>
            <w:tcW w:w="3720" w:type="dxa"/>
            <w:vAlign w:val="bottom"/>
            <w:shd w:val="clear" w:color="auto" w:fill="CFF0FC"/>
          </w:tcPr>
          <w:p>
            <w:pPr>
              <w:spacing w:after="0"/>
              <w:rPr>
                <w:sz w:val="20"/>
                <w:szCs w:val="20"/>
                <w:color w:val="auto"/>
              </w:rPr>
            </w:pPr>
            <w:r>
              <w:rPr>
                <w:rFonts w:ascii="Arial" w:cs="Arial" w:eastAsia="Arial" w:hAnsi="Arial"/>
                <w:sz w:val="18"/>
                <w:szCs w:val="18"/>
                <w:color w:val="auto"/>
              </w:rPr>
              <w:t>Research and development</w:t>
            </w:r>
          </w:p>
        </w:tc>
        <w:tc>
          <w:tcPr>
            <w:tcW w:w="15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4,729</w:t>
            </w:r>
          </w:p>
        </w:tc>
        <w:tc>
          <w:tcPr>
            <w:tcW w:w="2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2,570</w:t>
            </w:r>
          </w:p>
        </w:tc>
        <w:tc>
          <w:tcPr>
            <w:tcW w:w="2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767</w:t>
            </w:r>
          </w:p>
        </w:tc>
        <w:tc>
          <w:tcPr>
            <w:tcW w:w="2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809</w:t>
            </w:r>
          </w:p>
        </w:tc>
        <w:tc>
          <w:tcPr>
            <w:tcW w:w="2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588</w:t>
            </w:r>
          </w:p>
        </w:tc>
        <w:tc>
          <w:tcPr>
            <w:tcW w:w="100" w:type="dxa"/>
            <w:vAlign w:val="bottom"/>
            <w:shd w:val="clear" w:color="auto" w:fill="CFF0FC"/>
          </w:tcPr>
          <w:p>
            <w:pPr>
              <w:spacing w:after="0"/>
              <w:rPr>
                <w:sz w:val="18"/>
                <w:szCs w:val="18"/>
                <w:color w:val="auto"/>
              </w:rPr>
            </w:pPr>
          </w:p>
        </w:tc>
      </w:tr>
      <w:tr>
        <w:trPr>
          <w:trHeight w:val="216"/>
        </w:trPr>
        <w:tc>
          <w:tcPr>
            <w:tcW w:w="372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General and administrative</w:t>
            </w:r>
          </w:p>
        </w:tc>
        <w:tc>
          <w:tcPr>
            <w:tcW w:w="1520" w:type="dxa"/>
            <w:vAlign w:val="bottom"/>
            <w:tcBorders>
              <w:bottom w:val="single" w:sz="8" w:color="CFF0FC"/>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9,120</w:t>
            </w:r>
          </w:p>
        </w:tc>
        <w:tc>
          <w:tcPr>
            <w:tcW w:w="220" w:type="dxa"/>
            <w:vAlign w:val="bottom"/>
            <w:tcBorders>
              <w:bottom w:val="single" w:sz="8" w:color="CFF0FC"/>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6,386</w:t>
            </w:r>
          </w:p>
        </w:tc>
        <w:tc>
          <w:tcPr>
            <w:tcW w:w="220" w:type="dxa"/>
            <w:vAlign w:val="bottom"/>
            <w:tcBorders>
              <w:bottom w:val="single" w:sz="8" w:color="CFF0FC"/>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3,317</w:t>
            </w:r>
          </w:p>
        </w:tc>
        <w:tc>
          <w:tcPr>
            <w:tcW w:w="240" w:type="dxa"/>
            <w:vAlign w:val="bottom"/>
            <w:tcBorders>
              <w:bottom w:val="single" w:sz="8" w:color="CFF0FC"/>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2,512</w:t>
            </w:r>
          </w:p>
        </w:tc>
        <w:tc>
          <w:tcPr>
            <w:tcW w:w="240" w:type="dxa"/>
            <w:vAlign w:val="bottom"/>
            <w:tcBorders>
              <w:bottom w:val="single" w:sz="8" w:color="CFF0FC"/>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2,025</w:t>
            </w:r>
          </w:p>
        </w:tc>
        <w:tc>
          <w:tcPr>
            <w:tcW w:w="100" w:type="dxa"/>
            <w:vAlign w:val="bottom"/>
            <w:tcBorders>
              <w:bottom w:val="single" w:sz="8" w:color="CFF0FC"/>
            </w:tcBorders>
          </w:tcPr>
          <w:p>
            <w:pPr>
              <w:spacing w:after="0"/>
              <w:rPr>
                <w:sz w:val="18"/>
                <w:szCs w:val="18"/>
                <w:color w:val="auto"/>
              </w:rPr>
            </w:pPr>
          </w:p>
        </w:tc>
      </w:tr>
      <w:tr>
        <w:trPr>
          <w:trHeight w:val="210"/>
        </w:trPr>
        <w:tc>
          <w:tcPr>
            <w:tcW w:w="3720" w:type="dxa"/>
            <w:vAlign w:val="bottom"/>
            <w:shd w:val="clear" w:color="auto" w:fill="CFF0FC"/>
          </w:tcPr>
          <w:p>
            <w:pPr>
              <w:spacing w:after="0"/>
              <w:rPr>
                <w:sz w:val="18"/>
                <w:szCs w:val="18"/>
                <w:color w:val="auto"/>
              </w:rPr>
            </w:pPr>
          </w:p>
        </w:tc>
        <w:tc>
          <w:tcPr>
            <w:tcW w:w="176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34,052</w:t>
            </w:r>
          </w:p>
        </w:tc>
        <w:tc>
          <w:tcPr>
            <w:tcW w:w="44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20,895</w:t>
            </w:r>
          </w:p>
        </w:tc>
        <w:tc>
          <w:tcPr>
            <w:tcW w:w="44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16,044</w:t>
            </w:r>
          </w:p>
        </w:tc>
        <w:tc>
          <w:tcPr>
            <w:tcW w:w="48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6,526</w:t>
            </w:r>
          </w:p>
        </w:tc>
        <w:tc>
          <w:tcPr>
            <w:tcW w:w="46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5,497</w:t>
            </w:r>
          </w:p>
        </w:tc>
        <w:tc>
          <w:tcPr>
            <w:tcW w:w="100" w:type="dxa"/>
            <w:vAlign w:val="bottom"/>
            <w:shd w:val="clear" w:color="auto" w:fill="CFF0FC"/>
          </w:tcPr>
          <w:p>
            <w:pPr>
              <w:spacing w:after="0"/>
              <w:rPr>
                <w:sz w:val="18"/>
                <w:szCs w:val="18"/>
                <w:color w:val="auto"/>
              </w:rPr>
            </w:pPr>
          </w:p>
        </w:tc>
      </w:tr>
      <w:tr>
        <w:trPr>
          <w:trHeight w:val="20"/>
        </w:trPr>
        <w:tc>
          <w:tcPr>
            <w:tcW w:w="3720" w:type="dxa"/>
            <w:vAlign w:val="bottom"/>
            <w:tcBorders>
              <w:top w:val="single" w:sz="8" w:color="CFF0FC"/>
            </w:tcBorders>
          </w:tcPr>
          <w:p>
            <w:pPr>
              <w:spacing w:after="0" w:line="20" w:lineRule="exact"/>
              <w:rPr>
                <w:sz w:val="1"/>
                <w:szCs w:val="1"/>
                <w:color w:val="auto"/>
              </w:rPr>
            </w:pPr>
          </w:p>
        </w:tc>
        <w:tc>
          <w:tcPr>
            <w:tcW w:w="1520" w:type="dxa"/>
            <w:vAlign w:val="bottom"/>
            <w:tcBorders>
              <w:top w:val="single" w:sz="8" w:color="CFF0FC"/>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FF0FC"/>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FF0FC"/>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r>
    </w:tbl>
    <w:p>
      <w:pPr>
        <w:spacing w:after="0" w:line="242" w:lineRule="exact"/>
        <w:rPr>
          <w:sz w:val="20"/>
          <w:szCs w:val="20"/>
          <w:color w:val="auto"/>
        </w:rPr>
      </w:pPr>
    </w:p>
    <w:p>
      <w:pPr>
        <w:ind w:left="520" w:hanging="512"/>
        <w:spacing w:after="0"/>
        <w:tabs>
          <w:tab w:leader="none" w:pos="5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following table presents the amortization of intangible assets included in each respective expense category (in thousands):</w:t>
      </w:r>
    </w:p>
    <w:p>
      <w:pPr>
        <w:spacing w:after="0" w:line="280"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3700" w:type="dxa"/>
            <w:vAlign w:val="bottom"/>
          </w:tcPr>
          <w:p>
            <w:pPr>
              <w:spacing w:after="0"/>
              <w:rPr>
                <w:sz w:val="15"/>
                <w:szCs w:val="15"/>
                <w:color w:val="auto"/>
              </w:rPr>
            </w:pPr>
          </w:p>
        </w:tc>
        <w:tc>
          <w:tcPr>
            <w:tcW w:w="154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2540" w:type="dxa"/>
            <w:vAlign w:val="bottom"/>
            <w:tcBorders>
              <w:bottom w:val="single" w:sz="8" w:color="auto"/>
            </w:tcBorders>
            <w:gridSpan w:val="6"/>
          </w:tcPr>
          <w:p>
            <w:pPr>
              <w:jc w:val="right"/>
              <w:ind w:right="100"/>
              <w:spacing w:after="0"/>
              <w:rPr>
                <w:sz w:val="20"/>
                <w:szCs w:val="20"/>
                <w:color w:val="auto"/>
              </w:rPr>
            </w:pPr>
            <w:r>
              <w:rPr>
                <w:rFonts w:ascii="Arial" w:cs="Arial" w:eastAsia="Arial" w:hAnsi="Arial"/>
                <w:sz w:val="14"/>
                <w:szCs w:val="14"/>
                <w:b w:val="1"/>
                <w:bCs w:val="1"/>
                <w:color w:val="auto"/>
              </w:rPr>
              <w:t>Year Ended December 31,</w:t>
            </w:r>
          </w:p>
        </w:tc>
        <w:tc>
          <w:tcPr>
            <w:tcW w:w="78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r>
      <w:tr>
        <w:trPr>
          <w:trHeight w:val="210"/>
        </w:trPr>
        <w:tc>
          <w:tcPr>
            <w:tcW w:w="3700" w:type="dxa"/>
            <w:vAlign w:val="bottom"/>
            <w:tcBorders>
              <w:bottom w:val="single" w:sz="8" w:color="CFF0FC"/>
            </w:tcBorders>
          </w:tcPr>
          <w:p>
            <w:pPr>
              <w:spacing w:after="0"/>
              <w:rPr>
                <w:sz w:val="18"/>
                <w:szCs w:val="18"/>
                <w:color w:val="auto"/>
              </w:rPr>
            </w:pPr>
          </w:p>
        </w:tc>
        <w:tc>
          <w:tcPr>
            <w:tcW w:w="1540" w:type="dxa"/>
            <w:vAlign w:val="bottom"/>
            <w:tcBorders>
              <w:bottom w:val="single" w:sz="8" w:color="CFF0FC"/>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ind w:right="274"/>
              <w:spacing w:after="0"/>
              <w:rPr>
                <w:sz w:val="20"/>
                <w:szCs w:val="20"/>
                <w:color w:val="auto"/>
              </w:rPr>
            </w:pPr>
            <w:r>
              <w:rPr>
                <w:rFonts w:ascii="Arial" w:cs="Arial" w:eastAsia="Arial" w:hAnsi="Arial"/>
                <w:sz w:val="14"/>
                <w:szCs w:val="14"/>
                <w:b w:val="1"/>
                <w:bCs w:val="1"/>
                <w:color w:val="auto"/>
              </w:rPr>
              <w:t>2019</w:t>
            </w:r>
          </w:p>
        </w:tc>
        <w:tc>
          <w:tcPr>
            <w:tcW w:w="220" w:type="dxa"/>
            <w:vAlign w:val="bottom"/>
            <w:tcBorders>
              <w:bottom w:val="single" w:sz="8" w:color="CFF0FC"/>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276"/>
              <w:spacing w:after="0"/>
              <w:rPr>
                <w:sz w:val="20"/>
                <w:szCs w:val="20"/>
                <w:color w:val="auto"/>
              </w:rPr>
            </w:pPr>
            <w:r>
              <w:rPr>
                <w:rFonts w:ascii="Arial" w:cs="Arial" w:eastAsia="Arial" w:hAnsi="Arial"/>
                <w:sz w:val="14"/>
                <w:szCs w:val="14"/>
                <w:b w:val="1"/>
                <w:bCs w:val="1"/>
                <w:color w:val="auto"/>
              </w:rPr>
              <w:t>2018</w:t>
            </w:r>
          </w:p>
        </w:tc>
        <w:tc>
          <w:tcPr>
            <w:tcW w:w="220" w:type="dxa"/>
            <w:vAlign w:val="bottom"/>
            <w:tcBorders>
              <w:bottom w:val="single" w:sz="8" w:color="CFF0FC"/>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ind w:right="274"/>
              <w:spacing w:after="0"/>
              <w:rPr>
                <w:sz w:val="20"/>
                <w:szCs w:val="20"/>
                <w:color w:val="auto"/>
              </w:rPr>
            </w:pPr>
            <w:r>
              <w:rPr>
                <w:rFonts w:ascii="Arial" w:cs="Arial" w:eastAsia="Arial" w:hAnsi="Arial"/>
                <w:sz w:val="14"/>
                <w:szCs w:val="14"/>
                <w:b w:val="1"/>
                <w:bCs w:val="1"/>
                <w:color w:val="auto"/>
              </w:rPr>
              <w:t>2017</w:t>
            </w:r>
          </w:p>
        </w:tc>
        <w:tc>
          <w:tcPr>
            <w:tcW w:w="240" w:type="dxa"/>
            <w:vAlign w:val="bottom"/>
            <w:tcBorders>
              <w:bottom w:val="single" w:sz="8" w:color="CFF0FC"/>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ind w:right="274"/>
              <w:spacing w:after="0"/>
              <w:rPr>
                <w:sz w:val="20"/>
                <w:szCs w:val="20"/>
                <w:color w:val="auto"/>
              </w:rPr>
            </w:pPr>
            <w:r>
              <w:rPr>
                <w:rFonts w:ascii="Arial" w:cs="Arial" w:eastAsia="Arial" w:hAnsi="Arial"/>
                <w:sz w:val="14"/>
                <w:szCs w:val="14"/>
                <w:b w:val="1"/>
                <w:bCs w:val="1"/>
                <w:color w:val="auto"/>
              </w:rPr>
              <w:t>2016</w:t>
            </w:r>
          </w:p>
        </w:tc>
        <w:tc>
          <w:tcPr>
            <w:tcW w:w="240" w:type="dxa"/>
            <w:vAlign w:val="bottom"/>
            <w:tcBorders>
              <w:bottom w:val="single" w:sz="8" w:color="CFF0FC"/>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294"/>
              <w:spacing w:after="0"/>
              <w:rPr>
                <w:sz w:val="20"/>
                <w:szCs w:val="20"/>
                <w:color w:val="auto"/>
              </w:rPr>
            </w:pPr>
            <w:r>
              <w:rPr>
                <w:rFonts w:ascii="Arial" w:cs="Arial" w:eastAsia="Arial" w:hAnsi="Arial"/>
                <w:sz w:val="14"/>
                <w:szCs w:val="14"/>
                <w:b w:val="1"/>
                <w:bCs w:val="1"/>
                <w:color w:val="auto"/>
              </w:rPr>
              <w:t>2015</w:t>
            </w:r>
          </w:p>
        </w:tc>
        <w:tc>
          <w:tcPr>
            <w:tcW w:w="100" w:type="dxa"/>
            <w:vAlign w:val="bottom"/>
            <w:tcBorders>
              <w:bottom w:val="single" w:sz="8" w:color="CFF0FC"/>
            </w:tcBorders>
          </w:tcPr>
          <w:p>
            <w:pPr>
              <w:spacing w:after="0"/>
              <w:rPr>
                <w:sz w:val="18"/>
                <w:szCs w:val="18"/>
                <w:color w:val="auto"/>
              </w:rPr>
            </w:pPr>
          </w:p>
        </w:tc>
      </w:tr>
      <w:tr>
        <w:trPr>
          <w:trHeight w:val="210"/>
        </w:trPr>
        <w:tc>
          <w:tcPr>
            <w:tcW w:w="3700" w:type="dxa"/>
            <w:vAlign w:val="bottom"/>
            <w:shd w:val="clear" w:color="auto" w:fill="CFF0FC"/>
          </w:tcPr>
          <w:p>
            <w:pPr>
              <w:spacing w:after="0"/>
              <w:rPr>
                <w:sz w:val="20"/>
                <w:szCs w:val="20"/>
                <w:color w:val="auto"/>
              </w:rPr>
            </w:pPr>
            <w:r>
              <w:rPr>
                <w:rFonts w:ascii="Arial" w:cs="Arial" w:eastAsia="Arial" w:hAnsi="Arial"/>
                <w:sz w:val="18"/>
                <w:szCs w:val="18"/>
                <w:color w:val="auto"/>
              </w:rPr>
              <w:t>Cost of revenues</w:t>
            </w:r>
          </w:p>
        </w:tc>
        <w:tc>
          <w:tcPr>
            <w:tcW w:w="178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4,797</w:t>
            </w:r>
          </w:p>
        </w:tc>
        <w:tc>
          <w:tcPr>
            <w:tcW w:w="44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6,863</w:t>
            </w:r>
          </w:p>
        </w:tc>
        <w:tc>
          <w:tcPr>
            <w:tcW w:w="44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6,847</w:t>
            </w:r>
          </w:p>
        </w:tc>
        <w:tc>
          <w:tcPr>
            <w:tcW w:w="48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6,368</w:t>
            </w:r>
          </w:p>
        </w:tc>
        <w:tc>
          <w:tcPr>
            <w:tcW w:w="240" w:type="dxa"/>
            <w:vAlign w:val="bottom"/>
            <w:shd w:val="clear" w:color="auto" w:fill="CFF0FC"/>
          </w:tcPr>
          <w:p>
            <w:pPr>
              <w:spacing w:after="0"/>
              <w:rPr>
                <w:sz w:val="18"/>
                <w:szCs w:val="18"/>
                <w:color w:val="auto"/>
              </w:rPr>
            </w:pPr>
          </w:p>
        </w:tc>
        <w:tc>
          <w:tcPr>
            <w:tcW w:w="2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6,139</w:t>
            </w:r>
          </w:p>
        </w:tc>
        <w:tc>
          <w:tcPr>
            <w:tcW w:w="100" w:type="dxa"/>
            <w:vAlign w:val="bottom"/>
            <w:shd w:val="clear" w:color="auto" w:fill="CFF0FC"/>
          </w:tcPr>
          <w:p>
            <w:pPr>
              <w:spacing w:after="0"/>
              <w:rPr>
                <w:sz w:val="18"/>
                <w:szCs w:val="18"/>
                <w:color w:val="auto"/>
              </w:rPr>
            </w:pPr>
          </w:p>
        </w:tc>
      </w:tr>
      <w:tr>
        <w:trPr>
          <w:trHeight w:val="216"/>
        </w:trPr>
        <w:tc>
          <w:tcPr>
            <w:tcW w:w="3700" w:type="dxa"/>
            <w:vAlign w:val="bottom"/>
          </w:tcPr>
          <w:p>
            <w:pPr>
              <w:spacing w:after="0"/>
              <w:rPr>
                <w:sz w:val="20"/>
                <w:szCs w:val="20"/>
                <w:color w:val="auto"/>
              </w:rPr>
            </w:pPr>
            <w:r>
              <w:rPr>
                <w:rFonts w:ascii="Arial" w:cs="Arial" w:eastAsia="Arial" w:hAnsi="Arial"/>
                <w:sz w:val="18"/>
                <w:szCs w:val="18"/>
                <w:color w:val="auto"/>
              </w:rPr>
              <w:t>Sales and marketing</w:t>
            </w:r>
          </w:p>
        </w:tc>
        <w:tc>
          <w:tcPr>
            <w:tcW w:w="15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3,872</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3,887</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3,872</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3,605</w:t>
            </w: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3,487</w:t>
            </w:r>
          </w:p>
        </w:tc>
        <w:tc>
          <w:tcPr>
            <w:tcW w:w="100" w:type="dxa"/>
            <w:vAlign w:val="bottom"/>
          </w:tcPr>
          <w:p>
            <w:pPr>
              <w:spacing w:after="0"/>
              <w:rPr>
                <w:sz w:val="18"/>
                <w:szCs w:val="18"/>
                <w:color w:val="auto"/>
              </w:rPr>
            </w:pPr>
          </w:p>
        </w:tc>
      </w:tr>
      <w:tr>
        <w:trPr>
          <w:trHeight w:val="216"/>
        </w:trPr>
        <w:tc>
          <w:tcPr>
            <w:tcW w:w="3700" w:type="dxa"/>
            <w:vAlign w:val="bottom"/>
            <w:shd w:val="clear" w:color="auto" w:fill="CFF0FC"/>
          </w:tcPr>
          <w:p>
            <w:pPr>
              <w:spacing w:after="0"/>
              <w:rPr>
                <w:sz w:val="20"/>
                <w:szCs w:val="20"/>
                <w:color w:val="auto"/>
              </w:rPr>
            </w:pPr>
            <w:r>
              <w:rPr>
                <w:rFonts w:ascii="Arial" w:cs="Arial" w:eastAsia="Arial" w:hAnsi="Arial"/>
                <w:sz w:val="18"/>
                <w:szCs w:val="18"/>
                <w:color w:val="auto"/>
              </w:rPr>
              <w:t>General and administrative</w:t>
            </w:r>
          </w:p>
        </w:tc>
        <w:tc>
          <w:tcPr>
            <w:tcW w:w="1540" w:type="dxa"/>
            <w:vAlign w:val="bottom"/>
            <w:shd w:val="clear" w:color="auto" w:fill="CFF0FC"/>
          </w:tcPr>
          <w:p>
            <w:pPr>
              <w:spacing w:after="0"/>
              <w:rPr>
                <w:sz w:val="18"/>
                <w:szCs w:val="18"/>
                <w:color w:val="auto"/>
              </w:rPr>
            </w:pPr>
          </w:p>
        </w:tc>
        <w:tc>
          <w:tcPr>
            <w:tcW w:w="240" w:type="dxa"/>
            <w:vAlign w:val="bottom"/>
            <w:tcBorders>
              <w:bottom w:val="single" w:sz="8" w:color="auto"/>
            </w:tcBorders>
            <w:shd w:val="clear" w:color="auto" w:fill="CFF0FC"/>
          </w:tcPr>
          <w:p>
            <w:pPr>
              <w:spacing w:after="0"/>
              <w:rPr>
                <w:sz w:val="18"/>
                <w:szCs w:val="18"/>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1,596</w:t>
            </w:r>
          </w:p>
        </w:tc>
        <w:tc>
          <w:tcPr>
            <w:tcW w:w="220" w:type="dxa"/>
            <w:vAlign w:val="bottom"/>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spacing w:after="0"/>
              <w:rPr>
                <w:sz w:val="18"/>
                <w:szCs w:val="18"/>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2,273</w:t>
            </w:r>
          </w:p>
        </w:tc>
        <w:tc>
          <w:tcPr>
            <w:tcW w:w="220" w:type="dxa"/>
            <w:vAlign w:val="bottom"/>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spacing w:after="0"/>
              <w:rPr>
                <w:sz w:val="18"/>
                <w:szCs w:val="18"/>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2,591</w:t>
            </w:r>
          </w:p>
        </w:tc>
        <w:tc>
          <w:tcPr>
            <w:tcW w:w="240" w:type="dxa"/>
            <w:vAlign w:val="bottom"/>
            <w:shd w:val="clear" w:color="auto" w:fill="CFF0FC"/>
          </w:tcPr>
          <w:p>
            <w:pPr>
              <w:spacing w:after="0"/>
              <w:rPr>
                <w:sz w:val="18"/>
                <w:szCs w:val="18"/>
                <w:color w:val="auto"/>
              </w:rPr>
            </w:pPr>
          </w:p>
        </w:tc>
        <w:tc>
          <w:tcPr>
            <w:tcW w:w="240" w:type="dxa"/>
            <w:vAlign w:val="bottom"/>
            <w:tcBorders>
              <w:bottom w:val="single" w:sz="8" w:color="auto"/>
            </w:tcBorders>
            <w:shd w:val="clear" w:color="auto" w:fill="CFF0FC"/>
          </w:tcPr>
          <w:p>
            <w:pPr>
              <w:spacing w:after="0"/>
              <w:rPr>
                <w:sz w:val="18"/>
                <w:szCs w:val="18"/>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2,532</w:t>
            </w:r>
          </w:p>
        </w:tc>
        <w:tc>
          <w:tcPr>
            <w:tcW w:w="240" w:type="dxa"/>
            <w:vAlign w:val="bottom"/>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spacing w:after="0"/>
              <w:rPr>
                <w:sz w:val="18"/>
                <w:szCs w:val="18"/>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2,466</w:t>
            </w:r>
          </w:p>
        </w:tc>
        <w:tc>
          <w:tcPr>
            <w:tcW w:w="100" w:type="dxa"/>
            <w:vAlign w:val="bottom"/>
            <w:shd w:val="clear" w:color="auto" w:fill="CFF0FC"/>
          </w:tcPr>
          <w:p>
            <w:pPr>
              <w:spacing w:after="0"/>
              <w:rPr>
                <w:sz w:val="18"/>
                <w:szCs w:val="18"/>
                <w:color w:val="auto"/>
              </w:rPr>
            </w:pPr>
          </w:p>
        </w:tc>
      </w:tr>
      <w:tr>
        <w:trPr>
          <w:trHeight w:val="210"/>
        </w:trPr>
        <w:tc>
          <w:tcPr>
            <w:tcW w:w="3700" w:type="dxa"/>
            <w:vAlign w:val="bottom"/>
          </w:tcPr>
          <w:p>
            <w:pPr>
              <w:spacing w:after="0"/>
              <w:rPr>
                <w:sz w:val="18"/>
                <w:szCs w:val="18"/>
                <w:color w:val="auto"/>
              </w:rPr>
            </w:pPr>
          </w:p>
        </w:tc>
        <w:tc>
          <w:tcPr>
            <w:tcW w:w="17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10,265</w:t>
            </w:r>
          </w:p>
        </w:tc>
        <w:tc>
          <w:tcPr>
            <w:tcW w:w="4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13,023</w:t>
            </w:r>
          </w:p>
        </w:tc>
        <w:tc>
          <w:tcPr>
            <w:tcW w:w="4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13,310</w:t>
            </w:r>
          </w:p>
        </w:tc>
        <w:tc>
          <w:tcPr>
            <w:tcW w:w="4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12,505</w:t>
            </w:r>
          </w:p>
        </w:tc>
        <w:tc>
          <w:tcPr>
            <w:tcW w:w="240" w:type="dxa"/>
            <w:vAlign w:val="bottom"/>
          </w:tcPr>
          <w:p>
            <w:pPr>
              <w:spacing w:after="0"/>
              <w:rPr>
                <w:sz w:val="18"/>
                <w:szCs w:val="18"/>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12,092</w:t>
            </w:r>
          </w:p>
        </w:tc>
        <w:tc>
          <w:tcPr>
            <w:tcW w:w="100" w:type="dxa"/>
            <w:vAlign w:val="bottom"/>
          </w:tcPr>
          <w:p>
            <w:pPr>
              <w:spacing w:after="0"/>
              <w:rPr>
                <w:sz w:val="18"/>
                <w:szCs w:val="18"/>
                <w:color w:val="auto"/>
              </w:rPr>
            </w:pPr>
          </w:p>
        </w:tc>
      </w:tr>
      <w:tr>
        <w:trPr>
          <w:trHeight w:val="20"/>
        </w:trPr>
        <w:tc>
          <w:tcPr>
            <w:tcW w:w="370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15" w:lineRule="exact"/>
        <w:rPr>
          <w:sz w:val="20"/>
          <w:szCs w:val="20"/>
          <w:color w:val="auto"/>
        </w:rPr>
      </w:pPr>
    </w:p>
    <w:p>
      <w:pPr>
        <w:ind w:left="520" w:right="340" w:hanging="512"/>
        <w:spacing w:after="0" w:line="246" w:lineRule="auto"/>
        <w:tabs>
          <w:tab w:leader="none" w:pos="520" w:val="left"/>
        </w:tabs>
        <w:numPr>
          <w:ilvl w:val="0"/>
          <w:numId w:val="22"/>
        </w:numPr>
        <w:rPr>
          <w:rFonts w:ascii="Arial" w:cs="Arial" w:eastAsia="Arial" w:hAnsi="Arial"/>
          <w:sz w:val="18"/>
          <w:szCs w:val="18"/>
          <w:i w:val="1"/>
          <w:iCs w:val="1"/>
          <w:color w:val="auto"/>
        </w:rPr>
      </w:pPr>
      <w:r>
        <w:rPr>
          <w:rFonts w:ascii="Arial" w:cs="Arial" w:eastAsia="Arial" w:hAnsi="Arial"/>
          <w:sz w:val="18"/>
          <w:szCs w:val="18"/>
          <w:color w:val="auto"/>
        </w:rPr>
        <w:t>General and administrative expenses include increases in fair value of contingent consideration of $46,000, $0.5 million, $0.6 million, $0.4 million, and $41,000, for the years ended December 31, 2019, 2018, 2017, 2016, and 2015, respectively.</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Consolidated Balance Sheet Data (in thousands):</w:t>
      </w:r>
    </w:p>
    <w:p>
      <w:pPr>
        <w:spacing w:after="0" w:line="302"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44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4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December 31,</w:t>
            </w:r>
          </w:p>
        </w:tc>
        <w:tc>
          <w:tcPr>
            <w:tcW w:w="24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r>
      <w:tr>
        <w:trPr>
          <w:trHeight w:val="210"/>
        </w:trPr>
        <w:tc>
          <w:tcPr>
            <w:tcW w:w="4480" w:type="dxa"/>
            <w:vAlign w:val="bottom"/>
            <w:tcBorders>
              <w:bottom w:val="single" w:sz="8" w:color="CFF0FC"/>
            </w:tcBorders>
          </w:tcPr>
          <w:p>
            <w:pPr>
              <w:spacing w:after="0"/>
              <w:rPr>
                <w:sz w:val="18"/>
                <w:szCs w:val="18"/>
                <w:color w:val="auto"/>
              </w:rPr>
            </w:pPr>
          </w:p>
        </w:tc>
        <w:tc>
          <w:tcPr>
            <w:tcW w:w="760" w:type="dxa"/>
            <w:vAlign w:val="bottom"/>
            <w:tcBorders>
              <w:bottom w:val="single" w:sz="8" w:color="CFF0FC"/>
            </w:tcBorders>
          </w:tcPr>
          <w:p>
            <w:pPr>
              <w:spacing w:after="0"/>
              <w:rPr>
                <w:sz w:val="18"/>
                <w:szCs w:val="18"/>
                <w:color w:val="auto"/>
              </w:rPr>
            </w:pPr>
          </w:p>
        </w:tc>
        <w:tc>
          <w:tcPr>
            <w:tcW w:w="1040" w:type="dxa"/>
            <w:vAlign w:val="bottom"/>
            <w:tcBorders>
              <w:bottom w:val="single" w:sz="8" w:color="auto"/>
            </w:tcBorders>
          </w:tcPr>
          <w:p>
            <w:pPr>
              <w:jc w:val="right"/>
              <w:ind w:right="196"/>
              <w:spacing w:after="0"/>
              <w:rPr>
                <w:sz w:val="20"/>
                <w:szCs w:val="20"/>
                <w:color w:val="auto"/>
              </w:rPr>
            </w:pPr>
            <w:r>
              <w:rPr>
                <w:rFonts w:ascii="Arial" w:cs="Arial" w:eastAsia="Arial" w:hAnsi="Arial"/>
                <w:sz w:val="14"/>
                <w:szCs w:val="14"/>
                <w:b w:val="1"/>
                <w:bCs w:val="1"/>
                <w:color w:val="auto"/>
              </w:rPr>
              <w:t>2019(1)</w:t>
            </w:r>
          </w:p>
        </w:tc>
        <w:tc>
          <w:tcPr>
            <w:tcW w:w="220" w:type="dxa"/>
            <w:vAlign w:val="bottom"/>
            <w:tcBorders>
              <w:bottom w:val="single" w:sz="8" w:color="CFF0FC"/>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112"/>
              <w:spacing w:after="0"/>
              <w:rPr>
                <w:sz w:val="20"/>
                <w:szCs w:val="20"/>
                <w:color w:val="auto"/>
              </w:rPr>
            </w:pPr>
            <w:r>
              <w:rPr>
                <w:rFonts w:ascii="Arial" w:cs="Arial" w:eastAsia="Arial" w:hAnsi="Arial"/>
                <w:sz w:val="14"/>
                <w:szCs w:val="14"/>
                <w:b w:val="1"/>
                <w:bCs w:val="1"/>
                <w:color w:val="auto"/>
              </w:rPr>
              <w:t>2018(1)(2)</w:t>
            </w:r>
          </w:p>
        </w:tc>
        <w:tc>
          <w:tcPr>
            <w:tcW w:w="220" w:type="dxa"/>
            <w:vAlign w:val="bottom"/>
            <w:tcBorders>
              <w:bottom w:val="single" w:sz="8" w:color="CFF0FC"/>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92"/>
              <w:spacing w:after="0"/>
              <w:rPr>
                <w:sz w:val="20"/>
                <w:szCs w:val="20"/>
                <w:color w:val="auto"/>
              </w:rPr>
            </w:pPr>
            <w:r>
              <w:rPr>
                <w:rFonts w:ascii="Arial" w:cs="Arial" w:eastAsia="Arial" w:hAnsi="Arial"/>
                <w:sz w:val="14"/>
                <w:szCs w:val="14"/>
                <w:b w:val="1"/>
                <w:bCs w:val="1"/>
                <w:color w:val="auto"/>
              </w:rPr>
              <w:t>2017(1)(2)</w:t>
            </w:r>
          </w:p>
        </w:tc>
        <w:tc>
          <w:tcPr>
            <w:tcW w:w="240" w:type="dxa"/>
            <w:vAlign w:val="bottom"/>
            <w:tcBorders>
              <w:bottom w:val="single" w:sz="8" w:color="CFF0FC"/>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92"/>
              <w:spacing w:after="0"/>
              <w:rPr>
                <w:sz w:val="20"/>
                <w:szCs w:val="20"/>
                <w:color w:val="auto"/>
              </w:rPr>
            </w:pPr>
            <w:r>
              <w:rPr>
                <w:rFonts w:ascii="Arial" w:cs="Arial" w:eastAsia="Arial" w:hAnsi="Arial"/>
                <w:sz w:val="14"/>
                <w:szCs w:val="14"/>
                <w:b w:val="1"/>
                <w:bCs w:val="1"/>
                <w:color w:val="auto"/>
              </w:rPr>
              <w:t>2016(1)(2)</w:t>
            </w:r>
          </w:p>
        </w:tc>
        <w:tc>
          <w:tcPr>
            <w:tcW w:w="240" w:type="dxa"/>
            <w:vAlign w:val="bottom"/>
            <w:tcBorders>
              <w:bottom w:val="single" w:sz="8" w:color="CFF0FC"/>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192"/>
              <w:spacing w:after="0"/>
              <w:rPr>
                <w:sz w:val="20"/>
                <w:szCs w:val="20"/>
                <w:color w:val="auto"/>
              </w:rPr>
            </w:pPr>
            <w:r>
              <w:rPr>
                <w:rFonts w:ascii="Arial" w:cs="Arial" w:eastAsia="Arial" w:hAnsi="Arial"/>
                <w:sz w:val="14"/>
                <w:szCs w:val="14"/>
                <w:b w:val="1"/>
                <w:bCs w:val="1"/>
                <w:color w:val="auto"/>
              </w:rPr>
              <w:t>2015(1)</w:t>
            </w:r>
          </w:p>
        </w:tc>
        <w:tc>
          <w:tcPr>
            <w:tcW w:w="100" w:type="dxa"/>
            <w:vAlign w:val="bottom"/>
            <w:tcBorders>
              <w:bottom w:val="single" w:sz="8" w:color="CFF0FC"/>
            </w:tcBorders>
          </w:tcPr>
          <w:p>
            <w:pPr>
              <w:spacing w:after="0"/>
              <w:rPr>
                <w:sz w:val="18"/>
                <w:szCs w:val="18"/>
                <w:color w:val="auto"/>
              </w:rPr>
            </w:pPr>
          </w:p>
        </w:tc>
      </w:tr>
      <w:tr>
        <w:trPr>
          <w:trHeight w:val="210"/>
        </w:trPr>
        <w:tc>
          <w:tcPr>
            <w:tcW w:w="4480" w:type="dxa"/>
            <w:vAlign w:val="bottom"/>
            <w:shd w:val="clear" w:color="auto" w:fill="CFF0FC"/>
          </w:tcPr>
          <w:p>
            <w:pPr>
              <w:spacing w:after="0"/>
              <w:rPr>
                <w:sz w:val="20"/>
                <w:szCs w:val="20"/>
                <w:color w:val="auto"/>
              </w:rPr>
            </w:pPr>
            <w:r>
              <w:rPr>
                <w:rFonts w:ascii="Arial" w:cs="Arial" w:eastAsia="Arial" w:hAnsi="Arial"/>
                <w:sz w:val="18"/>
                <w:szCs w:val="18"/>
                <w:color w:val="auto"/>
              </w:rPr>
              <w:t>Cash and cash equivalents</w:t>
            </w:r>
          </w:p>
        </w:tc>
        <w:tc>
          <w:tcPr>
            <w:tcW w:w="18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   120,232</w:t>
            </w:r>
          </w:p>
        </w:tc>
        <w:tc>
          <w:tcPr>
            <w:tcW w:w="3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46,181</w:t>
            </w:r>
          </w:p>
        </w:tc>
        <w:tc>
          <w:tcPr>
            <w:tcW w:w="3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31,104</w:t>
            </w:r>
          </w:p>
        </w:tc>
        <w:tc>
          <w:tcPr>
            <w:tcW w:w="38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22,118</w:t>
            </w:r>
          </w:p>
        </w:tc>
        <w:tc>
          <w:tcPr>
            <w:tcW w:w="42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15,205</w:t>
            </w:r>
          </w:p>
        </w:tc>
        <w:tc>
          <w:tcPr>
            <w:tcW w:w="100" w:type="dxa"/>
            <w:vAlign w:val="bottom"/>
            <w:shd w:val="clear" w:color="auto" w:fill="CFF0FC"/>
          </w:tcPr>
          <w:p>
            <w:pPr>
              <w:spacing w:after="0"/>
              <w:rPr>
                <w:sz w:val="18"/>
                <w:szCs w:val="18"/>
                <w:color w:val="auto"/>
              </w:rPr>
            </w:pPr>
          </w:p>
        </w:tc>
      </w:tr>
      <w:tr>
        <w:trPr>
          <w:trHeight w:val="216"/>
        </w:trPr>
        <w:tc>
          <w:tcPr>
            <w:tcW w:w="4480" w:type="dxa"/>
            <w:vAlign w:val="bottom"/>
          </w:tcPr>
          <w:p>
            <w:pPr>
              <w:spacing w:after="0"/>
              <w:rPr>
                <w:sz w:val="20"/>
                <w:szCs w:val="20"/>
                <w:color w:val="auto"/>
              </w:rPr>
            </w:pPr>
            <w:r>
              <w:rPr>
                <w:rFonts w:ascii="Arial" w:cs="Arial" w:eastAsia="Arial" w:hAnsi="Arial"/>
                <w:sz w:val="18"/>
                <w:szCs w:val="18"/>
                <w:color w:val="auto"/>
              </w:rPr>
              <w:t>Marketable securities</w:t>
            </w:r>
          </w:p>
        </w:tc>
        <w:tc>
          <w:tcPr>
            <w:tcW w:w="1800" w:type="dxa"/>
            <w:vAlign w:val="bottom"/>
            <w:gridSpan w:val="2"/>
          </w:tcPr>
          <w:p>
            <w:pPr>
              <w:jc w:val="right"/>
              <w:spacing w:after="0"/>
              <w:rPr>
                <w:sz w:val="20"/>
                <w:szCs w:val="20"/>
                <w:color w:val="auto"/>
              </w:rPr>
            </w:pPr>
            <w:r>
              <w:rPr>
                <w:rFonts w:ascii="Arial" w:cs="Arial" w:eastAsia="Arial" w:hAnsi="Arial"/>
                <w:sz w:val="18"/>
                <w:szCs w:val="18"/>
                <w:color w:val="auto"/>
              </w:rPr>
              <w:t>487,515</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86,396</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81,476</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83,130</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r>
      <w:tr>
        <w:trPr>
          <w:trHeight w:val="216"/>
        </w:trPr>
        <w:tc>
          <w:tcPr>
            <w:tcW w:w="4480" w:type="dxa"/>
            <w:vAlign w:val="bottom"/>
            <w:shd w:val="clear" w:color="auto" w:fill="CFF0FC"/>
          </w:tcPr>
          <w:p>
            <w:pPr>
              <w:spacing w:after="0"/>
              <w:rPr>
                <w:sz w:val="20"/>
                <w:szCs w:val="20"/>
                <w:color w:val="auto"/>
              </w:rPr>
            </w:pPr>
            <w:r>
              <w:rPr>
                <w:rFonts w:ascii="Arial" w:cs="Arial" w:eastAsia="Arial" w:hAnsi="Arial"/>
                <w:sz w:val="18"/>
                <w:szCs w:val="18"/>
                <w:color w:val="auto"/>
              </w:rPr>
              <w:t>Total assets</w:t>
            </w:r>
          </w:p>
        </w:tc>
        <w:tc>
          <w:tcPr>
            <w:tcW w:w="18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1,014,552</w:t>
            </w:r>
          </w:p>
        </w:tc>
        <w:tc>
          <w:tcPr>
            <w:tcW w:w="2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493,481</w:t>
            </w:r>
          </w:p>
        </w:tc>
        <w:tc>
          <w:tcPr>
            <w:tcW w:w="2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460,722</w:t>
            </w:r>
          </w:p>
        </w:tc>
        <w:tc>
          <w:tcPr>
            <w:tcW w:w="2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434,205</w:t>
            </w:r>
          </w:p>
        </w:tc>
        <w:tc>
          <w:tcPr>
            <w:tcW w:w="2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286,750</w:t>
            </w:r>
          </w:p>
        </w:tc>
        <w:tc>
          <w:tcPr>
            <w:tcW w:w="100" w:type="dxa"/>
            <w:vAlign w:val="bottom"/>
            <w:shd w:val="clear" w:color="auto" w:fill="CFF0FC"/>
          </w:tcPr>
          <w:p>
            <w:pPr>
              <w:spacing w:after="0"/>
              <w:rPr>
                <w:sz w:val="18"/>
                <w:szCs w:val="18"/>
                <w:color w:val="auto"/>
              </w:rPr>
            </w:pPr>
          </w:p>
        </w:tc>
      </w:tr>
      <w:tr>
        <w:trPr>
          <w:trHeight w:val="216"/>
        </w:trPr>
        <w:tc>
          <w:tcPr>
            <w:tcW w:w="4480" w:type="dxa"/>
            <w:vAlign w:val="bottom"/>
          </w:tcPr>
          <w:p>
            <w:pPr>
              <w:spacing w:after="0"/>
              <w:rPr>
                <w:sz w:val="20"/>
                <w:szCs w:val="20"/>
                <w:color w:val="auto"/>
              </w:rPr>
            </w:pPr>
            <w:r>
              <w:rPr>
                <w:rFonts w:ascii="Arial" w:cs="Arial" w:eastAsia="Arial" w:hAnsi="Arial"/>
                <w:sz w:val="18"/>
                <w:szCs w:val="18"/>
                <w:color w:val="auto"/>
              </w:rPr>
              <w:t>Deferred revenue</w:t>
            </w:r>
          </w:p>
        </w:tc>
        <w:tc>
          <w:tcPr>
            <w:tcW w:w="1800" w:type="dxa"/>
            <w:vAlign w:val="bottom"/>
            <w:gridSpan w:val="2"/>
          </w:tcPr>
          <w:p>
            <w:pPr>
              <w:jc w:val="right"/>
              <w:spacing w:after="0"/>
              <w:rPr>
                <w:sz w:val="20"/>
                <w:szCs w:val="20"/>
                <w:color w:val="auto"/>
              </w:rPr>
            </w:pPr>
            <w:r>
              <w:rPr>
                <w:rFonts w:ascii="Arial" w:cs="Arial" w:eastAsia="Arial" w:hAnsi="Arial"/>
                <w:sz w:val="18"/>
                <w:szCs w:val="18"/>
                <w:color w:val="auto"/>
              </w:rPr>
              <w:t>162,552</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129,074</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104,184</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77,660</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52,750</w:t>
            </w:r>
          </w:p>
        </w:tc>
        <w:tc>
          <w:tcPr>
            <w:tcW w:w="100" w:type="dxa"/>
            <w:vAlign w:val="bottom"/>
          </w:tcPr>
          <w:p>
            <w:pPr>
              <w:spacing w:after="0"/>
              <w:rPr>
                <w:sz w:val="18"/>
                <w:szCs w:val="18"/>
                <w:color w:val="auto"/>
              </w:rPr>
            </w:pPr>
          </w:p>
        </w:tc>
      </w:tr>
      <w:tr>
        <w:trPr>
          <w:trHeight w:val="216"/>
        </w:trPr>
        <w:tc>
          <w:tcPr>
            <w:tcW w:w="4480" w:type="dxa"/>
            <w:vAlign w:val="bottom"/>
            <w:shd w:val="clear" w:color="auto" w:fill="CFF0FC"/>
          </w:tcPr>
          <w:p>
            <w:pPr>
              <w:spacing w:after="0"/>
              <w:rPr>
                <w:sz w:val="20"/>
                <w:szCs w:val="20"/>
                <w:color w:val="auto"/>
              </w:rPr>
            </w:pPr>
            <w:r>
              <w:rPr>
                <w:rFonts w:ascii="Arial" w:cs="Arial" w:eastAsia="Arial" w:hAnsi="Arial"/>
                <w:sz w:val="18"/>
                <w:szCs w:val="18"/>
                <w:color w:val="auto"/>
              </w:rPr>
              <w:t>Deferred revenue, noncurrent</w:t>
            </w:r>
          </w:p>
        </w:tc>
        <w:tc>
          <w:tcPr>
            <w:tcW w:w="18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163</w:t>
            </w:r>
          </w:p>
        </w:tc>
        <w:tc>
          <w:tcPr>
            <w:tcW w:w="2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277</w:t>
            </w:r>
          </w:p>
        </w:tc>
        <w:tc>
          <w:tcPr>
            <w:tcW w:w="2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468</w:t>
            </w:r>
          </w:p>
        </w:tc>
        <w:tc>
          <w:tcPr>
            <w:tcW w:w="2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489</w:t>
            </w:r>
          </w:p>
        </w:tc>
        <w:tc>
          <w:tcPr>
            <w:tcW w:w="2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96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r>
      <w:tr>
        <w:trPr>
          <w:trHeight w:val="216"/>
        </w:trPr>
        <w:tc>
          <w:tcPr>
            <w:tcW w:w="4480" w:type="dxa"/>
            <w:vAlign w:val="bottom"/>
          </w:tcPr>
          <w:p>
            <w:pPr>
              <w:spacing w:after="0"/>
              <w:rPr>
                <w:sz w:val="20"/>
                <w:szCs w:val="20"/>
                <w:color w:val="auto"/>
              </w:rPr>
            </w:pPr>
            <w:r>
              <w:rPr>
                <w:rFonts w:ascii="Arial" w:cs="Arial" w:eastAsia="Arial" w:hAnsi="Arial"/>
                <w:sz w:val="18"/>
                <w:szCs w:val="18"/>
                <w:color w:val="auto"/>
              </w:rPr>
              <w:t>Capital lease obligations, net of current portion</w:t>
            </w:r>
          </w:p>
        </w:tc>
        <w:tc>
          <w:tcPr>
            <w:tcW w:w="76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558</w:t>
            </w:r>
          </w:p>
        </w:tc>
        <w:tc>
          <w:tcPr>
            <w:tcW w:w="100" w:type="dxa"/>
            <w:vAlign w:val="bottom"/>
          </w:tcPr>
          <w:p>
            <w:pPr>
              <w:spacing w:after="0"/>
              <w:rPr>
                <w:sz w:val="18"/>
                <w:szCs w:val="18"/>
                <w:color w:val="auto"/>
              </w:rPr>
            </w:pPr>
          </w:p>
        </w:tc>
      </w:tr>
      <w:tr>
        <w:trPr>
          <w:trHeight w:val="216"/>
        </w:trPr>
        <w:tc>
          <w:tcPr>
            <w:tcW w:w="4480" w:type="dxa"/>
            <w:vAlign w:val="bottom"/>
            <w:shd w:val="clear" w:color="auto" w:fill="CFF0FC"/>
          </w:tcPr>
          <w:p>
            <w:pPr>
              <w:spacing w:after="0"/>
              <w:rPr>
                <w:sz w:val="20"/>
                <w:szCs w:val="20"/>
                <w:color w:val="auto"/>
              </w:rPr>
            </w:pPr>
            <w:r>
              <w:rPr>
                <w:rFonts w:ascii="Arial" w:cs="Arial" w:eastAsia="Arial" w:hAnsi="Arial"/>
                <w:sz w:val="18"/>
                <w:szCs w:val="18"/>
                <w:color w:val="auto"/>
              </w:rPr>
              <w:t>Long-term debt</w:t>
            </w:r>
          </w:p>
        </w:tc>
        <w:tc>
          <w:tcPr>
            <w:tcW w:w="760" w:type="dxa"/>
            <w:vAlign w:val="bottom"/>
            <w:shd w:val="clear" w:color="auto" w:fill="CFF0FC"/>
          </w:tcPr>
          <w:p>
            <w:pPr>
              <w:spacing w:after="0"/>
              <w:rPr>
                <w:sz w:val="18"/>
                <w:szCs w:val="18"/>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28,267</w:t>
            </w:r>
          </w:p>
        </w:tc>
        <w:tc>
          <w:tcPr>
            <w:tcW w:w="100" w:type="dxa"/>
            <w:vAlign w:val="bottom"/>
            <w:shd w:val="clear" w:color="auto" w:fill="CFF0FC"/>
          </w:tcPr>
          <w:p>
            <w:pPr>
              <w:spacing w:after="0"/>
              <w:rPr>
                <w:sz w:val="18"/>
                <w:szCs w:val="18"/>
                <w:color w:val="auto"/>
              </w:rPr>
            </w:pPr>
          </w:p>
        </w:tc>
      </w:tr>
      <w:tr>
        <w:trPr>
          <w:trHeight w:val="216"/>
        </w:trPr>
        <w:tc>
          <w:tcPr>
            <w:tcW w:w="4480" w:type="dxa"/>
            <w:vAlign w:val="bottom"/>
          </w:tcPr>
          <w:p>
            <w:pPr>
              <w:spacing w:after="0"/>
              <w:rPr>
                <w:sz w:val="20"/>
                <w:szCs w:val="20"/>
                <w:color w:val="auto"/>
              </w:rPr>
            </w:pPr>
            <w:r>
              <w:rPr>
                <w:rFonts w:ascii="Arial" w:cs="Arial" w:eastAsia="Arial" w:hAnsi="Arial"/>
                <w:sz w:val="18"/>
                <w:szCs w:val="18"/>
                <w:color w:val="auto"/>
              </w:rPr>
              <w:t>Convertible senior notes, net</w:t>
            </w:r>
          </w:p>
        </w:tc>
        <w:tc>
          <w:tcPr>
            <w:tcW w:w="1800" w:type="dxa"/>
            <w:vAlign w:val="bottom"/>
            <w:gridSpan w:val="2"/>
          </w:tcPr>
          <w:p>
            <w:pPr>
              <w:jc w:val="right"/>
              <w:spacing w:after="0"/>
              <w:rPr>
                <w:sz w:val="20"/>
                <w:szCs w:val="20"/>
                <w:color w:val="auto"/>
              </w:rPr>
            </w:pPr>
            <w:r>
              <w:rPr>
                <w:rFonts w:ascii="Arial" w:cs="Arial" w:eastAsia="Arial" w:hAnsi="Arial"/>
                <w:sz w:val="18"/>
                <w:szCs w:val="18"/>
                <w:color w:val="auto"/>
              </w:rPr>
              <w:t>384,343</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r>
      <w:tr>
        <w:trPr>
          <w:trHeight w:val="216"/>
        </w:trPr>
        <w:tc>
          <w:tcPr>
            <w:tcW w:w="4480" w:type="dxa"/>
            <w:vAlign w:val="bottom"/>
            <w:shd w:val="clear" w:color="auto" w:fill="CFF0FC"/>
          </w:tcPr>
          <w:p>
            <w:pPr>
              <w:spacing w:after="0"/>
              <w:rPr>
                <w:sz w:val="20"/>
                <w:szCs w:val="20"/>
                <w:color w:val="auto"/>
              </w:rPr>
            </w:pPr>
            <w:r>
              <w:rPr>
                <w:rFonts w:ascii="Arial" w:cs="Arial" w:eastAsia="Arial" w:hAnsi="Arial"/>
                <w:sz w:val="18"/>
                <w:szCs w:val="18"/>
                <w:color w:val="auto"/>
              </w:rPr>
              <w:t>Redeemable non-controlling interest</w:t>
            </w:r>
          </w:p>
        </w:tc>
        <w:tc>
          <w:tcPr>
            <w:tcW w:w="18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4,905</w:t>
            </w:r>
          </w:p>
        </w:tc>
        <w:tc>
          <w:tcPr>
            <w:tcW w:w="2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4,387</w:t>
            </w:r>
          </w:p>
        </w:tc>
        <w:tc>
          <w:tcPr>
            <w:tcW w:w="2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96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r>
      <w:tr>
        <w:trPr>
          <w:trHeight w:val="230"/>
        </w:trPr>
        <w:tc>
          <w:tcPr>
            <w:tcW w:w="4480" w:type="dxa"/>
            <w:vAlign w:val="bottom"/>
          </w:tcPr>
          <w:p>
            <w:pPr>
              <w:spacing w:after="0"/>
              <w:rPr>
                <w:sz w:val="20"/>
                <w:szCs w:val="20"/>
                <w:color w:val="auto"/>
              </w:rPr>
            </w:pPr>
            <w:r>
              <w:rPr>
                <w:rFonts w:ascii="Arial" w:cs="Arial" w:eastAsia="Arial" w:hAnsi="Arial"/>
                <w:sz w:val="18"/>
                <w:szCs w:val="18"/>
                <w:color w:val="auto"/>
              </w:rPr>
              <w:t>Total stockholders' equity</w:t>
            </w:r>
          </w:p>
        </w:tc>
        <w:tc>
          <w:tcPr>
            <w:tcW w:w="1800" w:type="dxa"/>
            <w:vAlign w:val="bottom"/>
            <w:gridSpan w:val="2"/>
          </w:tcPr>
          <w:p>
            <w:pPr>
              <w:jc w:val="right"/>
              <w:spacing w:after="0"/>
              <w:rPr>
                <w:sz w:val="20"/>
                <w:szCs w:val="20"/>
                <w:color w:val="auto"/>
              </w:rPr>
            </w:pPr>
            <w:r>
              <w:rPr>
                <w:rFonts w:ascii="Arial" w:cs="Arial" w:eastAsia="Arial" w:hAnsi="Arial"/>
                <w:sz w:val="18"/>
                <w:szCs w:val="18"/>
                <w:color w:val="auto"/>
              </w:rPr>
              <w:t>398,613</w:t>
            </w: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319,267</w:t>
            </w: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315,913</w:t>
            </w:r>
          </w:p>
        </w:tc>
        <w:tc>
          <w:tcPr>
            <w:tcW w:w="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308,042</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166,168</w:t>
            </w:r>
          </w:p>
        </w:tc>
        <w:tc>
          <w:tcPr>
            <w:tcW w:w="100" w:type="dxa"/>
            <w:vAlign w:val="bottom"/>
          </w:tcPr>
          <w:p>
            <w:pPr>
              <w:spacing w:after="0"/>
              <w:rPr>
                <w:sz w:val="19"/>
                <w:szCs w:val="19"/>
                <w:color w:val="auto"/>
              </w:rPr>
            </w:pPr>
          </w:p>
        </w:tc>
      </w:tr>
    </w:tbl>
    <w:p>
      <w:pPr>
        <w:spacing w:after="0" w:line="184" w:lineRule="exact"/>
        <w:rPr>
          <w:sz w:val="20"/>
          <w:szCs w:val="20"/>
          <w:color w:val="auto"/>
        </w:rPr>
      </w:pPr>
    </w:p>
    <w:p>
      <w:pPr>
        <w:ind w:left="520" w:right="140" w:hanging="512"/>
        <w:spacing w:after="0" w:line="251" w:lineRule="auto"/>
        <w:tabs>
          <w:tab w:leader="none" w:pos="5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 xml:space="preserve">On January 1, 2018, we adopted ASC 606, </w:t>
      </w:r>
      <w:r>
        <w:rPr>
          <w:rFonts w:ascii="Arial" w:cs="Arial" w:eastAsia="Arial" w:hAnsi="Arial"/>
          <w:sz w:val="18"/>
          <w:szCs w:val="18"/>
          <w:i w:val="1"/>
          <w:iCs w:val="1"/>
          <w:color w:val="auto"/>
        </w:rPr>
        <w:t>Revenue from Contracts with Customers</w:t>
      </w:r>
      <w:r>
        <w:rPr>
          <w:rFonts w:ascii="Arial" w:cs="Arial" w:eastAsia="Arial" w:hAnsi="Arial"/>
          <w:sz w:val="18"/>
          <w:szCs w:val="18"/>
          <w:color w:val="auto"/>
        </w:rPr>
        <w:t xml:space="preserve"> using the full retrospective method applied to all contracts. Balance sheet data for December 31, 2019, 2018, 2017, and 2016 is presented under ASC 606, while balance sheet data for December 31, 2015 has not been adjusted for ASC 606.</w:t>
      </w:r>
    </w:p>
    <w:p>
      <w:pPr>
        <w:spacing w:after="0" w:line="192" w:lineRule="exact"/>
        <w:rPr>
          <w:rFonts w:ascii="Arial" w:cs="Arial" w:eastAsia="Arial" w:hAnsi="Arial"/>
          <w:sz w:val="18"/>
          <w:szCs w:val="18"/>
          <w:color w:val="auto"/>
        </w:rPr>
      </w:pPr>
    </w:p>
    <w:p>
      <w:pPr>
        <w:ind w:left="520" w:right="240" w:hanging="512"/>
        <w:spacing w:after="0"/>
        <w:tabs>
          <w:tab w:leader="none" w:pos="5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Revised to correct for immaterial tax errors, which had previously resulted in the overstatement of total assets by $0.4 million, $0.1 million, and $0.1 million at December 31, 2018, 2017, and 2016, respectively, as well as total stockholders’ equity by $2.3 million, $1.4 million, and $1.0 million at December 31, 2018, 2017, and 2016, respectively.</w:t>
      </w: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2720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355" w:right="239" w:bottom="1440" w:gutter="0" w:footer="0" w:header="0"/>
        </w:sectPr>
      </w:pPr>
    </w:p>
    <w:bookmarkStart w:id="37" w:name="page38"/>
    <w:bookmarkEnd w:id="37"/>
    <w:p>
      <w:pPr>
        <w:spacing w:after="0"/>
        <w:tabs>
          <w:tab w:leader="none" w:pos="1020" w:val="left"/>
        </w:tabs>
        <w:rPr>
          <w:sz w:val="20"/>
          <w:szCs w:val="20"/>
          <w:color w:val="auto"/>
        </w:rPr>
      </w:pPr>
      <w:r>
        <w:rPr>
          <w:rFonts w:ascii="Arial" w:cs="Arial" w:eastAsia="Arial" w:hAnsi="Arial"/>
          <w:sz w:val="18"/>
          <w:szCs w:val="18"/>
          <w:b w:val="1"/>
          <w:bCs w:val="1"/>
          <w:color w:val="auto"/>
        </w:rPr>
        <w:t>Item 7.</w:t>
      </w:r>
      <w:r>
        <w:rPr>
          <w:sz w:val="20"/>
          <w:szCs w:val="20"/>
          <w:color w:val="auto"/>
        </w:rPr>
        <w:tab/>
      </w:r>
      <w:r>
        <w:rPr>
          <w:rFonts w:ascii="Arial" w:cs="Arial" w:eastAsia="Arial" w:hAnsi="Arial"/>
          <w:sz w:val="17"/>
          <w:szCs w:val="17"/>
          <w:b w:val="1"/>
          <w:bCs w:val="1"/>
          <w:i w:val="1"/>
          <w:iCs w:val="1"/>
          <w:color w:val="auto"/>
        </w:rPr>
        <w:t>Management’s Discussion and Analysis of Financial Condition and Results of Operations</w:t>
      </w:r>
    </w:p>
    <w:p>
      <w:pPr>
        <w:spacing w:after="0" w:line="108" w:lineRule="exact"/>
        <w:rPr>
          <w:sz w:val="20"/>
          <w:szCs w:val="20"/>
          <w:color w:val="auto"/>
        </w:rPr>
      </w:pPr>
    </w:p>
    <w:p>
      <w:pPr>
        <w:ind w:firstLine="518"/>
        <w:spacing w:after="0" w:line="242" w:lineRule="auto"/>
        <w:rPr>
          <w:sz w:val="20"/>
          <w:szCs w:val="20"/>
          <w:color w:val="auto"/>
        </w:rPr>
      </w:pPr>
      <w:r>
        <w:rPr>
          <w:rFonts w:ascii="Arial" w:cs="Arial" w:eastAsia="Arial" w:hAnsi="Arial"/>
          <w:sz w:val="18"/>
          <w:szCs w:val="18"/>
          <w:i w:val="1"/>
          <w:iCs w:val="1"/>
          <w:color w:val="auto"/>
        </w:rPr>
        <w:t>The following discussion of our financial condition and results of operations should be read together with the financial statements and the related notes set forth in Item 8, “Financial Statements and Supplementary Data.” The following discussion also contains forward-looking statements that involve a number of risks and uncertainties. See Part I, “Special Note Regarding Forward-Looking Statements” for a discussion of the forward-looking statements contained below and Part I, Item 1A, “Risk Factors” for a discussion of certain risks that could cause our actual results to differ materially from the results anticipated in such forward-looking statements.</w:t>
      </w:r>
    </w:p>
    <w:p>
      <w:pPr>
        <w:spacing w:after="0" w:line="77" w:lineRule="exact"/>
        <w:rPr>
          <w:sz w:val="20"/>
          <w:szCs w:val="20"/>
          <w:color w:val="auto"/>
        </w:rPr>
      </w:pPr>
    </w:p>
    <w:p>
      <w:pPr>
        <w:jc w:val="both"/>
        <w:ind w:right="260" w:firstLine="518"/>
        <w:spacing w:after="0" w:line="251" w:lineRule="auto"/>
        <w:rPr>
          <w:sz w:val="20"/>
          <w:szCs w:val="20"/>
          <w:color w:val="auto"/>
        </w:rPr>
      </w:pPr>
      <w:r>
        <w:rPr>
          <w:rFonts w:ascii="Arial" w:cs="Arial" w:eastAsia="Arial" w:hAnsi="Arial"/>
          <w:sz w:val="18"/>
          <w:szCs w:val="18"/>
          <w:i w:val="1"/>
          <w:iCs w:val="1"/>
          <w:color w:val="auto"/>
        </w:rPr>
        <w:t>The consolidated financial statements for the years ended December 31, 2019, 2018, and 2017 have been revised to correct for prior period errors as discussed in Item 8 — Note 2, “Significant Accounting Policies”. Accordingly, this Management's Discussion and Analysis of Financial Condition and Results of Operations reflect the effects of the revisions.</w:t>
      </w:r>
    </w:p>
    <w:p>
      <w:pPr>
        <w:spacing w:after="0" w:line="27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Overview</w:t>
      </w:r>
    </w:p>
    <w:p>
      <w:pPr>
        <w:spacing w:after="0" w:line="234" w:lineRule="exact"/>
        <w:rPr>
          <w:sz w:val="20"/>
          <w:szCs w:val="20"/>
          <w:color w:val="auto"/>
        </w:rPr>
      </w:pPr>
    </w:p>
    <w:p>
      <w:pPr>
        <w:ind w:right="60" w:firstLine="518"/>
        <w:spacing w:after="0" w:line="238" w:lineRule="auto"/>
        <w:rPr>
          <w:sz w:val="20"/>
          <w:szCs w:val="20"/>
          <w:color w:val="auto"/>
        </w:rPr>
      </w:pPr>
      <w:r>
        <w:rPr>
          <w:rFonts w:ascii="Arial" w:cs="Arial" w:eastAsia="Arial" w:hAnsi="Arial"/>
          <w:sz w:val="18"/>
          <w:szCs w:val="18"/>
          <w:color w:val="auto"/>
        </w:rPr>
        <w:t>We have created a comprehensive cloud-based software platform designed to transform and modernize accounting and finance operations for organizations of all types and sizes. Our secure, scalable platform supports critical accounting processes such as the financial close, account reconciliations, intercompany accounting, and controls assurance. By introducing software to automate these processes and to enable them to function continuously, we empower our customers to improve the integrity of their financial reporting, increase efficiency in their accounting and finance processes and enhance real-time visibility into their operations.</w:t>
      </w:r>
    </w:p>
    <w:p>
      <w:pPr>
        <w:spacing w:after="0" w:line="203" w:lineRule="exact"/>
        <w:rPr>
          <w:sz w:val="20"/>
          <w:szCs w:val="20"/>
          <w:color w:val="auto"/>
        </w:rPr>
      </w:pPr>
    </w:p>
    <w:p>
      <w:pPr>
        <w:ind w:right="260" w:firstLine="518"/>
        <w:spacing w:after="0"/>
        <w:rPr>
          <w:sz w:val="20"/>
          <w:szCs w:val="20"/>
          <w:color w:val="auto"/>
        </w:rPr>
      </w:pPr>
      <w:r>
        <w:rPr>
          <w:rFonts w:ascii="Arial" w:cs="Arial" w:eastAsia="Arial" w:hAnsi="Arial"/>
          <w:sz w:val="18"/>
          <w:szCs w:val="18"/>
          <w:color w:val="auto"/>
        </w:rPr>
        <w:t>At December 31, 2019, we had over 267,000 individual users across more than 3,000 customers exclusive of on-premise software. Additionally, we continue to build strategic relationships with technology vendors, professional services firms, business process outsourcers, and resellers.</w:t>
      </w:r>
    </w:p>
    <w:p>
      <w:pPr>
        <w:spacing w:after="0" w:line="203" w:lineRule="exact"/>
        <w:rPr>
          <w:sz w:val="20"/>
          <w:szCs w:val="20"/>
          <w:color w:val="auto"/>
        </w:rPr>
      </w:pPr>
    </w:p>
    <w:p>
      <w:pPr>
        <w:jc w:val="both"/>
        <w:ind w:right="560" w:firstLine="518"/>
        <w:spacing w:after="0" w:line="234" w:lineRule="auto"/>
        <w:rPr>
          <w:sz w:val="20"/>
          <w:szCs w:val="20"/>
          <w:color w:val="auto"/>
        </w:rPr>
      </w:pPr>
      <w:r>
        <w:rPr>
          <w:rFonts w:ascii="Arial" w:cs="Arial" w:eastAsia="Arial" w:hAnsi="Arial"/>
          <w:sz w:val="18"/>
          <w:szCs w:val="18"/>
          <w:color w:val="auto"/>
        </w:rPr>
        <w:t>We are a holding company and conduct our operations through our wholly-owned subsidiary, BlackLine Systems, Inc. (“BlackLine Systems”). BlackLine Systems funded its business with investments from our founder and cash flows from operations until September 3,</w:t>
      </w:r>
    </w:p>
    <w:p>
      <w:pPr>
        <w:spacing w:after="0" w:line="2" w:lineRule="exact"/>
        <w:rPr>
          <w:sz w:val="20"/>
          <w:szCs w:val="20"/>
          <w:color w:val="auto"/>
        </w:rPr>
      </w:pPr>
    </w:p>
    <w:p>
      <w:pPr>
        <w:ind w:right="80"/>
        <w:spacing w:after="0"/>
        <w:rPr>
          <w:sz w:val="20"/>
          <w:szCs w:val="20"/>
          <w:color w:val="auto"/>
        </w:rPr>
      </w:pPr>
      <w:r>
        <w:rPr>
          <w:rFonts w:ascii="Arial" w:cs="Arial" w:eastAsia="Arial" w:hAnsi="Arial"/>
          <w:sz w:val="18"/>
          <w:szCs w:val="18"/>
          <w:color w:val="auto"/>
        </w:rPr>
        <w:t>2013. On September 3, 2013, we acquired BlackLine Systems, and Silver Lake Sumeru and Iconiq acquired a controlling interest in us, which we refer to as the “2013 Acquisition.” The 2013 Acquisition was accounted for as a business combination under GAAP and resulted in a change in accounting basis as of the date of the 2013 Acquisition.</w:t>
      </w:r>
    </w:p>
    <w:p>
      <w:pPr>
        <w:spacing w:after="0" w:line="203" w:lineRule="exact"/>
        <w:rPr>
          <w:sz w:val="20"/>
          <w:szCs w:val="20"/>
          <w:color w:val="auto"/>
        </w:rPr>
      </w:pPr>
    </w:p>
    <w:p>
      <w:pPr>
        <w:ind w:firstLine="518"/>
        <w:spacing w:after="0" w:line="238" w:lineRule="auto"/>
        <w:rPr>
          <w:sz w:val="20"/>
          <w:szCs w:val="20"/>
          <w:color w:val="auto"/>
        </w:rPr>
      </w:pPr>
      <w:r>
        <w:rPr>
          <w:rFonts w:ascii="Arial" w:cs="Arial" w:eastAsia="Arial" w:hAnsi="Arial"/>
          <w:sz w:val="18"/>
          <w:szCs w:val="18"/>
          <w:color w:val="auto"/>
        </w:rPr>
        <w:t>Our platform consists of eight core cloud-based products, including Transaction Matching, Account Reconciliations, Consolidation Integrity Manager, Daily Reconciliations, Journal Entry, Variance Analysis, Task Management, and Compliance. Customers typically purchase these products in packages that we refer to as solutions, but they have the option to purchase these products individually. Current solutions include Balance Sheet Integrity, Close Process Management, Accounting Process Automation, Finance Transformation, Intercompany Hub and Smart Close.</w:t>
      </w:r>
    </w:p>
    <w:p>
      <w:pPr>
        <w:spacing w:after="0" w:line="203" w:lineRule="exact"/>
        <w:rPr>
          <w:sz w:val="20"/>
          <w:szCs w:val="20"/>
          <w:color w:val="auto"/>
        </w:rPr>
      </w:pPr>
    </w:p>
    <w:p>
      <w:pPr>
        <w:ind w:right="320" w:firstLine="518"/>
        <w:spacing w:after="0" w:line="237" w:lineRule="auto"/>
        <w:rPr>
          <w:sz w:val="20"/>
          <w:szCs w:val="20"/>
          <w:color w:val="auto"/>
        </w:rPr>
      </w:pPr>
      <w:r>
        <w:rPr>
          <w:rFonts w:ascii="Arial" w:cs="Arial" w:eastAsia="Arial" w:hAnsi="Arial"/>
          <w:sz w:val="18"/>
          <w:szCs w:val="18"/>
          <w:color w:val="auto"/>
        </w:rPr>
        <w:t>We derived approximately 94% of our revenue from subscriptions to our cloud-based software platform and approximately 6% from professional services for the year ended December 31, 2019. The majority of subscriptions are sold through one-year non-cancellable contracts, with a growing percentage of subscriptions sold through three-year contracts. We price our subscriptions based on a number of factors, primarily the number of users having access to the products and the number of products purchased by the customer. Subscription revenue is recognized ratably over the term of the customer contract. The first year of subscription fees are typically payable within 30 days after execution of a contract, and thereafter upon renewal.</w:t>
      </w:r>
    </w:p>
    <w:p>
      <w:pPr>
        <w:spacing w:after="0" w:line="205" w:lineRule="exact"/>
        <w:rPr>
          <w:sz w:val="20"/>
          <w:szCs w:val="20"/>
          <w:color w:val="auto"/>
        </w:rPr>
      </w:pPr>
    </w:p>
    <w:p>
      <w:pPr>
        <w:ind w:right="180" w:firstLine="518"/>
        <w:spacing w:after="0" w:line="238" w:lineRule="auto"/>
        <w:rPr>
          <w:sz w:val="20"/>
          <w:szCs w:val="20"/>
          <w:color w:val="auto"/>
        </w:rPr>
      </w:pPr>
      <w:r>
        <w:rPr>
          <w:rFonts w:ascii="Arial" w:cs="Arial" w:eastAsia="Arial" w:hAnsi="Arial"/>
          <w:sz w:val="18"/>
          <w:szCs w:val="18"/>
          <w:color w:val="auto"/>
        </w:rPr>
        <w:t>Professional services consist of implementation and consulting services. Although our platform is ready to use immediately after a new customer has access to it, we typically help customers implement our solutions for a fixed fee, which is initially recorded as deferred revenue and recognized on a proportional performance basis as the services are performed. We also provide consulting services to help customers optimize the use of our products. We charge customers for our consulting services on a time-and-materials basis and we recognize that revenue as services are performed.</w:t>
      </w:r>
    </w:p>
    <w:p>
      <w:pPr>
        <w:spacing w:after="0" w:line="203" w:lineRule="exact"/>
        <w:rPr>
          <w:sz w:val="20"/>
          <w:szCs w:val="20"/>
          <w:color w:val="auto"/>
        </w:rPr>
      </w:pPr>
    </w:p>
    <w:p>
      <w:pPr>
        <w:jc w:val="both"/>
        <w:ind w:right="340" w:firstLine="518"/>
        <w:spacing w:after="0"/>
        <w:rPr>
          <w:sz w:val="20"/>
          <w:szCs w:val="20"/>
          <w:color w:val="auto"/>
        </w:rPr>
      </w:pPr>
      <w:r>
        <w:rPr>
          <w:rFonts w:ascii="Arial" w:cs="Arial" w:eastAsia="Arial" w:hAnsi="Arial"/>
          <w:sz w:val="18"/>
          <w:szCs w:val="18"/>
          <w:color w:val="auto"/>
        </w:rPr>
        <w:t>We typically invoice customers annually in advance for annual and multi-year subscriptions and invoice in advance or on a time-and-materials basis for professional services. We record amounts invoiced for portions of annual subscription periods that have not occurred or services that have not been performed as deferred revenue on our consolidated balance sheet.</w:t>
      </w:r>
    </w:p>
    <w:p>
      <w:pPr>
        <w:spacing w:after="0" w:line="203" w:lineRule="exact"/>
        <w:rPr>
          <w:sz w:val="20"/>
          <w:szCs w:val="20"/>
          <w:color w:val="auto"/>
        </w:rPr>
      </w:pPr>
    </w:p>
    <w:p>
      <w:pPr>
        <w:ind w:right="300" w:firstLine="518"/>
        <w:spacing w:after="0" w:line="246" w:lineRule="auto"/>
        <w:rPr>
          <w:sz w:val="20"/>
          <w:szCs w:val="20"/>
          <w:color w:val="auto"/>
        </w:rPr>
      </w:pPr>
      <w:r>
        <w:rPr>
          <w:rFonts w:ascii="Arial" w:cs="Arial" w:eastAsia="Arial" w:hAnsi="Arial"/>
          <w:sz w:val="18"/>
          <w:szCs w:val="18"/>
          <w:color w:val="auto"/>
        </w:rPr>
        <w:t>We sell our solutions primarily through our direct sales force, which leverages our relationships with technology vendors, professional services firms and business process outsourcers. In particular, our solution is an SAP endorsed</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2720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00"/>
          </w:cols>
          <w:pgMar w:left="240" w:top="333" w:right="259" w:bottom="1440" w:gutter="0" w:footer="0" w:header="0"/>
        </w:sectPr>
      </w:pPr>
    </w:p>
    <w:bookmarkStart w:id="38" w:name="page39"/>
    <w:bookmarkEnd w:id="38"/>
    <w:p>
      <w:pPr>
        <w:ind w:right="60"/>
        <w:spacing w:after="0" w:line="239" w:lineRule="auto"/>
        <w:rPr>
          <w:sz w:val="20"/>
          <w:szCs w:val="20"/>
          <w:color w:val="auto"/>
        </w:rPr>
      </w:pPr>
      <w:r>
        <w:rPr>
          <w:rFonts w:ascii="Arial" w:cs="Arial" w:eastAsia="Arial" w:hAnsi="Arial"/>
          <w:sz w:val="18"/>
          <w:szCs w:val="18"/>
          <w:color w:val="auto"/>
        </w:rPr>
        <w:t>business solution that integrates with SAP’s ERP solutions. In the fourth quarter of 2018, SAP became part of the reseller channel that we use in the ordinary course of business. SAP has the ability to resell our accounting solutions, for which we receive a percentage of the revenues. Since October 1, 2018, we are no longer obligated to pay SAP a fee based on a percentage of revenues from our new customers that use an SAP ERP solution.</w:t>
      </w:r>
    </w:p>
    <w:p>
      <w:pPr>
        <w:spacing w:after="0" w:line="202" w:lineRule="exact"/>
        <w:rPr>
          <w:sz w:val="20"/>
          <w:szCs w:val="20"/>
          <w:color w:val="auto"/>
        </w:rPr>
      </w:pPr>
    </w:p>
    <w:p>
      <w:pPr>
        <w:ind w:right="220" w:firstLine="518"/>
        <w:spacing w:after="0"/>
        <w:rPr>
          <w:sz w:val="20"/>
          <w:szCs w:val="20"/>
          <w:color w:val="auto"/>
        </w:rPr>
      </w:pPr>
      <w:r>
        <w:rPr>
          <w:rFonts w:ascii="Arial" w:cs="Arial" w:eastAsia="Arial" w:hAnsi="Arial"/>
          <w:sz w:val="18"/>
          <w:szCs w:val="18"/>
          <w:color w:val="auto"/>
        </w:rPr>
        <w:t>Our ability to maximize the lifetime value of our customer relationships will depend, in part, on the willingness of the customer to purchase additional user licenses and products from us. We rely on our sales and customer success teams to support and grow our existing customers by maintaining high customer satisfaction and educating the customer on the value all our products provide.</w:t>
      </w:r>
    </w:p>
    <w:p>
      <w:pPr>
        <w:spacing w:after="0" w:line="203" w:lineRule="exact"/>
        <w:rPr>
          <w:sz w:val="20"/>
          <w:szCs w:val="20"/>
          <w:color w:val="auto"/>
        </w:rPr>
      </w:pPr>
    </w:p>
    <w:p>
      <w:pPr>
        <w:ind w:right="40" w:firstLine="518"/>
        <w:spacing w:after="0" w:line="238" w:lineRule="auto"/>
        <w:rPr>
          <w:sz w:val="20"/>
          <w:szCs w:val="20"/>
          <w:color w:val="auto"/>
        </w:rPr>
      </w:pPr>
      <w:r>
        <w:rPr>
          <w:rFonts w:ascii="Arial" w:cs="Arial" w:eastAsia="Arial" w:hAnsi="Arial"/>
          <w:sz w:val="18"/>
          <w:szCs w:val="18"/>
          <w:color w:val="auto"/>
        </w:rPr>
        <w:t>The length of our sales cycle depends on the size of the potential customer and contract, as well as the type of solution or product being purchased. The sales cycle for our global enterprise customers is generally longer than that of our mid-market customers. In addition, the length of the sales cycle tends to increase for larger contracts and for more complex, strategic products like Intercompany Hub. As we continue to focus on increasing our average contract size and selling more strategic products, we expect our sales cycle to lengthen and become less predictable, which could cause variability in our results for any particular period.</w:t>
      </w:r>
    </w:p>
    <w:p>
      <w:pPr>
        <w:spacing w:after="0" w:line="203" w:lineRule="exact"/>
        <w:rPr>
          <w:sz w:val="20"/>
          <w:szCs w:val="20"/>
          <w:color w:val="auto"/>
        </w:rPr>
      </w:pPr>
    </w:p>
    <w:p>
      <w:pPr>
        <w:ind w:firstLine="518"/>
        <w:spacing w:after="0" w:line="237" w:lineRule="auto"/>
        <w:rPr>
          <w:sz w:val="20"/>
          <w:szCs w:val="20"/>
          <w:color w:val="auto"/>
        </w:rPr>
      </w:pPr>
      <w:r>
        <w:rPr>
          <w:rFonts w:ascii="Arial" w:cs="Arial" w:eastAsia="Arial" w:hAnsi="Arial"/>
          <w:sz w:val="18"/>
          <w:szCs w:val="18"/>
          <w:color w:val="auto"/>
        </w:rPr>
        <w:t>We have historically signed a high percentage of agreements with new customers, as well as renewal agreements with existing customers, in the fourth quarter of each year and usually during the last month of the quarter. This can be attributed to buying patterns typical in the software industry. As the terms of most of our customer agreements are measured in full year increments, agreements initially entered into the fourth quarter or last month of any quarter will generally come up for renewal at that same time in subsequent years. This seasonality is reflected in our revenues, though the impact to overall annual or quarterly revenues is minimal due to the fact that we recognize subscription revenue ratably over the term of the customer contract.</w:t>
      </w:r>
    </w:p>
    <w:p>
      <w:pPr>
        <w:spacing w:after="0" w:line="205" w:lineRule="exact"/>
        <w:rPr>
          <w:sz w:val="20"/>
          <w:szCs w:val="20"/>
          <w:color w:val="auto"/>
        </w:rPr>
      </w:pPr>
    </w:p>
    <w:p>
      <w:pPr>
        <w:ind w:right="220" w:firstLine="518"/>
        <w:spacing w:after="0" w:line="246" w:lineRule="auto"/>
        <w:rPr>
          <w:sz w:val="20"/>
          <w:szCs w:val="20"/>
          <w:color w:val="auto"/>
        </w:rPr>
      </w:pPr>
      <w:r>
        <w:rPr>
          <w:rFonts w:ascii="Arial" w:cs="Arial" w:eastAsia="Arial" w:hAnsi="Arial"/>
          <w:sz w:val="18"/>
          <w:szCs w:val="18"/>
          <w:color w:val="auto"/>
        </w:rPr>
        <w:t>For the years ended December 31, 2019, 2018, and 2017, we had revenues totaling $289.0 million, $227.8 million, and $175.6 million, respectively, and we incurred net losses attributable to Blackline, Inc. of $32.5 million, $28.7 million, and $33.4 million, respectively.</w:t>
      </w:r>
    </w:p>
    <w:p>
      <w:pPr>
        <w:spacing w:after="0" w:line="28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Key Metrics</w:t>
      </w:r>
    </w:p>
    <w:p>
      <w:pPr>
        <w:spacing w:after="0" w:line="234" w:lineRule="exact"/>
        <w:rPr>
          <w:sz w:val="20"/>
          <w:szCs w:val="20"/>
          <w:color w:val="auto"/>
        </w:rPr>
      </w:pPr>
    </w:p>
    <w:p>
      <w:pPr>
        <w:ind w:right="400" w:firstLine="518"/>
        <w:spacing w:after="0"/>
        <w:rPr>
          <w:sz w:val="20"/>
          <w:szCs w:val="20"/>
          <w:color w:val="auto"/>
        </w:rPr>
      </w:pPr>
      <w:r>
        <w:rPr>
          <w:rFonts w:ascii="Arial" w:cs="Arial" w:eastAsia="Arial" w:hAnsi="Arial"/>
          <w:sz w:val="18"/>
          <w:szCs w:val="18"/>
          <w:color w:val="auto"/>
        </w:rPr>
        <w:t>We regularly review a number of metrics, including the following key metrics, to evaluate our business, measure our performance, identify trends affecting our business, formulate financial projections, and make strategic decisions. Each of the metrics below exclude the impact of on-premise software.</w:t>
      </w:r>
    </w:p>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7700" w:type="dxa"/>
            <w:vAlign w:val="bottom"/>
          </w:tcPr>
          <w:p>
            <w:pPr>
              <w:spacing w:after="0"/>
              <w:rPr>
                <w:sz w:val="15"/>
                <w:szCs w:val="15"/>
                <w:color w:val="auto"/>
              </w:rPr>
            </w:pPr>
          </w:p>
        </w:tc>
        <w:tc>
          <w:tcPr>
            <w:tcW w:w="2700" w:type="dxa"/>
            <w:vAlign w:val="bottom"/>
            <w:gridSpan w:val="4"/>
          </w:tcPr>
          <w:p>
            <w:pPr>
              <w:jc w:val="right"/>
              <w:ind w:right="60"/>
              <w:spacing w:after="0"/>
              <w:rPr>
                <w:sz w:val="20"/>
                <w:szCs w:val="20"/>
                <w:color w:val="auto"/>
              </w:rPr>
            </w:pPr>
            <w:r>
              <w:rPr>
                <w:rFonts w:ascii="Arial" w:cs="Arial" w:eastAsia="Arial" w:hAnsi="Arial"/>
                <w:sz w:val="14"/>
                <w:szCs w:val="14"/>
                <w:b w:val="1"/>
                <w:bCs w:val="1"/>
                <w:color w:val="auto"/>
              </w:rPr>
              <w:t>Year Ended December 31,</w:t>
            </w:r>
          </w:p>
        </w:tc>
        <w:tc>
          <w:tcPr>
            <w:tcW w:w="840" w:type="dxa"/>
            <w:vAlign w:val="bottom"/>
          </w:tcPr>
          <w:p>
            <w:pPr>
              <w:spacing w:after="0"/>
              <w:rPr>
                <w:sz w:val="15"/>
                <w:szCs w:val="15"/>
                <w:color w:val="auto"/>
              </w:rPr>
            </w:pPr>
          </w:p>
        </w:tc>
        <w:tc>
          <w:tcPr>
            <w:tcW w:w="180" w:type="dxa"/>
            <w:vAlign w:val="bottom"/>
          </w:tcPr>
          <w:p>
            <w:pPr>
              <w:spacing w:after="0"/>
              <w:rPr>
                <w:sz w:val="15"/>
                <w:szCs w:val="15"/>
                <w:color w:val="auto"/>
              </w:rPr>
            </w:pPr>
          </w:p>
        </w:tc>
      </w:tr>
      <w:tr>
        <w:trPr>
          <w:trHeight w:val="175"/>
        </w:trPr>
        <w:tc>
          <w:tcPr>
            <w:tcW w:w="7700" w:type="dxa"/>
            <w:vAlign w:val="bottom"/>
            <w:tcBorders>
              <w:bottom w:val="single" w:sz="8" w:color="CFF0FC"/>
            </w:tcBorders>
          </w:tcPr>
          <w:p>
            <w:pPr>
              <w:spacing w:after="0"/>
              <w:rPr>
                <w:sz w:val="15"/>
                <w:szCs w:val="15"/>
                <w:color w:val="auto"/>
              </w:rPr>
            </w:pPr>
          </w:p>
        </w:tc>
        <w:tc>
          <w:tcPr>
            <w:tcW w:w="1000" w:type="dxa"/>
            <w:vAlign w:val="bottom"/>
            <w:tcBorders>
              <w:bottom w:val="single" w:sz="8" w:color="auto"/>
            </w:tcBorders>
          </w:tcPr>
          <w:p>
            <w:pPr>
              <w:jc w:val="right"/>
              <w:ind w:right="277"/>
              <w:spacing w:after="0"/>
              <w:rPr>
                <w:sz w:val="20"/>
                <w:szCs w:val="20"/>
                <w:color w:val="auto"/>
              </w:rPr>
            </w:pPr>
            <w:r>
              <w:rPr>
                <w:rFonts w:ascii="Arial" w:cs="Arial" w:eastAsia="Arial" w:hAnsi="Arial"/>
                <w:sz w:val="14"/>
                <w:szCs w:val="14"/>
                <w:b w:val="1"/>
                <w:bCs w:val="1"/>
                <w:color w:val="auto"/>
              </w:rPr>
              <w:t>2019</w:t>
            </w:r>
          </w:p>
        </w:tc>
        <w:tc>
          <w:tcPr>
            <w:tcW w:w="340" w:type="dxa"/>
            <w:vAlign w:val="bottom"/>
            <w:tcBorders>
              <w:bottom w:val="single" w:sz="8" w:color="CFF0FC"/>
            </w:tcBorders>
          </w:tcPr>
          <w:p>
            <w:pPr>
              <w:spacing w:after="0"/>
              <w:rPr>
                <w:sz w:val="15"/>
                <w:szCs w:val="15"/>
                <w:color w:val="auto"/>
              </w:rPr>
            </w:pPr>
          </w:p>
        </w:tc>
        <w:tc>
          <w:tcPr>
            <w:tcW w:w="1000" w:type="dxa"/>
            <w:vAlign w:val="bottom"/>
            <w:tcBorders>
              <w:bottom w:val="single" w:sz="8" w:color="auto"/>
            </w:tcBorders>
          </w:tcPr>
          <w:p>
            <w:pPr>
              <w:jc w:val="right"/>
              <w:ind w:right="254"/>
              <w:spacing w:after="0"/>
              <w:rPr>
                <w:sz w:val="20"/>
                <w:szCs w:val="20"/>
                <w:color w:val="auto"/>
              </w:rPr>
            </w:pPr>
            <w:r>
              <w:rPr>
                <w:rFonts w:ascii="Arial" w:cs="Arial" w:eastAsia="Arial" w:hAnsi="Arial"/>
                <w:sz w:val="14"/>
                <w:szCs w:val="14"/>
                <w:b w:val="1"/>
                <w:bCs w:val="1"/>
                <w:color w:val="auto"/>
              </w:rPr>
              <w:t>2018</w:t>
            </w:r>
          </w:p>
        </w:tc>
        <w:tc>
          <w:tcPr>
            <w:tcW w:w="360" w:type="dxa"/>
            <w:vAlign w:val="bottom"/>
            <w:tcBorders>
              <w:bottom w:val="single" w:sz="8" w:color="CFF0FC"/>
            </w:tcBorders>
          </w:tcPr>
          <w:p>
            <w:pPr>
              <w:spacing w:after="0"/>
              <w:rPr>
                <w:sz w:val="15"/>
                <w:szCs w:val="15"/>
                <w:color w:val="auto"/>
              </w:rPr>
            </w:pPr>
          </w:p>
        </w:tc>
        <w:tc>
          <w:tcPr>
            <w:tcW w:w="840" w:type="dxa"/>
            <w:vAlign w:val="bottom"/>
            <w:tcBorders>
              <w:bottom w:val="single" w:sz="8" w:color="auto"/>
            </w:tcBorders>
          </w:tcPr>
          <w:p>
            <w:pPr>
              <w:jc w:val="right"/>
              <w:ind w:right="174"/>
              <w:spacing w:after="0"/>
              <w:rPr>
                <w:sz w:val="20"/>
                <w:szCs w:val="20"/>
                <w:color w:val="auto"/>
              </w:rPr>
            </w:pPr>
            <w:r>
              <w:rPr>
                <w:rFonts w:ascii="Arial" w:cs="Arial" w:eastAsia="Arial" w:hAnsi="Arial"/>
                <w:sz w:val="14"/>
                <w:szCs w:val="14"/>
                <w:b w:val="1"/>
                <w:bCs w:val="1"/>
                <w:color w:val="auto"/>
              </w:rPr>
              <w:t>2017</w:t>
            </w:r>
          </w:p>
        </w:tc>
        <w:tc>
          <w:tcPr>
            <w:tcW w:w="180" w:type="dxa"/>
            <w:vAlign w:val="bottom"/>
            <w:tcBorders>
              <w:bottom w:val="single" w:sz="8" w:color="CFF0FC"/>
            </w:tcBorders>
          </w:tcPr>
          <w:p>
            <w:pPr>
              <w:spacing w:after="0"/>
              <w:rPr>
                <w:sz w:val="15"/>
                <w:szCs w:val="15"/>
                <w:color w:val="auto"/>
              </w:rPr>
            </w:pPr>
          </w:p>
        </w:tc>
      </w:tr>
      <w:tr>
        <w:trPr>
          <w:trHeight w:val="210"/>
        </w:trPr>
        <w:tc>
          <w:tcPr>
            <w:tcW w:w="7700" w:type="dxa"/>
            <w:vAlign w:val="bottom"/>
            <w:shd w:val="clear" w:color="auto" w:fill="CFF0FC"/>
          </w:tcPr>
          <w:p>
            <w:pPr>
              <w:spacing w:after="0"/>
              <w:rPr>
                <w:sz w:val="20"/>
                <w:szCs w:val="20"/>
                <w:color w:val="auto"/>
              </w:rPr>
            </w:pPr>
            <w:r>
              <w:rPr>
                <w:rFonts w:ascii="Arial" w:cs="Arial" w:eastAsia="Arial" w:hAnsi="Arial"/>
                <w:sz w:val="18"/>
                <w:szCs w:val="18"/>
                <w:color w:val="auto"/>
              </w:rPr>
              <w:t>Dollar-based net revenue retention rate</w:t>
            </w:r>
          </w:p>
        </w:tc>
        <w:tc>
          <w:tcPr>
            <w:tcW w:w="134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110%</w:t>
            </w:r>
          </w:p>
        </w:tc>
        <w:tc>
          <w:tcPr>
            <w:tcW w:w="136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108%</w:t>
            </w:r>
          </w:p>
        </w:tc>
        <w:tc>
          <w:tcPr>
            <w:tcW w:w="102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112%</w:t>
            </w:r>
          </w:p>
        </w:tc>
      </w:tr>
      <w:tr>
        <w:trPr>
          <w:trHeight w:val="216"/>
        </w:trPr>
        <w:tc>
          <w:tcPr>
            <w:tcW w:w="7700" w:type="dxa"/>
            <w:vAlign w:val="bottom"/>
          </w:tcPr>
          <w:p>
            <w:pPr>
              <w:spacing w:after="0"/>
              <w:rPr>
                <w:sz w:val="20"/>
                <w:szCs w:val="20"/>
                <w:color w:val="auto"/>
              </w:rPr>
            </w:pPr>
            <w:r>
              <w:rPr>
                <w:rFonts w:ascii="Arial" w:cs="Arial" w:eastAsia="Arial" w:hAnsi="Arial"/>
                <w:sz w:val="18"/>
                <w:szCs w:val="18"/>
                <w:color w:val="auto"/>
              </w:rPr>
              <w:t>Number of customers</w:t>
            </w:r>
          </w:p>
        </w:tc>
        <w:tc>
          <w:tcPr>
            <w:tcW w:w="1000" w:type="dxa"/>
            <w:vAlign w:val="bottom"/>
          </w:tcPr>
          <w:p>
            <w:pPr>
              <w:jc w:val="right"/>
              <w:spacing w:after="0"/>
              <w:rPr>
                <w:sz w:val="20"/>
                <w:szCs w:val="20"/>
                <w:color w:val="auto"/>
              </w:rPr>
            </w:pPr>
            <w:r>
              <w:rPr>
                <w:rFonts w:ascii="Arial" w:cs="Arial" w:eastAsia="Arial" w:hAnsi="Arial"/>
                <w:sz w:val="18"/>
                <w:szCs w:val="18"/>
                <w:color w:val="auto"/>
              </w:rPr>
              <w:t>3,024</w:t>
            </w:r>
          </w:p>
        </w:tc>
        <w:tc>
          <w:tcPr>
            <w:tcW w:w="3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2,631</w:t>
            </w:r>
          </w:p>
        </w:tc>
        <w:tc>
          <w:tcPr>
            <w:tcW w:w="3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2,208</w:t>
            </w:r>
          </w:p>
        </w:tc>
        <w:tc>
          <w:tcPr>
            <w:tcW w:w="180" w:type="dxa"/>
            <w:vAlign w:val="bottom"/>
          </w:tcPr>
          <w:p>
            <w:pPr>
              <w:spacing w:after="0"/>
              <w:rPr>
                <w:sz w:val="18"/>
                <w:szCs w:val="18"/>
                <w:color w:val="auto"/>
              </w:rPr>
            </w:pPr>
          </w:p>
        </w:tc>
      </w:tr>
      <w:tr>
        <w:trPr>
          <w:trHeight w:val="216"/>
        </w:trPr>
        <w:tc>
          <w:tcPr>
            <w:tcW w:w="7700" w:type="dxa"/>
            <w:vAlign w:val="bottom"/>
            <w:shd w:val="clear" w:color="auto" w:fill="CFF0FC"/>
          </w:tcPr>
          <w:p>
            <w:pPr>
              <w:spacing w:after="0"/>
              <w:rPr>
                <w:sz w:val="20"/>
                <w:szCs w:val="20"/>
                <w:color w:val="auto"/>
              </w:rPr>
            </w:pPr>
            <w:r>
              <w:rPr>
                <w:rFonts w:ascii="Arial" w:cs="Arial" w:eastAsia="Arial" w:hAnsi="Arial"/>
                <w:sz w:val="18"/>
                <w:szCs w:val="18"/>
                <w:color w:val="auto"/>
              </w:rPr>
              <w:t>Number of users</w:t>
            </w: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267,621</w:t>
            </w:r>
          </w:p>
        </w:tc>
        <w:tc>
          <w:tcPr>
            <w:tcW w:w="340" w:type="dxa"/>
            <w:vAlign w:val="bottom"/>
            <w:shd w:val="clear" w:color="auto" w:fill="CFF0FC"/>
          </w:tcPr>
          <w:p>
            <w:pPr>
              <w:spacing w:after="0"/>
              <w:rPr>
                <w:sz w:val="18"/>
                <w:szCs w:val="18"/>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222,619</w:t>
            </w:r>
          </w:p>
        </w:tc>
        <w:tc>
          <w:tcPr>
            <w:tcW w:w="360" w:type="dxa"/>
            <w:vAlign w:val="bottom"/>
            <w:shd w:val="clear" w:color="auto" w:fill="CFF0FC"/>
          </w:tcPr>
          <w:p>
            <w:pPr>
              <w:spacing w:after="0"/>
              <w:rPr>
                <w:sz w:val="18"/>
                <w:szCs w:val="18"/>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196,612</w:t>
            </w:r>
          </w:p>
        </w:tc>
        <w:tc>
          <w:tcPr>
            <w:tcW w:w="180" w:type="dxa"/>
            <w:vAlign w:val="bottom"/>
            <w:shd w:val="clear" w:color="auto" w:fill="CFF0FC"/>
          </w:tcPr>
          <w:p>
            <w:pPr>
              <w:spacing w:after="0"/>
              <w:rPr>
                <w:sz w:val="18"/>
                <w:szCs w:val="18"/>
                <w:color w:val="auto"/>
              </w:rPr>
            </w:pPr>
          </w:p>
        </w:tc>
      </w:tr>
    </w:tbl>
    <w:p>
      <w:pPr>
        <w:spacing w:after="0" w:line="200" w:lineRule="exact"/>
        <w:rPr>
          <w:sz w:val="20"/>
          <w:szCs w:val="20"/>
          <w:color w:val="auto"/>
        </w:rPr>
      </w:pPr>
    </w:p>
    <w:p>
      <w:pPr>
        <w:spacing w:after="0" w:line="236" w:lineRule="exact"/>
        <w:rPr>
          <w:sz w:val="20"/>
          <w:szCs w:val="20"/>
          <w:color w:val="auto"/>
        </w:rPr>
      </w:pPr>
    </w:p>
    <w:p>
      <w:pPr>
        <w:ind w:firstLine="518"/>
        <w:spacing w:after="0" w:line="238" w:lineRule="auto"/>
        <w:rPr>
          <w:sz w:val="20"/>
          <w:szCs w:val="20"/>
          <w:color w:val="auto"/>
        </w:rPr>
      </w:pPr>
      <w:r>
        <w:rPr>
          <w:rFonts w:ascii="Arial" w:cs="Arial" w:eastAsia="Arial" w:hAnsi="Arial"/>
          <w:sz w:val="18"/>
          <w:szCs w:val="18"/>
          <w:b w:val="1"/>
          <w:bCs w:val="1"/>
          <w:i w:val="1"/>
          <w:iCs w:val="1"/>
          <w:color w:val="auto"/>
        </w:rPr>
        <w:t xml:space="preserve">Dollar-based net revenue retention rate. </w:t>
      </w:r>
      <w:r>
        <w:rPr>
          <w:rFonts w:ascii="Arial" w:cs="Arial" w:eastAsia="Arial" w:hAnsi="Arial"/>
          <w:sz w:val="18"/>
          <w:szCs w:val="18"/>
          <w:color w:val="auto"/>
        </w:rPr>
        <w:t>We believe that dollar-based net revenue retention rate is an important metric to measure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long-term value of customer agreements and our ability to retain and grow our relationships with existing customers over time. We calculate dollar-based net revenue retention rate as the implied monthly subscription and support revenue at the end of a period for the base set of customers from which we generated subscription revenue in the year prior to the calculation, divided by the implied monthly subscription and support revenue one year prior to the date of calculation for that same customer base. This calculation does not reflect implied monthly subscription and support revenue for new customers added during the one-year period but does include the effect of customers who terminated during the period. We define implied monthly subscription and support revenue as the total amount of minimum subscription and support revenue contractually committed to, under each of our customer agreements over the entire term of the agreement, divided by the number of months in the term of the agreement. Our ability to maximize the lifetime value of our customer relationships will depend, in part, on the willingness of the customer to purchase additional user licenses and products from us. We rely on our customer success and sales teams to support and grow our existing customers by maintaining high customer satisfaction and educating the customer on the value all our products provide.</w:t>
      </w:r>
    </w:p>
    <w:p>
      <w:pPr>
        <w:spacing w:after="0" w:line="184" w:lineRule="exact"/>
        <w:rPr>
          <w:sz w:val="20"/>
          <w:szCs w:val="20"/>
          <w:color w:val="auto"/>
        </w:rPr>
      </w:pPr>
    </w:p>
    <w:p>
      <w:pPr>
        <w:ind w:right="40" w:firstLine="518"/>
        <w:spacing w:after="0" w:line="253" w:lineRule="auto"/>
        <w:rPr>
          <w:sz w:val="20"/>
          <w:szCs w:val="20"/>
          <w:color w:val="auto"/>
        </w:rPr>
      </w:pPr>
      <w:r>
        <w:rPr>
          <w:rFonts w:ascii="Arial" w:cs="Arial" w:eastAsia="Arial" w:hAnsi="Arial"/>
          <w:sz w:val="18"/>
          <w:szCs w:val="18"/>
          <w:b w:val="1"/>
          <w:bCs w:val="1"/>
          <w:i w:val="1"/>
          <w:iCs w:val="1"/>
          <w:color w:val="auto"/>
        </w:rPr>
        <w:t xml:space="preserve">Number of customers. </w:t>
      </w:r>
      <w:r>
        <w:rPr>
          <w:rFonts w:ascii="Arial" w:cs="Arial" w:eastAsia="Arial" w:hAnsi="Arial"/>
          <w:sz w:val="18"/>
          <w:szCs w:val="18"/>
          <w:color w:val="auto"/>
        </w:rPr>
        <w:t>We believe that our ability to expand our customer base is an indicator of our market penetration and the growth</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of our business. We define a customer as an entity with an active subscription agreement as of the measurement date. In situations where an organization has multiple subsidiaries or divisions, each entity that is</w:t>
      </w:r>
    </w:p>
    <w:p>
      <w:pPr>
        <w:spacing w:after="0" w:line="1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2720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571" w:right="239" w:bottom="1440" w:gutter="0" w:footer="0" w:header="0"/>
        </w:sectPr>
      </w:pPr>
    </w:p>
    <w:bookmarkStart w:id="39" w:name="page40"/>
    <w:bookmarkEnd w:id="39"/>
    <w:p>
      <w:pPr>
        <w:ind w:right="180"/>
        <w:spacing w:after="0" w:line="239" w:lineRule="auto"/>
        <w:rPr>
          <w:sz w:val="20"/>
          <w:szCs w:val="20"/>
          <w:color w:val="auto"/>
        </w:rPr>
      </w:pPr>
      <w:r>
        <w:rPr>
          <w:rFonts w:ascii="Arial" w:cs="Arial" w:eastAsia="Arial" w:hAnsi="Arial"/>
          <w:sz w:val="18"/>
          <w:szCs w:val="18"/>
          <w:color w:val="auto"/>
        </w:rPr>
        <w:t>invoiced as a separate entity is treated as a separate customer. However, where an existing customer requests its invoice be divided for the sole purpose of restructuring its internal billing arrangement without any incremental increase in revenue, such customer continues to be treated as a single customer. For the years ended December 31, 2019, 2018, and 2017, no single customer accounted for more than 10% of our total revenues.</w:t>
      </w:r>
    </w:p>
    <w:p>
      <w:pPr>
        <w:spacing w:after="0" w:line="180" w:lineRule="exact"/>
        <w:rPr>
          <w:sz w:val="20"/>
          <w:szCs w:val="20"/>
          <w:color w:val="auto"/>
        </w:rPr>
      </w:pPr>
    </w:p>
    <w:p>
      <w:pPr>
        <w:ind w:right="100" w:firstLine="518"/>
        <w:spacing w:after="0" w:line="253" w:lineRule="auto"/>
        <w:rPr>
          <w:sz w:val="20"/>
          <w:szCs w:val="20"/>
          <w:color w:val="auto"/>
        </w:rPr>
      </w:pPr>
      <w:r>
        <w:rPr>
          <w:rFonts w:ascii="Arial" w:cs="Arial" w:eastAsia="Arial" w:hAnsi="Arial"/>
          <w:sz w:val="18"/>
          <w:szCs w:val="18"/>
          <w:b w:val="1"/>
          <w:bCs w:val="1"/>
          <w:i w:val="1"/>
          <w:iCs w:val="1"/>
          <w:color w:val="auto"/>
        </w:rPr>
        <w:t xml:space="preserve">Number of users. </w:t>
      </w:r>
      <w:r>
        <w:rPr>
          <w:rFonts w:ascii="Arial" w:cs="Arial" w:eastAsia="Arial" w:hAnsi="Arial"/>
          <w:sz w:val="18"/>
          <w:szCs w:val="18"/>
          <w:color w:val="auto"/>
        </w:rPr>
        <w:t>Since our customers generally pay fees based on the number of users of our platform within their organization, we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believe the total number of users is an indicator of the growth of our business. We are also beginning to sell an increasing number of non-user based strategic products, such as Transaction Matching and Intercompany Hub.</w:t>
      </w:r>
    </w:p>
    <w:p>
      <w:pPr>
        <w:spacing w:after="0" w:line="27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Key Components of our Results of Operations</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Revenues</w:t>
      </w:r>
    </w:p>
    <w:p>
      <w:pPr>
        <w:spacing w:after="0" w:line="104" w:lineRule="exact"/>
        <w:rPr>
          <w:sz w:val="20"/>
          <w:szCs w:val="20"/>
          <w:color w:val="auto"/>
        </w:rPr>
      </w:pPr>
    </w:p>
    <w:p>
      <w:pPr>
        <w:ind w:right="200" w:firstLine="518"/>
        <w:spacing w:after="0" w:line="243" w:lineRule="auto"/>
        <w:rPr>
          <w:sz w:val="20"/>
          <w:szCs w:val="20"/>
          <w:color w:val="auto"/>
        </w:rPr>
      </w:pPr>
      <w:r>
        <w:rPr>
          <w:rFonts w:ascii="Arial" w:cs="Arial" w:eastAsia="Arial" w:hAnsi="Arial"/>
          <w:sz w:val="18"/>
          <w:szCs w:val="18"/>
          <w:b w:val="1"/>
          <w:bCs w:val="1"/>
          <w:i w:val="1"/>
          <w:iCs w:val="1"/>
          <w:color w:val="auto"/>
        </w:rPr>
        <w:t xml:space="preserve">Subscription and support. </w:t>
      </w:r>
      <w:r>
        <w:rPr>
          <w:rFonts w:ascii="Arial" w:cs="Arial" w:eastAsia="Arial" w:hAnsi="Arial"/>
          <w:sz w:val="18"/>
          <w:szCs w:val="18"/>
          <w:color w:val="auto"/>
        </w:rPr>
        <w:t>The majority of subscriptions are sold through one-year non-cancellable contracts and a growing</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percentage of subscriptions are sold through three-year contracts. Fees are based on a number of factors, including the solutions subscribed for by the customer and the number of users having access to the solutions. The first year of subscription fees are typically payable within</w:t>
      </w:r>
    </w:p>
    <w:p>
      <w:pPr>
        <w:spacing w:after="0" w:line="1" w:lineRule="exact"/>
        <w:rPr>
          <w:sz w:val="20"/>
          <w:szCs w:val="20"/>
          <w:color w:val="auto"/>
        </w:rPr>
      </w:pPr>
    </w:p>
    <w:p>
      <w:pPr>
        <w:ind w:right="40"/>
        <w:spacing w:after="0" w:line="238" w:lineRule="auto"/>
        <w:rPr>
          <w:sz w:val="20"/>
          <w:szCs w:val="20"/>
          <w:color w:val="auto"/>
        </w:rPr>
      </w:pPr>
      <w:r>
        <w:rPr>
          <w:rFonts w:ascii="Arial" w:cs="Arial" w:eastAsia="Arial" w:hAnsi="Arial"/>
          <w:sz w:val="18"/>
          <w:szCs w:val="18"/>
          <w:color w:val="auto"/>
        </w:rPr>
        <w:t>30 days after execution of a contract, and thereafter upon renewal. We initially record the subscription fees as deferred revenue and recognize revenue ratably over the term of the contract. At any time during the subscription period, customers may increase their number of users and add products. Additional fees are payable for the remainder of the initial or renewed contract term. Customers may only reduce their number of users or subscription to products upon renewal of their arrangement. Revenues from subscriptions to our cloud-based software platform comprised approximately 94% of our revenues for the year ended December 31, 2019.</w:t>
      </w:r>
    </w:p>
    <w:p>
      <w:pPr>
        <w:spacing w:after="0" w:line="198" w:lineRule="exact"/>
        <w:rPr>
          <w:sz w:val="20"/>
          <w:szCs w:val="20"/>
          <w:color w:val="auto"/>
        </w:rPr>
      </w:pPr>
    </w:p>
    <w:p>
      <w:pPr>
        <w:ind w:left="520"/>
        <w:spacing w:after="0"/>
        <w:rPr>
          <w:sz w:val="20"/>
          <w:szCs w:val="20"/>
          <w:color w:val="auto"/>
        </w:rPr>
      </w:pPr>
      <w:r>
        <w:rPr>
          <w:rFonts w:ascii="Arial" w:cs="Arial" w:eastAsia="Arial" w:hAnsi="Arial"/>
          <w:sz w:val="18"/>
          <w:szCs w:val="18"/>
          <w:color w:val="auto"/>
        </w:rPr>
        <w:t>Subscription and support revenues also include revenues associated with sales of on-premise software licenses and related</w:t>
      </w:r>
    </w:p>
    <w:p>
      <w:pPr>
        <w:spacing w:after="0" w:line="234" w:lineRule="auto"/>
        <w:rPr>
          <w:sz w:val="20"/>
          <w:szCs w:val="20"/>
          <w:color w:val="auto"/>
        </w:rPr>
      </w:pPr>
      <w:r>
        <w:rPr>
          <w:rFonts w:ascii="Arial" w:cs="Arial" w:eastAsia="Arial" w:hAnsi="Arial"/>
          <w:sz w:val="18"/>
          <w:szCs w:val="18"/>
          <w:color w:val="auto"/>
        </w:rPr>
        <w:t>support. Prior to our migration to SaaS in 2012, we licensed our legacy on-premise software. We no longer develop any new applications or</w:t>
      </w:r>
    </w:p>
    <w:p>
      <w:pPr>
        <w:spacing w:after="0" w:line="235" w:lineRule="auto"/>
        <w:rPr>
          <w:sz w:val="20"/>
          <w:szCs w:val="20"/>
          <w:color w:val="auto"/>
        </w:rPr>
      </w:pPr>
      <w:r>
        <w:rPr>
          <w:rFonts w:ascii="Arial" w:cs="Arial" w:eastAsia="Arial" w:hAnsi="Arial"/>
          <w:sz w:val="18"/>
          <w:szCs w:val="18"/>
          <w:color w:val="auto"/>
        </w:rPr>
        <w:t>functionality for our legacy on-premise software, but we continue to provide post-contract support to one customer that had not migrated to our</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SaaS solution at December 31, 2019.</w:t>
      </w:r>
    </w:p>
    <w:p>
      <w:pPr>
        <w:spacing w:after="0" w:line="190" w:lineRule="exact"/>
        <w:rPr>
          <w:sz w:val="20"/>
          <w:szCs w:val="20"/>
          <w:color w:val="auto"/>
        </w:rPr>
      </w:pPr>
    </w:p>
    <w:p>
      <w:pPr>
        <w:ind w:right="460" w:firstLine="518"/>
        <w:spacing w:after="0" w:line="242" w:lineRule="auto"/>
        <w:rPr>
          <w:sz w:val="20"/>
          <w:szCs w:val="20"/>
          <w:color w:val="auto"/>
        </w:rPr>
      </w:pPr>
      <w:r>
        <w:rPr>
          <w:rFonts w:ascii="Arial" w:cs="Arial" w:eastAsia="Arial" w:hAnsi="Arial"/>
          <w:sz w:val="18"/>
          <w:szCs w:val="18"/>
          <w:b w:val="1"/>
          <w:bCs w:val="1"/>
          <w:i w:val="1"/>
          <w:iCs w:val="1"/>
          <w:color w:val="auto"/>
        </w:rPr>
        <w:t xml:space="preserve">Professional services. </w:t>
      </w:r>
      <w:r>
        <w:rPr>
          <w:rFonts w:ascii="Arial" w:cs="Arial" w:eastAsia="Arial" w:hAnsi="Arial"/>
          <w:sz w:val="18"/>
          <w:szCs w:val="18"/>
          <w:color w:val="auto"/>
        </w:rPr>
        <w:t>We offer our customers implementation and consulting services. Although our platform is ready to use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immediately after a new customer has access to it, we typically help customers implement our solutions for a fixed fee. We also provide consulting and training services to help customers optimize the use of our products. These services are considered distinct performance obligations. Professional services do not result in significant customization of the subscription service. We apply the practical expedient to recognize professional services revenue when we have the right to invoice based on time and materials incurred. Professional services revenues comprised approximately 6% of our revenues for the year ended December 31, 2019.</w:t>
      </w:r>
    </w:p>
    <w:p>
      <w:pPr>
        <w:spacing w:after="0" w:line="201" w:lineRule="exact"/>
        <w:rPr>
          <w:sz w:val="20"/>
          <w:szCs w:val="20"/>
          <w:color w:val="auto"/>
        </w:rPr>
      </w:pPr>
    </w:p>
    <w:p>
      <w:pPr>
        <w:ind w:right="100" w:firstLine="518"/>
        <w:spacing w:after="0" w:line="246" w:lineRule="auto"/>
        <w:rPr>
          <w:sz w:val="20"/>
          <w:szCs w:val="20"/>
          <w:color w:val="auto"/>
        </w:rPr>
      </w:pPr>
      <w:r>
        <w:rPr>
          <w:rFonts w:ascii="Arial" w:cs="Arial" w:eastAsia="Arial" w:hAnsi="Arial"/>
          <w:sz w:val="18"/>
          <w:szCs w:val="18"/>
          <w:color w:val="auto"/>
        </w:rPr>
        <w:t>For a description of our revenue accounting policies, see “Management’s Discussion and Analysis of Financial Condition and Results of Operations—Critical Accounting Policies and Estimates.”</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Cost of Revenues</w:t>
      </w:r>
    </w:p>
    <w:p>
      <w:pPr>
        <w:spacing w:after="0" w:line="104" w:lineRule="exact"/>
        <w:rPr>
          <w:sz w:val="20"/>
          <w:szCs w:val="20"/>
          <w:color w:val="auto"/>
        </w:rPr>
      </w:pPr>
    </w:p>
    <w:p>
      <w:pPr>
        <w:ind w:right="20" w:firstLine="518"/>
        <w:spacing w:after="0" w:line="247" w:lineRule="auto"/>
        <w:rPr>
          <w:sz w:val="20"/>
          <w:szCs w:val="20"/>
          <w:color w:val="auto"/>
        </w:rPr>
      </w:pPr>
      <w:r>
        <w:rPr>
          <w:rFonts w:ascii="Arial" w:cs="Arial" w:eastAsia="Arial" w:hAnsi="Arial"/>
          <w:sz w:val="18"/>
          <w:szCs w:val="18"/>
          <w:b w:val="1"/>
          <w:bCs w:val="1"/>
          <w:i w:val="1"/>
          <w:iCs w:val="1"/>
          <w:color w:val="auto"/>
        </w:rPr>
        <w:t xml:space="preserve">Subscription and support cost of revenues. </w:t>
      </w:r>
      <w:r>
        <w:rPr>
          <w:rFonts w:ascii="Arial" w:cs="Arial" w:eastAsia="Arial" w:hAnsi="Arial"/>
          <w:sz w:val="18"/>
          <w:szCs w:val="18"/>
          <w:color w:val="auto"/>
        </w:rPr>
        <w:t>Subscription and support cost of revenues primarily consists of amortization of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developed technology costs resulting from the 2013 Acquisition and the Runbook Acquisition, salaries, benefits and stock-based compensation associated with our hosting operations and support personnel, data center costs related to hosting our cloud-based software, and amortization of capitalized internal-use software costs. We also allocate a portion of overhead to subscription and support cost of revenues.</w:t>
      </w:r>
    </w:p>
    <w:p>
      <w:pPr>
        <w:spacing w:after="0" w:line="174" w:lineRule="exact"/>
        <w:rPr>
          <w:sz w:val="20"/>
          <w:szCs w:val="20"/>
          <w:color w:val="auto"/>
        </w:rPr>
      </w:pPr>
    </w:p>
    <w:p>
      <w:pPr>
        <w:ind w:firstLine="518"/>
        <w:spacing w:after="0" w:line="253" w:lineRule="auto"/>
        <w:rPr>
          <w:sz w:val="20"/>
          <w:szCs w:val="20"/>
          <w:color w:val="auto"/>
        </w:rPr>
      </w:pPr>
      <w:r>
        <w:rPr>
          <w:rFonts w:ascii="Arial" w:cs="Arial" w:eastAsia="Arial" w:hAnsi="Arial"/>
          <w:sz w:val="18"/>
          <w:szCs w:val="18"/>
          <w:b w:val="1"/>
          <w:bCs w:val="1"/>
          <w:i w:val="1"/>
          <w:iCs w:val="1"/>
          <w:color w:val="auto"/>
        </w:rPr>
        <w:t xml:space="preserve">Professional services costs of revenues. </w:t>
      </w:r>
      <w:r>
        <w:rPr>
          <w:rFonts w:ascii="Arial" w:cs="Arial" w:eastAsia="Arial" w:hAnsi="Arial"/>
          <w:sz w:val="18"/>
          <w:szCs w:val="18"/>
          <w:color w:val="auto"/>
        </w:rPr>
        <w:t>Costs associated with providing professional services primarily consist of salaries, benefits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and stock-based compensation associated with our implementation personnel. These costs are expensed as incurred when the services are performed. We also allocate a portion of overhead to professional services cost of revenues.</w:t>
      </w:r>
    </w:p>
    <w:p>
      <w:pPr>
        <w:spacing w:after="0" w:line="27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104" w:lineRule="exact"/>
        <w:rPr>
          <w:sz w:val="20"/>
          <w:szCs w:val="20"/>
          <w:color w:val="auto"/>
        </w:rPr>
      </w:pPr>
    </w:p>
    <w:p>
      <w:pPr>
        <w:ind w:right="100" w:firstLine="518"/>
        <w:spacing w:after="0" w:line="242" w:lineRule="auto"/>
        <w:rPr>
          <w:sz w:val="20"/>
          <w:szCs w:val="20"/>
          <w:color w:val="auto"/>
        </w:rPr>
      </w:pPr>
      <w:r>
        <w:rPr>
          <w:rFonts w:ascii="Arial" w:cs="Arial" w:eastAsia="Arial" w:hAnsi="Arial"/>
          <w:sz w:val="18"/>
          <w:szCs w:val="18"/>
          <w:b w:val="1"/>
          <w:bCs w:val="1"/>
          <w:i w:val="1"/>
          <w:iCs w:val="1"/>
          <w:color w:val="auto"/>
        </w:rPr>
        <w:t xml:space="preserve">Sales and marketing. </w:t>
      </w:r>
      <w:r>
        <w:rPr>
          <w:rFonts w:ascii="Arial" w:cs="Arial" w:eastAsia="Arial" w:hAnsi="Arial"/>
          <w:sz w:val="18"/>
          <w:szCs w:val="18"/>
          <w:color w:val="auto"/>
        </w:rPr>
        <w:t>Sales and marketing expenses consist primarily of personnel costs of our sales and marketing employees,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including salaries, sales commissions and incentives, benefits and stock-based compensation expense, travel and related costs, commissions paid in connection with our strategic relationships, outside consulting fees, marketing programs, including lead generation, costs of our annual conference, advertising, and trade shows, other event expenses, and allocated overhead costs. Sales and marketing expenses also include amortization of customer relationship intangible assets. We defer sales and partner commissions and amortize them over an estimated period of</w:t>
      </w:r>
    </w:p>
    <w:p>
      <w:pPr>
        <w:spacing w:after="0" w:line="20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2720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00"/>
          </w:cols>
          <w:pgMar w:left="240" w:top="571" w:right="259" w:bottom="1440" w:gutter="0" w:footer="0" w:header="0"/>
        </w:sectPr>
      </w:pPr>
    </w:p>
    <w:bookmarkStart w:id="40" w:name="page41"/>
    <w:bookmarkEnd w:id="40"/>
    <w:p>
      <w:pPr>
        <w:spacing w:after="0" w:line="246" w:lineRule="auto"/>
        <w:rPr>
          <w:sz w:val="20"/>
          <w:szCs w:val="20"/>
          <w:color w:val="auto"/>
        </w:rPr>
      </w:pPr>
      <w:r>
        <w:rPr>
          <w:rFonts w:ascii="Arial" w:cs="Arial" w:eastAsia="Arial" w:hAnsi="Arial"/>
          <w:sz w:val="18"/>
          <w:szCs w:val="18"/>
          <w:color w:val="auto"/>
        </w:rPr>
        <w:t>benefit of five years. We expect the annual trend in sales and marketing expenses to continue to increase as we expand our direct sales teams and increase sales through our strategic relationships and resellers.</w:t>
      </w:r>
    </w:p>
    <w:p>
      <w:pPr>
        <w:spacing w:after="0" w:line="175" w:lineRule="exact"/>
        <w:rPr>
          <w:sz w:val="20"/>
          <w:szCs w:val="20"/>
          <w:color w:val="auto"/>
        </w:rPr>
      </w:pPr>
    </w:p>
    <w:p>
      <w:pPr>
        <w:ind w:right="440" w:firstLine="518"/>
        <w:spacing w:after="0" w:line="244" w:lineRule="auto"/>
        <w:rPr>
          <w:sz w:val="20"/>
          <w:szCs w:val="20"/>
          <w:color w:val="auto"/>
        </w:rPr>
      </w:pPr>
      <w:r>
        <w:rPr>
          <w:rFonts w:ascii="Arial" w:cs="Arial" w:eastAsia="Arial" w:hAnsi="Arial"/>
          <w:sz w:val="18"/>
          <w:szCs w:val="18"/>
          <w:b w:val="1"/>
          <w:bCs w:val="1"/>
          <w:i w:val="1"/>
          <w:iCs w:val="1"/>
          <w:color w:val="auto"/>
        </w:rPr>
        <w:t xml:space="preserve">Research and development. </w:t>
      </w:r>
      <w:r>
        <w:rPr>
          <w:rFonts w:ascii="Arial" w:cs="Arial" w:eastAsia="Arial" w:hAnsi="Arial"/>
          <w:sz w:val="18"/>
          <w:szCs w:val="18"/>
          <w:color w:val="auto"/>
        </w:rPr>
        <w:t>Research and development expenses consist primarily of salaries, benefits and stock-based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compensation associated with our engineering, product and quality assurance personnel and allocated overhead costs. Research and development expenses also include the cost of third-party contractors. Other than internal-use software development costs that qualify for capitalization, research and development costs are expensed as incurred. We expect research and development costs to increase as we develop new solutions and make improvements to our existing platform.</w:t>
      </w:r>
    </w:p>
    <w:p>
      <w:pPr>
        <w:spacing w:after="0" w:line="177" w:lineRule="exact"/>
        <w:rPr>
          <w:sz w:val="20"/>
          <w:szCs w:val="20"/>
          <w:color w:val="auto"/>
        </w:rPr>
      </w:pPr>
    </w:p>
    <w:p>
      <w:pPr>
        <w:ind w:right="20" w:firstLine="518"/>
        <w:spacing w:after="0" w:line="242" w:lineRule="auto"/>
        <w:rPr>
          <w:sz w:val="20"/>
          <w:szCs w:val="20"/>
          <w:color w:val="auto"/>
        </w:rPr>
      </w:pPr>
      <w:r>
        <w:rPr>
          <w:rFonts w:ascii="Arial" w:cs="Arial" w:eastAsia="Arial" w:hAnsi="Arial"/>
          <w:sz w:val="18"/>
          <w:szCs w:val="18"/>
          <w:b w:val="1"/>
          <w:bCs w:val="1"/>
          <w:i w:val="1"/>
          <w:iCs w:val="1"/>
          <w:color w:val="auto"/>
        </w:rPr>
        <w:t xml:space="preserve">General and administrative. </w:t>
      </w:r>
      <w:r>
        <w:rPr>
          <w:rFonts w:ascii="Arial" w:cs="Arial" w:eastAsia="Arial" w:hAnsi="Arial"/>
          <w:sz w:val="18"/>
          <w:szCs w:val="18"/>
          <w:color w:val="auto"/>
        </w:rPr>
        <w:t>General and administrative expenses consist primarily of salaries, benefits and stock-based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compensation associated with our executive, finance, legal, human resources, compliance, and other administrative personnel, accounting, auditing and legal professional services fees, recruitment costs, other corporate-related expenses, and allocated overhead costs. General and administrative expenses also include amortization of covenant not to compete and tradename intangible assets, and the change in fair value of contingent consideration. We expect that general and administrative expenses will increase as we incur the costs of compliance associated with being a publicly-traded company, including legal, audit and consulting fees.</w:t>
      </w: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Income</w:t>
      </w:r>
    </w:p>
    <w:p>
      <w:pPr>
        <w:spacing w:after="0" w:line="126" w:lineRule="exact"/>
        <w:rPr>
          <w:sz w:val="20"/>
          <w:szCs w:val="20"/>
          <w:color w:val="auto"/>
        </w:rPr>
      </w:pPr>
    </w:p>
    <w:p>
      <w:pPr>
        <w:ind w:left="520"/>
        <w:spacing w:after="0"/>
        <w:rPr>
          <w:sz w:val="20"/>
          <w:szCs w:val="20"/>
          <w:color w:val="auto"/>
        </w:rPr>
      </w:pPr>
      <w:r>
        <w:rPr>
          <w:rFonts w:ascii="Arial" w:cs="Arial" w:eastAsia="Arial" w:hAnsi="Arial"/>
          <w:sz w:val="18"/>
          <w:szCs w:val="18"/>
          <w:color w:val="auto"/>
        </w:rPr>
        <w:t>Interest income primarily consists of earnings on our cash and cash equivalents and our marketable securities.</w:t>
      </w:r>
    </w:p>
    <w:p>
      <w:pPr>
        <w:spacing w:after="0" w:line="29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Expense</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Interest expense consists primarily of interest expense associated with our Convertible Senior Notes (the “Notes”) issued in August</w:t>
      </w:r>
    </w:p>
    <w:p>
      <w:pPr>
        <w:spacing w:after="0"/>
        <w:rPr>
          <w:sz w:val="20"/>
          <w:szCs w:val="20"/>
          <w:color w:val="auto"/>
        </w:rPr>
      </w:pPr>
      <w:r>
        <w:rPr>
          <w:rFonts w:ascii="Arial" w:cs="Arial" w:eastAsia="Arial" w:hAnsi="Arial"/>
          <w:sz w:val="18"/>
          <w:szCs w:val="18"/>
          <w:color w:val="auto"/>
        </w:rPr>
        <w:t>2019.</w:t>
      </w:r>
    </w:p>
    <w:p>
      <w:pPr>
        <w:spacing w:after="0" w:line="29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 in Fair Value of Common Stock Warrant Liability</w:t>
      </w:r>
    </w:p>
    <w:p>
      <w:pPr>
        <w:spacing w:after="0" w:line="126" w:lineRule="exact"/>
        <w:rPr>
          <w:sz w:val="20"/>
          <w:szCs w:val="20"/>
          <w:color w:val="auto"/>
        </w:rPr>
      </w:pPr>
    </w:p>
    <w:p>
      <w:pPr>
        <w:ind w:right="100" w:firstLine="518"/>
        <w:spacing w:after="0"/>
        <w:rPr>
          <w:sz w:val="20"/>
          <w:szCs w:val="20"/>
          <w:color w:val="auto"/>
        </w:rPr>
      </w:pPr>
      <w:r>
        <w:rPr>
          <w:rFonts w:ascii="Arial" w:cs="Arial" w:eastAsia="Arial" w:hAnsi="Arial"/>
          <w:sz w:val="18"/>
          <w:szCs w:val="18"/>
          <w:color w:val="auto"/>
        </w:rPr>
        <w:t>We issued warrants to purchase common stock in connection with our credit facility. The warrants were measured at fair value each period, with changes in fair value recorded in our consolidated statements of operations. The stock warrants were exercised in May 2017 and, accordingly, there will be no further changes in the fair value recorded in our results of operations.</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Provision for (Benefit from) Income Taxes</w:t>
      </w:r>
    </w:p>
    <w:p>
      <w:pPr>
        <w:spacing w:after="0" w:line="126" w:lineRule="exact"/>
        <w:rPr>
          <w:sz w:val="20"/>
          <w:szCs w:val="20"/>
          <w:color w:val="auto"/>
        </w:rPr>
      </w:pPr>
    </w:p>
    <w:p>
      <w:pPr>
        <w:ind w:right="280" w:firstLine="518"/>
        <w:spacing w:after="0" w:line="239" w:lineRule="auto"/>
        <w:rPr>
          <w:sz w:val="20"/>
          <w:szCs w:val="20"/>
          <w:color w:val="auto"/>
        </w:rPr>
      </w:pPr>
      <w:r>
        <w:rPr>
          <w:rFonts w:ascii="Arial" w:cs="Arial" w:eastAsia="Arial" w:hAnsi="Arial"/>
          <w:sz w:val="18"/>
          <w:szCs w:val="18"/>
          <w:color w:val="auto"/>
        </w:rPr>
        <w:t>We are subject to federal and state income taxes in the United States and taxes in foreign jurisdictions. We use the liability method of accounting for income taxes. Under the liability method, deferred taxes are determined based on the temporary differences between the financial statement and tax bases of assets and liabilities, using tax rates expected to be in effect during the years in which the bases differences are expected to reverse.</w:t>
      </w:r>
    </w:p>
    <w:p>
      <w:pPr>
        <w:spacing w:after="0" w:line="202" w:lineRule="exact"/>
        <w:rPr>
          <w:sz w:val="20"/>
          <w:szCs w:val="20"/>
          <w:color w:val="auto"/>
        </w:rPr>
      </w:pPr>
    </w:p>
    <w:p>
      <w:pPr>
        <w:ind w:right="80" w:firstLine="518"/>
        <w:spacing w:after="0" w:line="238" w:lineRule="auto"/>
        <w:rPr>
          <w:sz w:val="20"/>
          <w:szCs w:val="20"/>
          <w:color w:val="auto"/>
        </w:rPr>
      </w:pPr>
      <w:r>
        <w:rPr>
          <w:rFonts w:ascii="Arial" w:cs="Arial" w:eastAsia="Arial" w:hAnsi="Arial"/>
          <w:sz w:val="18"/>
          <w:szCs w:val="18"/>
          <w:color w:val="auto"/>
        </w:rPr>
        <w:t>We record a valuation allowance against our deferred tax assets to the extent that realization of the deferred tax assets, including consideration of our deferred tax liabilities, is not more likely than not. For the year ended December 31, 2019, for both federal and state income taxes, our deferred assets exceeded our deferred tax liabilities and because of our recent history of operating losses we believe that the realization of the deferred tax assets is currently not more likely than not. Accordingly, we have recorded a valuation allowance against our federal, state, and certain foreign deferred tax assets.</w:t>
      </w:r>
    </w:p>
    <w:p>
      <w:pPr>
        <w:spacing w:after="0" w:line="20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2720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380"/>
          </w:cols>
          <w:pgMar w:left="240" w:top="463" w:right="279" w:bottom="1440" w:gutter="0" w:footer="0" w:header="0"/>
        </w:sectPr>
      </w:pPr>
    </w:p>
    <w:bookmarkStart w:id="41" w:name="page42"/>
    <w:bookmarkEnd w:id="41"/>
    <w:p>
      <w:pPr>
        <w:jc w:val="center"/>
        <w:spacing w:after="0"/>
        <w:rPr>
          <w:sz w:val="20"/>
          <w:szCs w:val="20"/>
          <w:color w:val="auto"/>
        </w:rPr>
      </w:pPr>
      <w:r>
        <w:rPr>
          <w:rFonts w:ascii="Arial" w:cs="Arial" w:eastAsia="Arial" w:hAnsi="Arial"/>
          <w:sz w:val="18"/>
          <w:szCs w:val="18"/>
          <w:b w:val="1"/>
          <w:bCs w:val="1"/>
          <w:color w:val="auto"/>
        </w:rPr>
        <w:t>Non-GAAP Financial Measures</w:t>
      </w:r>
    </w:p>
    <w:p>
      <w:pPr>
        <w:spacing w:after="0" w:line="234" w:lineRule="exact"/>
        <w:rPr>
          <w:sz w:val="20"/>
          <w:szCs w:val="20"/>
          <w:color w:val="auto"/>
        </w:rPr>
      </w:pPr>
    </w:p>
    <w:p>
      <w:pPr>
        <w:ind w:right="80" w:firstLine="518"/>
        <w:spacing w:after="0" w:line="239" w:lineRule="auto"/>
        <w:rPr>
          <w:sz w:val="20"/>
          <w:szCs w:val="20"/>
          <w:color w:val="auto"/>
        </w:rPr>
      </w:pPr>
      <w:r>
        <w:rPr>
          <w:rFonts w:ascii="Arial" w:cs="Arial" w:eastAsia="Arial" w:hAnsi="Arial"/>
          <w:sz w:val="18"/>
          <w:szCs w:val="18"/>
          <w:color w:val="auto"/>
        </w:rPr>
        <w:t>In addition to our results determined in accordance with GAAP, we believe the non-GAAP measures below are useful to us and our investors in evaluating our business. These non-GAAP financial measures are useful because they provide consistency and comparability with our past performance, facilitate period-to-period comparisons of operations and facilitate comparisons with other peer companies, many of which use similar non-GAAP financial measures to supplement their GAAP results.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5740" w:type="dxa"/>
            <w:vAlign w:val="bottom"/>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1440" w:type="dxa"/>
            <w:vAlign w:val="bottom"/>
            <w:tcBorders>
              <w:bottom w:val="single" w:sz="8" w:color="auto"/>
            </w:tcBorders>
          </w:tcPr>
          <w:p>
            <w:pPr>
              <w:spacing w:after="0"/>
              <w:rPr>
                <w:sz w:val="15"/>
                <w:szCs w:val="15"/>
                <w:color w:val="auto"/>
              </w:rPr>
            </w:pPr>
          </w:p>
        </w:tc>
        <w:tc>
          <w:tcPr>
            <w:tcW w:w="1980" w:type="dxa"/>
            <w:vAlign w:val="bottom"/>
            <w:tcBorders>
              <w:bottom w:val="single" w:sz="8" w:color="auto"/>
            </w:tcBorders>
            <w:gridSpan w:val="2"/>
          </w:tcPr>
          <w:p>
            <w:pPr>
              <w:jc w:val="center"/>
              <w:ind w:right="54"/>
              <w:spacing w:after="0"/>
              <w:rPr>
                <w:sz w:val="20"/>
                <w:szCs w:val="20"/>
                <w:color w:val="auto"/>
              </w:rPr>
            </w:pPr>
            <w:r>
              <w:rPr>
                <w:rFonts w:ascii="Arial" w:cs="Arial" w:eastAsia="Arial" w:hAnsi="Arial"/>
                <w:sz w:val="14"/>
                <w:szCs w:val="14"/>
                <w:b w:val="1"/>
                <w:bCs w:val="1"/>
                <w:color w:val="auto"/>
              </w:rPr>
              <w:t>Year Ended December 31,</w:t>
            </w:r>
          </w:p>
        </w:tc>
        <w:tc>
          <w:tcPr>
            <w:tcW w:w="46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tcPr>
          <w:p>
            <w:pPr>
              <w:spacing w:after="0"/>
              <w:rPr>
                <w:sz w:val="15"/>
                <w:szCs w:val="15"/>
                <w:color w:val="auto"/>
              </w:rPr>
            </w:pPr>
          </w:p>
        </w:tc>
        <w:tc>
          <w:tcPr>
            <w:tcW w:w="180" w:type="dxa"/>
            <w:vAlign w:val="bottom"/>
          </w:tcPr>
          <w:p>
            <w:pPr>
              <w:spacing w:after="0"/>
              <w:rPr>
                <w:sz w:val="15"/>
                <w:szCs w:val="15"/>
                <w:color w:val="auto"/>
              </w:rPr>
            </w:pPr>
          </w:p>
        </w:tc>
      </w:tr>
      <w:tr>
        <w:trPr>
          <w:trHeight w:val="210"/>
        </w:trPr>
        <w:tc>
          <w:tcPr>
            <w:tcW w:w="574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ind w:right="777"/>
              <w:spacing w:after="0"/>
              <w:rPr>
                <w:sz w:val="20"/>
                <w:szCs w:val="20"/>
                <w:color w:val="auto"/>
              </w:rPr>
            </w:pPr>
            <w:r>
              <w:rPr>
                <w:rFonts w:ascii="Arial" w:cs="Arial" w:eastAsia="Arial" w:hAnsi="Arial"/>
                <w:sz w:val="14"/>
                <w:szCs w:val="14"/>
                <w:b w:val="1"/>
                <w:bCs w:val="1"/>
                <w:color w:val="auto"/>
              </w:rPr>
              <w:t>2019</w:t>
            </w:r>
          </w:p>
        </w:tc>
        <w:tc>
          <w:tcPr>
            <w:tcW w:w="50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jc w:val="center"/>
              <w:ind w:right="554"/>
              <w:spacing w:after="0"/>
              <w:rPr>
                <w:sz w:val="20"/>
                <w:szCs w:val="20"/>
                <w:color w:val="auto"/>
              </w:rPr>
            </w:pPr>
            <w:r>
              <w:rPr>
                <w:rFonts w:ascii="Arial" w:cs="Arial" w:eastAsia="Arial" w:hAnsi="Arial"/>
                <w:sz w:val="14"/>
                <w:szCs w:val="14"/>
                <w:b w:val="1"/>
                <w:bCs w:val="1"/>
                <w:color w:val="auto"/>
              </w:rPr>
              <w:t>2018</w:t>
            </w:r>
          </w:p>
        </w:tc>
        <w:tc>
          <w:tcPr>
            <w:tcW w:w="46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554"/>
              <w:spacing w:after="0"/>
              <w:rPr>
                <w:sz w:val="20"/>
                <w:szCs w:val="20"/>
                <w:color w:val="auto"/>
              </w:rPr>
            </w:pPr>
            <w:r>
              <w:rPr>
                <w:rFonts w:ascii="Arial" w:cs="Arial" w:eastAsia="Arial" w:hAnsi="Arial"/>
                <w:sz w:val="14"/>
                <w:szCs w:val="14"/>
                <w:b w:val="1"/>
                <w:bCs w:val="1"/>
                <w:color w:val="auto"/>
              </w:rPr>
              <w:t>2017</w:t>
            </w:r>
          </w:p>
        </w:tc>
        <w:tc>
          <w:tcPr>
            <w:tcW w:w="180" w:type="dxa"/>
            <w:vAlign w:val="bottom"/>
          </w:tcPr>
          <w:p>
            <w:pPr>
              <w:spacing w:after="0"/>
              <w:rPr>
                <w:sz w:val="18"/>
                <w:szCs w:val="18"/>
                <w:color w:val="auto"/>
              </w:rPr>
            </w:pPr>
          </w:p>
        </w:tc>
      </w:tr>
      <w:tr>
        <w:trPr>
          <w:trHeight w:val="210"/>
        </w:trPr>
        <w:tc>
          <w:tcPr>
            <w:tcW w:w="57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880" w:type="dxa"/>
            <w:vAlign w:val="bottom"/>
            <w:gridSpan w:val="4"/>
          </w:tcPr>
          <w:p>
            <w:pPr>
              <w:jc w:val="center"/>
              <w:ind w:left="777"/>
              <w:spacing w:after="0"/>
              <w:rPr>
                <w:sz w:val="20"/>
                <w:szCs w:val="20"/>
                <w:color w:val="auto"/>
              </w:rPr>
            </w:pPr>
            <w:r>
              <w:rPr>
                <w:rFonts w:ascii="Arial" w:cs="Arial" w:eastAsia="Arial" w:hAnsi="Arial"/>
                <w:sz w:val="14"/>
                <w:szCs w:val="14"/>
                <w:b w:val="1"/>
                <w:bCs w:val="1"/>
                <w:color w:val="auto"/>
              </w:rPr>
              <w:t>(in thousands, except percentages)</w:t>
            </w:r>
          </w:p>
        </w:tc>
        <w:tc>
          <w:tcPr>
            <w:tcW w:w="1240" w:type="dxa"/>
            <w:vAlign w:val="bottom"/>
          </w:tcPr>
          <w:p>
            <w:pPr>
              <w:spacing w:after="0"/>
              <w:rPr>
                <w:sz w:val="18"/>
                <w:szCs w:val="18"/>
                <w:color w:val="auto"/>
              </w:rPr>
            </w:pPr>
          </w:p>
        </w:tc>
        <w:tc>
          <w:tcPr>
            <w:tcW w:w="180" w:type="dxa"/>
            <w:vAlign w:val="bottom"/>
          </w:tcPr>
          <w:p>
            <w:pPr>
              <w:spacing w:after="0"/>
              <w:rPr>
                <w:sz w:val="18"/>
                <w:szCs w:val="18"/>
                <w:color w:val="auto"/>
              </w:rPr>
            </w:pPr>
          </w:p>
        </w:tc>
      </w:tr>
      <w:tr>
        <w:trPr>
          <w:trHeight w:val="216"/>
        </w:trPr>
        <w:tc>
          <w:tcPr>
            <w:tcW w:w="5740" w:type="dxa"/>
            <w:vAlign w:val="bottom"/>
            <w:shd w:val="clear" w:color="auto" w:fill="CFF0FC"/>
          </w:tcPr>
          <w:p>
            <w:pPr>
              <w:spacing w:after="0"/>
              <w:rPr>
                <w:sz w:val="20"/>
                <w:szCs w:val="20"/>
                <w:color w:val="auto"/>
              </w:rPr>
            </w:pPr>
            <w:r>
              <w:rPr>
                <w:rFonts w:ascii="Arial" w:cs="Arial" w:eastAsia="Arial" w:hAnsi="Arial"/>
                <w:sz w:val="18"/>
                <w:szCs w:val="18"/>
                <w:color w:val="auto"/>
              </w:rPr>
              <w:t>GAAP gross profit</w:t>
            </w:r>
          </w:p>
        </w:tc>
        <w:tc>
          <w:tcPr>
            <w:tcW w:w="380" w:type="dxa"/>
            <w:vAlign w:val="bottom"/>
            <w:shd w:val="clear" w:color="auto" w:fill="CFF0FC"/>
          </w:tcPr>
          <w:p>
            <w:pPr>
              <w:jc w:val="right"/>
              <w:ind w:right="190"/>
              <w:spacing w:after="0"/>
              <w:rPr>
                <w:sz w:val="20"/>
                <w:szCs w:val="20"/>
                <w:color w:val="auto"/>
              </w:rPr>
            </w:pPr>
            <w:r>
              <w:rPr>
                <w:rFonts w:ascii="Arial" w:cs="Arial" w:eastAsia="Arial" w:hAnsi="Arial"/>
                <w:sz w:val="18"/>
                <w:szCs w:val="18"/>
                <w:color w:val="auto"/>
                <w:w w:val="79"/>
              </w:rPr>
              <w:t>$</w:t>
            </w:r>
          </w:p>
        </w:tc>
        <w:tc>
          <w:tcPr>
            <w:tcW w:w="1440" w:type="dxa"/>
            <w:vAlign w:val="bottom"/>
            <w:shd w:val="clear" w:color="auto" w:fill="CFF0FC"/>
          </w:tcPr>
          <w:p>
            <w:pPr>
              <w:jc w:val="right"/>
              <w:ind w:right="137"/>
              <w:spacing w:after="0"/>
              <w:rPr>
                <w:sz w:val="20"/>
                <w:szCs w:val="20"/>
                <w:color w:val="auto"/>
              </w:rPr>
            </w:pPr>
            <w:r>
              <w:rPr>
                <w:rFonts w:ascii="Arial" w:cs="Arial" w:eastAsia="Arial" w:hAnsi="Arial"/>
                <w:sz w:val="18"/>
                <w:szCs w:val="18"/>
                <w:color w:val="auto"/>
              </w:rPr>
              <w:t>230,001</w:t>
            </w:r>
          </w:p>
        </w:tc>
        <w:tc>
          <w:tcPr>
            <w:tcW w:w="500" w:type="dxa"/>
            <w:vAlign w:val="bottom"/>
            <w:shd w:val="clear" w:color="auto" w:fill="CFF0FC"/>
          </w:tcPr>
          <w:p>
            <w:pPr>
              <w:jc w:val="right"/>
              <w:ind w:right="176"/>
              <w:spacing w:after="0"/>
              <w:rPr>
                <w:sz w:val="20"/>
                <w:szCs w:val="20"/>
                <w:color w:val="auto"/>
              </w:rPr>
            </w:pPr>
            <w:r>
              <w:rPr>
                <w:rFonts w:ascii="Arial" w:cs="Arial" w:eastAsia="Arial" w:hAnsi="Arial"/>
                <w:sz w:val="18"/>
                <w:szCs w:val="18"/>
                <w:color w:val="auto"/>
              </w:rPr>
              <w:t>$</w:t>
            </w:r>
          </w:p>
        </w:tc>
        <w:tc>
          <w:tcPr>
            <w:tcW w:w="1480" w:type="dxa"/>
            <w:vAlign w:val="bottom"/>
            <w:shd w:val="clear" w:color="auto" w:fill="CFF0FC"/>
          </w:tcPr>
          <w:p>
            <w:pPr>
              <w:jc w:val="right"/>
              <w:ind w:right="174"/>
              <w:spacing w:after="0"/>
              <w:rPr>
                <w:sz w:val="20"/>
                <w:szCs w:val="20"/>
                <w:color w:val="auto"/>
              </w:rPr>
            </w:pPr>
            <w:r>
              <w:rPr>
                <w:rFonts w:ascii="Arial" w:cs="Arial" w:eastAsia="Arial" w:hAnsi="Arial"/>
                <w:sz w:val="18"/>
                <w:szCs w:val="18"/>
                <w:color w:val="auto"/>
              </w:rPr>
              <w:t>176,914</w:t>
            </w:r>
          </w:p>
        </w:tc>
        <w:tc>
          <w:tcPr>
            <w:tcW w:w="460" w:type="dxa"/>
            <w:vAlign w:val="bottom"/>
            <w:shd w:val="clear" w:color="auto" w:fill="CFF0FC"/>
          </w:tcPr>
          <w:p>
            <w:pPr>
              <w:jc w:val="right"/>
              <w:ind w:right="170"/>
              <w:spacing w:after="0"/>
              <w:rPr>
                <w:sz w:val="20"/>
                <w:szCs w:val="20"/>
                <w:color w:val="auto"/>
              </w:rPr>
            </w:pPr>
            <w:r>
              <w:rPr>
                <w:rFonts w:ascii="Arial" w:cs="Arial" w:eastAsia="Arial" w:hAnsi="Arial"/>
                <w:sz w:val="18"/>
                <w:szCs w:val="18"/>
                <w:color w:val="auto"/>
              </w:rPr>
              <w:t>$</w:t>
            </w: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134,218</w:t>
            </w:r>
          </w:p>
        </w:tc>
        <w:tc>
          <w:tcPr>
            <w:tcW w:w="180" w:type="dxa"/>
            <w:vAlign w:val="bottom"/>
            <w:shd w:val="clear" w:color="auto" w:fill="CFF0FC"/>
          </w:tcPr>
          <w:p>
            <w:pPr>
              <w:spacing w:after="0"/>
              <w:rPr>
                <w:sz w:val="18"/>
                <w:szCs w:val="18"/>
                <w:color w:val="auto"/>
              </w:rPr>
            </w:pPr>
          </w:p>
        </w:tc>
      </w:tr>
      <w:tr>
        <w:trPr>
          <w:trHeight w:val="216"/>
        </w:trPr>
        <w:tc>
          <w:tcPr>
            <w:tcW w:w="5740" w:type="dxa"/>
            <w:vAlign w:val="bottom"/>
          </w:tcPr>
          <w:p>
            <w:pPr>
              <w:spacing w:after="0"/>
              <w:rPr>
                <w:sz w:val="20"/>
                <w:szCs w:val="20"/>
                <w:color w:val="auto"/>
              </w:rPr>
            </w:pPr>
            <w:r>
              <w:rPr>
                <w:rFonts w:ascii="Arial" w:cs="Arial" w:eastAsia="Arial" w:hAnsi="Arial"/>
                <w:sz w:val="18"/>
                <w:szCs w:val="18"/>
                <w:color w:val="auto"/>
              </w:rPr>
              <w:t>GAAP gross margin</w:t>
            </w:r>
          </w:p>
        </w:tc>
        <w:tc>
          <w:tcPr>
            <w:tcW w:w="38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79.6%</w:t>
            </w:r>
          </w:p>
        </w:tc>
        <w:tc>
          <w:tcPr>
            <w:tcW w:w="50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77.7%</w:t>
            </w:r>
          </w:p>
        </w:tc>
        <w:tc>
          <w:tcPr>
            <w:tcW w:w="460" w:type="dxa"/>
            <w:vAlign w:val="bottom"/>
          </w:tcPr>
          <w:p>
            <w:pPr>
              <w:spacing w:after="0"/>
              <w:rPr>
                <w:sz w:val="18"/>
                <w:szCs w:val="18"/>
                <w:color w:val="auto"/>
              </w:rPr>
            </w:pPr>
          </w:p>
        </w:tc>
        <w:tc>
          <w:tcPr>
            <w:tcW w:w="1420" w:type="dxa"/>
            <w:vAlign w:val="bottom"/>
            <w:gridSpan w:val="2"/>
          </w:tcPr>
          <w:p>
            <w:pPr>
              <w:jc w:val="right"/>
              <w:ind w:right="20"/>
              <w:spacing w:after="0"/>
              <w:rPr>
                <w:sz w:val="20"/>
                <w:szCs w:val="20"/>
                <w:color w:val="auto"/>
              </w:rPr>
            </w:pPr>
            <w:r>
              <w:rPr>
                <w:rFonts w:ascii="Arial" w:cs="Arial" w:eastAsia="Arial" w:hAnsi="Arial"/>
                <w:sz w:val="18"/>
                <w:szCs w:val="18"/>
                <w:color w:val="auto"/>
              </w:rPr>
              <w:t>76.4%</w:t>
            </w:r>
          </w:p>
        </w:tc>
      </w:tr>
      <w:tr>
        <w:trPr>
          <w:trHeight w:val="216"/>
        </w:trPr>
        <w:tc>
          <w:tcPr>
            <w:tcW w:w="5740" w:type="dxa"/>
            <w:vAlign w:val="bottom"/>
            <w:shd w:val="clear" w:color="auto" w:fill="CFF0FC"/>
          </w:tcPr>
          <w:p>
            <w:pPr>
              <w:spacing w:after="0"/>
              <w:rPr>
                <w:sz w:val="20"/>
                <w:szCs w:val="20"/>
                <w:color w:val="auto"/>
              </w:rPr>
            </w:pPr>
            <w:r>
              <w:rPr>
                <w:rFonts w:ascii="Arial" w:cs="Arial" w:eastAsia="Arial" w:hAnsi="Arial"/>
                <w:sz w:val="18"/>
                <w:szCs w:val="18"/>
                <w:color w:val="auto"/>
              </w:rPr>
              <w:t>GAAP net loss attributable to BlackLine, Inc.</w:t>
            </w:r>
          </w:p>
        </w:tc>
        <w:tc>
          <w:tcPr>
            <w:tcW w:w="380" w:type="dxa"/>
            <w:vAlign w:val="bottom"/>
            <w:shd w:val="clear" w:color="auto" w:fill="CFF0FC"/>
          </w:tcPr>
          <w:p>
            <w:pPr>
              <w:jc w:val="right"/>
              <w:ind w:right="190"/>
              <w:spacing w:after="0"/>
              <w:rPr>
                <w:sz w:val="20"/>
                <w:szCs w:val="20"/>
                <w:color w:val="auto"/>
              </w:rPr>
            </w:pPr>
            <w:r>
              <w:rPr>
                <w:rFonts w:ascii="Arial" w:cs="Arial" w:eastAsia="Arial" w:hAnsi="Arial"/>
                <w:sz w:val="18"/>
                <w:szCs w:val="18"/>
                <w:color w:val="auto"/>
                <w:w w:val="79"/>
              </w:rPr>
              <w:t>$</w:t>
            </w:r>
          </w:p>
        </w:tc>
        <w:tc>
          <w:tcPr>
            <w:tcW w:w="1440" w:type="dxa"/>
            <w:vAlign w:val="bottom"/>
            <w:shd w:val="clear" w:color="auto" w:fill="CFF0FC"/>
          </w:tcPr>
          <w:p>
            <w:pPr>
              <w:jc w:val="right"/>
              <w:ind w:right="57"/>
              <w:spacing w:after="0"/>
              <w:rPr>
                <w:sz w:val="20"/>
                <w:szCs w:val="20"/>
                <w:color w:val="auto"/>
              </w:rPr>
            </w:pPr>
            <w:r>
              <w:rPr>
                <w:rFonts w:ascii="Arial" w:cs="Arial" w:eastAsia="Arial" w:hAnsi="Arial"/>
                <w:sz w:val="18"/>
                <w:szCs w:val="18"/>
                <w:color w:val="auto"/>
              </w:rPr>
              <w:t>(32,535)</w:t>
            </w:r>
          </w:p>
        </w:tc>
        <w:tc>
          <w:tcPr>
            <w:tcW w:w="500" w:type="dxa"/>
            <w:vAlign w:val="bottom"/>
            <w:shd w:val="clear" w:color="auto" w:fill="CFF0FC"/>
          </w:tcPr>
          <w:p>
            <w:pPr>
              <w:jc w:val="right"/>
              <w:ind w:right="176"/>
              <w:spacing w:after="0"/>
              <w:rPr>
                <w:sz w:val="20"/>
                <w:szCs w:val="20"/>
                <w:color w:val="auto"/>
              </w:rPr>
            </w:pPr>
            <w:r>
              <w:rPr>
                <w:rFonts w:ascii="Arial" w:cs="Arial" w:eastAsia="Arial" w:hAnsi="Arial"/>
                <w:sz w:val="18"/>
                <w:szCs w:val="18"/>
                <w:color w:val="auto"/>
              </w:rPr>
              <w:t>$</w:t>
            </w:r>
          </w:p>
        </w:tc>
        <w:tc>
          <w:tcPr>
            <w:tcW w:w="1480" w:type="dxa"/>
            <w:vAlign w:val="bottom"/>
            <w:shd w:val="clear" w:color="auto" w:fill="CFF0FC"/>
          </w:tcPr>
          <w:p>
            <w:pPr>
              <w:jc w:val="right"/>
              <w:ind w:right="94"/>
              <w:spacing w:after="0"/>
              <w:rPr>
                <w:sz w:val="20"/>
                <w:szCs w:val="20"/>
                <w:color w:val="auto"/>
              </w:rPr>
            </w:pPr>
            <w:r>
              <w:rPr>
                <w:rFonts w:ascii="Arial" w:cs="Arial" w:eastAsia="Arial" w:hAnsi="Arial"/>
                <w:sz w:val="18"/>
                <w:szCs w:val="18"/>
                <w:color w:val="auto"/>
              </w:rPr>
              <w:t>(28,714)</w:t>
            </w:r>
          </w:p>
        </w:tc>
        <w:tc>
          <w:tcPr>
            <w:tcW w:w="460" w:type="dxa"/>
            <w:vAlign w:val="bottom"/>
            <w:shd w:val="clear" w:color="auto" w:fill="CFF0FC"/>
          </w:tcPr>
          <w:p>
            <w:pPr>
              <w:jc w:val="right"/>
              <w:ind w:right="170"/>
              <w:spacing w:after="0"/>
              <w:rPr>
                <w:sz w:val="20"/>
                <w:szCs w:val="20"/>
                <w:color w:val="auto"/>
              </w:rPr>
            </w:pPr>
            <w:r>
              <w:rPr>
                <w:rFonts w:ascii="Arial" w:cs="Arial" w:eastAsia="Arial" w:hAnsi="Arial"/>
                <w:sz w:val="18"/>
                <w:szCs w:val="18"/>
                <w:color w:val="auto"/>
              </w:rPr>
              <w:t>$</w:t>
            </w:r>
          </w:p>
        </w:tc>
        <w:tc>
          <w:tcPr>
            <w:tcW w:w="142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(33,408)</w:t>
            </w:r>
          </w:p>
        </w:tc>
      </w:tr>
      <w:tr>
        <w:trPr>
          <w:trHeight w:val="419"/>
        </w:trPr>
        <w:tc>
          <w:tcPr>
            <w:tcW w:w="5740" w:type="dxa"/>
            <w:vAlign w:val="bottom"/>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1440" w:type="dxa"/>
            <w:vAlign w:val="bottom"/>
            <w:tcBorders>
              <w:bottom w:val="single" w:sz="8" w:color="auto"/>
            </w:tcBorders>
          </w:tcPr>
          <w:p>
            <w:pPr>
              <w:spacing w:after="0"/>
              <w:rPr>
                <w:sz w:val="24"/>
                <w:szCs w:val="24"/>
                <w:color w:val="auto"/>
              </w:rPr>
            </w:pPr>
          </w:p>
        </w:tc>
        <w:tc>
          <w:tcPr>
            <w:tcW w:w="1980" w:type="dxa"/>
            <w:vAlign w:val="bottom"/>
            <w:tcBorders>
              <w:bottom w:val="single" w:sz="8" w:color="auto"/>
            </w:tcBorders>
            <w:gridSpan w:val="2"/>
          </w:tcPr>
          <w:p>
            <w:pPr>
              <w:jc w:val="center"/>
              <w:ind w:right="54"/>
              <w:spacing w:after="0"/>
              <w:rPr>
                <w:sz w:val="20"/>
                <w:szCs w:val="20"/>
                <w:color w:val="auto"/>
              </w:rPr>
            </w:pPr>
            <w:r>
              <w:rPr>
                <w:rFonts w:ascii="Arial" w:cs="Arial" w:eastAsia="Arial" w:hAnsi="Arial"/>
                <w:sz w:val="14"/>
                <w:szCs w:val="14"/>
                <w:b w:val="1"/>
                <w:bCs w:val="1"/>
                <w:color w:val="auto"/>
              </w:rPr>
              <w:t>Year Ended December 31,</w:t>
            </w:r>
          </w:p>
        </w:tc>
        <w:tc>
          <w:tcPr>
            <w:tcW w:w="46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spacing w:after="0"/>
              <w:rPr>
                <w:sz w:val="24"/>
                <w:szCs w:val="24"/>
                <w:color w:val="auto"/>
              </w:rPr>
            </w:pPr>
          </w:p>
        </w:tc>
        <w:tc>
          <w:tcPr>
            <w:tcW w:w="180" w:type="dxa"/>
            <w:vAlign w:val="bottom"/>
          </w:tcPr>
          <w:p>
            <w:pPr>
              <w:spacing w:after="0"/>
              <w:rPr>
                <w:sz w:val="24"/>
                <w:szCs w:val="24"/>
                <w:color w:val="auto"/>
              </w:rPr>
            </w:pPr>
          </w:p>
        </w:tc>
      </w:tr>
      <w:tr>
        <w:trPr>
          <w:trHeight w:val="210"/>
        </w:trPr>
        <w:tc>
          <w:tcPr>
            <w:tcW w:w="574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ind w:right="777"/>
              <w:spacing w:after="0"/>
              <w:rPr>
                <w:sz w:val="20"/>
                <w:szCs w:val="20"/>
                <w:color w:val="auto"/>
              </w:rPr>
            </w:pPr>
            <w:r>
              <w:rPr>
                <w:rFonts w:ascii="Arial" w:cs="Arial" w:eastAsia="Arial" w:hAnsi="Arial"/>
                <w:sz w:val="14"/>
                <w:szCs w:val="14"/>
                <w:b w:val="1"/>
                <w:bCs w:val="1"/>
                <w:color w:val="auto"/>
              </w:rPr>
              <w:t>2019</w:t>
            </w:r>
          </w:p>
        </w:tc>
        <w:tc>
          <w:tcPr>
            <w:tcW w:w="50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jc w:val="center"/>
              <w:ind w:right="554"/>
              <w:spacing w:after="0"/>
              <w:rPr>
                <w:sz w:val="20"/>
                <w:szCs w:val="20"/>
                <w:color w:val="auto"/>
              </w:rPr>
            </w:pPr>
            <w:r>
              <w:rPr>
                <w:rFonts w:ascii="Arial" w:cs="Arial" w:eastAsia="Arial" w:hAnsi="Arial"/>
                <w:sz w:val="14"/>
                <w:szCs w:val="14"/>
                <w:b w:val="1"/>
                <w:bCs w:val="1"/>
                <w:color w:val="auto"/>
              </w:rPr>
              <w:t>2018</w:t>
            </w:r>
          </w:p>
        </w:tc>
        <w:tc>
          <w:tcPr>
            <w:tcW w:w="46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554"/>
              <w:spacing w:after="0"/>
              <w:rPr>
                <w:sz w:val="20"/>
                <w:szCs w:val="20"/>
                <w:color w:val="auto"/>
              </w:rPr>
            </w:pPr>
            <w:r>
              <w:rPr>
                <w:rFonts w:ascii="Arial" w:cs="Arial" w:eastAsia="Arial" w:hAnsi="Arial"/>
                <w:sz w:val="14"/>
                <w:szCs w:val="14"/>
                <w:b w:val="1"/>
                <w:bCs w:val="1"/>
                <w:color w:val="auto"/>
              </w:rPr>
              <w:t>2017</w:t>
            </w:r>
          </w:p>
        </w:tc>
        <w:tc>
          <w:tcPr>
            <w:tcW w:w="180" w:type="dxa"/>
            <w:vAlign w:val="bottom"/>
          </w:tcPr>
          <w:p>
            <w:pPr>
              <w:spacing w:after="0"/>
              <w:rPr>
                <w:sz w:val="18"/>
                <w:szCs w:val="18"/>
                <w:color w:val="auto"/>
              </w:rPr>
            </w:pPr>
          </w:p>
        </w:tc>
      </w:tr>
      <w:tr>
        <w:trPr>
          <w:trHeight w:val="210"/>
        </w:trPr>
        <w:tc>
          <w:tcPr>
            <w:tcW w:w="57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880" w:type="dxa"/>
            <w:vAlign w:val="bottom"/>
            <w:gridSpan w:val="4"/>
          </w:tcPr>
          <w:p>
            <w:pPr>
              <w:jc w:val="center"/>
              <w:ind w:left="777"/>
              <w:spacing w:after="0"/>
              <w:rPr>
                <w:sz w:val="20"/>
                <w:szCs w:val="20"/>
                <w:color w:val="auto"/>
              </w:rPr>
            </w:pPr>
            <w:r>
              <w:rPr>
                <w:rFonts w:ascii="Arial" w:cs="Arial" w:eastAsia="Arial" w:hAnsi="Arial"/>
                <w:sz w:val="14"/>
                <w:szCs w:val="14"/>
                <w:b w:val="1"/>
                <w:bCs w:val="1"/>
                <w:color w:val="auto"/>
              </w:rPr>
              <w:t>(in thousands, except percentages)</w:t>
            </w:r>
          </w:p>
        </w:tc>
        <w:tc>
          <w:tcPr>
            <w:tcW w:w="1240" w:type="dxa"/>
            <w:vAlign w:val="bottom"/>
          </w:tcPr>
          <w:p>
            <w:pPr>
              <w:spacing w:after="0"/>
              <w:rPr>
                <w:sz w:val="18"/>
                <w:szCs w:val="18"/>
                <w:color w:val="auto"/>
              </w:rPr>
            </w:pPr>
          </w:p>
        </w:tc>
        <w:tc>
          <w:tcPr>
            <w:tcW w:w="180" w:type="dxa"/>
            <w:vAlign w:val="bottom"/>
          </w:tcPr>
          <w:p>
            <w:pPr>
              <w:spacing w:after="0"/>
              <w:rPr>
                <w:sz w:val="18"/>
                <w:szCs w:val="18"/>
                <w:color w:val="auto"/>
              </w:rPr>
            </w:pPr>
          </w:p>
        </w:tc>
      </w:tr>
      <w:tr>
        <w:trPr>
          <w:trHeight w:val="216"/>
        </w:trPr>
        <w:tc>
          <w:tcPr>
            <w:tcW w:w="5740" w:type="dxa"/>
            <w:vAlign w:val="bottom"/>
            <w:shd w:val="clear" w:color="auto" w:fill="CFF0FC"/>
          </w:tcPr>
          <w:p>
            <w:pPr>
              <w:spacing w:after="0"/>
              <w:rPr>
                <w:sz w:val="20"/>
                <w:szCs w:val="20"/>
                <w:color w:val="auto"/>
              </w:rPr>
            </w:pPr>
            <w:r>
              <w:rPr>
                <w:rFonts w:ascii="Arial" w:cs="Arial" w:eastAsia="Arial" w:hAnsi="Arial"/>
                <w:sz w:val="18"/>
                <w:szCs w:val="18"/>
                <w:color w:val="auto"/>
              </w:rPr>
              <w:t>Non-GAAP gross profit</w:t>
            </w:r>
          </w:p>
        </w:tc>
        <w:tc>
          <w:tcPr>
            <w:tcW w:w="380" w:type="dxa"/>
            <w:vAlign w:val="bottom"/>
            <w:shd w:val="clear" w:color="auto" w:fill="CFF0FC"/>
          </w:tcPr>
          <w:p>
            <w:pPr>
              <w:jc w:val="right"/>
              <w:ind w:right="190"/>
              <w:spacing w:after="0"/>
              <w:rPr>
                <w:sz w:val="20"/>
                <w:szCs w:val="20"/>
                <w:color w:val="auto"/>
              </w:rPr>
            </w:pPr>
            <w:r>
              <w:rPr>
                <w:rFonts w:ascii="Arial" w:cs="Arial" w:eastAsia="Arial" w:hAnsi="Arial"/>
                <w:sz w:val="18"/>
                <w:szCs w:val="18"/>
                <w:color w:val="auto"/>
                <w:w w:val="79"/>
              </w:rPr>
              <w:t>$</w:t>
            </w:r>
          </w:p>
        </w:tc>
        <w:tc>
          <w:tcPr>
            <w:tcW w:w="1440" w:type="dxa"/>
            <w:vAlign w:val="bottom"/>
            <w:shd w:val="clear" w:color="auto" w:fill="CFF0FC"/>
          </w:tcPr>
          <w:p>
            <w:pPr>
              <w:jc w:val="right"/>
              <w:ind w:right="137"/>
              <w:spacing w:after="0"/>
              <w:rPr>
                <w:sz w:val="20"/>
                <w:szCs w:val="20"/>
                <w:color w:val="auto"/>
              </w:rPr>
            </w:pPr>
            <w:r>
              <w:rPr>
                <w:rFonts w:ascii="Arial" w:cs="Arial" w:eastAsia="Arial" w:hAnsi="Arial"/>
                <w:sz w:val="18"/>
                <w:szCs w:val="18"/>
                <w:color w:val="auto"/>
              </w:rPr>
              <w:t>239,612</w:t>
            </w:r>
          </w:p>
        </w:tc>
        <w:tc>
          <w:tcPr>
            <w:tcW w:w="500" w:type="dxa"/>
            <w:vAlign w:val="bottom"/>
            <w:shd w:val="clear" w:color="auto" w:fill="CFF0FC"/>
          </w:tcPr>
          <w:p>
            <w:pPr>
              <w:jc w:val="right"/>
              <w:ind w:right="176"/>
              <w:spacing w:after="0"/>
              <w:rPr>
                <w:sz w:val="20"/>
                <w:szCs w:val="20"/>
                <w:color w:val="auto"/>
              </w:rPr>
            </w:pPr>
            <w:r>
              <w:rPr>
                <w:rFonts w:ascii="Arial" w:cs="Arial" w:eastAsia="Arial" w:hAnsi="Arial"/>
                <w:sz w:val="18"/>
                <w:szCs w:val="18"/>
                <w:color w:val="auto"/>
              </w:rPr>
              <w:t>$</w:t>
            </w:r>
          </w:p>
        </w:tc>
        <w:tc>
          <w:tcPr>
            <w:tcW w:w="1480" w:type="dxa"/>
            <w:vAlign w:val="bottom"/>
            <w:shd w:val="clear" w:color="auto" w:fill="CFF0FC"/>
          </w:tcPr>
          <w:p>
            <w:pPr>
              <w:jc w:val="right"/>
              <w:ind w:right="174"/>
              <w:spacing w:after="0"/>
              <w:rPr>
                <w:sz w:val="20"/>
                <w:szCs w:val="20"/>
                <w:color w:val="auto"/>
              </w:rPr>
            </w:pPr>
            <w:r>
              <w:rPr>
                <w:rFonts w:ascii="Arial" w:cs="Arial" w:eastAsia="Arial" w:hAnsi="Arial"/>
                <w:sz w:val="18"/>
                <w:szCs w:val="18"/>
                <w:color w:val="auto"/>
              </w:rPr>
              <w:t>187,042</w:t>
            </w:r>
          </w:p>
        </w:tc>
        <w:tc>
          <w:tcPr>
            <w:tcW w:w="460" w:type="dxa"/>
            <w:vAlign w:val="bottom"/>
            <w:shd w:val="clear" w:color="auto" w:fill="CFF0FC"/>
          </w:tcPr>
          <w:p>
            <w:pPr>
              <w:jc w:val="right"/>
              <w:ind w:right="170"/>
              <w:spacing w:after="0"/>
              <w:rPr>
                <w:sz w:val="20"/>
                <w:szCs w:val="20"/>
                <w:color w:val="auto"/>
              </w:rPr>
            </w:pPr>
            <w:r>
              <w:rPr>
                <w:rFonts w:ascii="Arial" w:cs="Arial" w:eastAsia="Arial" w:hAnsi="Arial"/>
                <w:sz w:val="18"/>
                <w:szCs w:val="18"/>
                <w:color w:val="auto"/>
              </w:rPr>
              <w:t>$</w:t>
            </w: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142,214</w:t>
            </w:r>
          </w:p>
        </w:tc>
        <w:tc>
          <w:tcPr>
            <w:tcW w:w="180" w:type="dxa"/>
            <w:vAlign w:val="bottom"/>
            <w:shd w:val="clear" w:color="auto" w:fill="CFF0FC"/>
          </w:tcPr>
          <w:p>
            <w:pPr>
              <w:spacing w:after="0"/>
              <w:rPr>
                <w:sz w:val="18"/>
                <w:szCs w:val="18"/>
                <w:color w:val="auto"/>
              </w:rPr>
            </w:pPr>
          </w:p>
        </w:tc>
      </w:tr>
      <w:tr>
        <w:trPr>
          <w:trHeight w:val="216"/>
        </w:trPr>
        <w:tc>
          <w:tcPr>
            <w:tcW w:w="5740" w:type="dxa"/>
            <w:vAlign w:val="bottom"/>
          </w:tcPr>
          <w:p>
            <w:pPr>
              <w:spacing w:after="0"/>
              <w:rPr>
                <w:sz w:val="20"/>
                <w:szCs w:val="20"/>
                <w:color w:val="auto"/>
              </w:rPr>
            </w:pPr>
            <w:r>
              <w:rPr>
                <w:rFonts w:ascii="Arial" w:cs="Arial" w:eastAsia="Arial" w:hAnsi="Arial"/>
                <w:sz w:val="18"/>
                <w:szCs w:val="18"/>
                <w:color w:val="auto"/>
              </w:rPr>
              <w:t>Non-GAAP gross margin</w:t>
            </w:r>
          </w:p>
        </w:tc>
        <w:tc>
          <w:tcPr>
            <w:tcW w:w="38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82.9%</w:t>
            </w:r>
          </w:p>
        </w:tc>
        <w:tc>
          <w:tcPr>
            <w:tcW w:w="50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82.1%</w:t>
            </w:r>
          </w:p>
        </w:tc>
        <w:tc>
          <w:tcPr>
            <w:tcW w:w="460" w:type="dxa"/>
            <w:vAlign w:val="bottom"/>
          </w:tcPr>
          <w:p>
            <w:pPr>
              <w:spacing w:after="0"/>
              <w:rPr>
                <w:sz w:val="18"/>
                <w:szCs w:val="18"/>
                <w:color w:val="auto"/>
              </w:rPr>
            </w:pPr>
          </w:p>
        </w:tc>
        <w:tc>
          <w:tcPr>
            <w:tcW w:w="1420" w:type="dxa"/>
            <w:vAlign w:val="bottom"/>
            <w:gridSpan w:val="2"/>
          </w:tcPr>
          <w:p>
            <w:pPr>
              <w:jc w:val="right"/>
              <w:ind w:right="20"/>
              <w:spacing w:after="0"/>
              <w:rPr>
                <w:sz w:val="20"/>
                <w:szCs w:val="20"/>
                <w:color w:val="auto"/>
              </w:rPr>
            </w:pPr>
            <w:r>
              <w:rPr>
                <w:rFonts w:ascii="Arial" w:cs="Arial" w:eastAsia="Arial" w:hAnsi="Arial"/>
                <w:sz w:val="18"/>
                <w:szCs w:val="18"/>
                <w:color w:val="auto"/>
              </w:rPr>
              <w:t>81.0%</w:t>
            </w:r>
          </w:p>
        </w:tc>
      </w:tr>
      <w:tr>
        <w:trPr>
          <w:trHeight w:val="216"/>
        </w:trPr>
        <w:tc>
          <w:tcPr>
            <w:tcW w:w="5740" w:type="dxa"/>
            <w:vAlign w:val="bottom"/>
            <w:shd w:val="clear" w:color="auto" w:fill="CFF0FC"/>
          </w:tcPr>
          <w:p>
            <w:pPr>
              <w:spacing w:after="0"/>
              <w:rPr>
                <w:sz w:val="20"/>
                <w:szCs w:val="20"/>
                <w:color w:val="auto"/>
              </w:rPr>
            </w:pPr>
            <w:r>
              <w:rPr>
                <w:rFonts w:ascii="Arial" w:cs="Arial" w:eastAsia="Arial" w:hAnsi="Arial"/>
                <w:sz w:val="18"/>
                <w:szCs w:val="18"/>
                <w:color w:val="auto"/>
              </w:rPr>
              <w:t>Non-GAAP net income attributable to BlackLine, Inc.</w:t>
            </w:r>
          </w:p>
        </w:tc>
        <w:tc>
          <w:tcPr>
            <w:tcW w:w="380" w:type="dxa"/>
            <w:vAlign w:val="bottom"/>
            <w:shd w:val="clear" w:color="auto" w:fill="CFF0FC"/>
          </w:tcPr>
          <w:p>
            <w:pPr>
              <w:jc w:val="right"/>
              <w:ind w:right="190"/>
              <w:spacing w:after="0"/>
              <w:rPr>
                <w:sz w:val="20"/>
                <w:szCs w:val="20"/>
                <w:color w:val="auto"/>
              </w:rPr>
            </w:pPr>
            <w:r>
              <w:rPr>
                <w:rFonts w:ascii="Arial" w:cs="Arial" w:eastAsia="Arial" w:hAnsi="Arial"/>
                <w:sz w:val="18"/>
                <w:szCs w:val="18"/>
                <w:color w:val="auto"/>
                <w:w w:val="79"/>
              </w:rPr>
              <w:t>$</w:t>
            </w:r>
          </w:p>
        </w:tc>
        <w:tc>
          <w:tcPr>
            <w:tcW w:w="1440" w:type="dxa"/>
            <w:vAlign w:val="bottom"/>
            <w:shd w:val="clear" w:color="auto" w:fill="CFF0FC"/>
          </w:tcPr>
          <w:p>
            <w:pPr>
              <w:jc w:val="right"/>
              <w:ind w:right="137"/>
              <w:spacing w:after="0"/>
              <w:rPr>
                <w:sz w:val="20"/>
                <w:szCs w:val="20"/>
                <w:color w:val="auto"/>
              </w:rPr>
            </w:pPr>
            <w:r>
              <w:rPr>
                <w:rFonts w:ascii="Arial" w:cs="Arial" w:eastAsia="Arial" w:hAnsi="Arial"/>
                <w:sz w:val="18"/>
                <w:szCs w:val="18"/>
                <w:color w:val="auto"/>
              </w:rPr>
              <w:t>21,993</w:t>
            </w:r>
          </w:p>
        </w:tc>
        <w:tc>
          <w:tcPr>
            <w:tcW w:w="500" w:type="dxa"/>
            <w:vAlign w:val="bottom"/>
            <w:shd w:val="clear" w:color="auto" w:fill="CFF0FC"/>
          </w:tcPr>
          <w:p>
            <w:pPr>
              <w:jc w:val="right"/>
              <w:ind w:right="176"/>
              <w:spacing w:after="0"/>
              <w:rPr>
                <w:sz w:val="20"/>
                <w:szCs w:val="20"/>
                <w:color w:val="auto"/>
              </w:rPr>
            </w:pPr>
            <w:r>
              <w:rPr>
                <w:rFonts w:ascii="Arial" w:cs="Arial" w:eastAsia="Arial" w:hAnsi="Arial"/>
                <w:sz w:val="18"/>
                <w:szCs w:val="18"/>
                <w:color w:val="auto"/>
              </w:rPr>
              <w:t>$</w:t>
            </w:r>
          </w:p>
        </w:tc>
        <w:tc>
          <w:tcPr>
            <w:tcW w:w="1480" w:type="dxa"/>
            <w:vAlign w:val="bottom"/>
            <w:shd w:val="clear" w:color="auto" w:fill="CFF0FC"/>
          </w:tcPr>
          <w:p>
            <w:pPr>
              <w:jc w:val="right"/>
              <w:ind w:right="174"/>
              <w:spacing w:after="0"/>
              <w:rPr>
                <w:sz w:val="20"/>
                <w:szCs w:val="20"/>
                <w:color w:val="auto"/>
              </w:rPr>
            </w:pPr>
            <w:r>
              <w:rPr>
                <w:rFonts w:ascii="Arial" w:cs="Arial" w:eastAsia="Arial" w:hAnsi="Arial"/>
                <w:sz w:val="18"/>
                <w:szCs w:val="18"/>
                <w:color w:val="auto"/>
              </w:rPr>
              <w:t>5,515</w:t>
            </w:r>
          </w:p>
        </w:tc>
        <w:tc>
          <w:tcPr>
            <w:tcW w:w="460" w:type="dxa"/>
            <w:vAlign w:val="bottom"/>
            <w:shd w:val="clear" w:color="auto" w:fill="CFF0FC"/>
          </w:tcPr>
          <w:p>
            <w:pPr>
              <w:jc w:val="right"/>
              <w:ind w:right="170"/>
              <w:spacing w:after="0"/>
              <w:rPr>
                <w:sz w:val="20"/>
                <w:szCs w:val="20"/>
                <w:color w:val="auto"/>
              </w:rPr>
            </w:pPr>
            <w:r>
              <w:rPr>
                <w:rFonts w:ascii="Arial" w:cs="Arial" w:eastAsia="Arial" w:hAnsi="Arial"/>
                <w:sz w:val="18"/>
                <w:szCs w:val="18"/>
                <w:color w:val="auto"/>
              </w:rPr>
              <w:t>$</w:t>
            </w: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1,180</w:t>
            </w:r>
          </w:p>
        </w:tc>
        <w:tc>
          <w:tcPr>
            <w:tcW w:w="180" w:type="dxa"/>
            <w:vAlign w:val="bottom"/>
            <w:shd w:val="clear" w:color="auto" w:fill="CFF0FC"/>
          </w:tcPr>
          <w:p>
            <w:pPr>
              <w:spacing w:after="0"/>
              <w:rPr>
                <w:sz w:val="18"/>
                <w:szCs w:val="18"/>
                <w:color w:val="auto"/>
              </w:rPr>
            </w:pPr>
          </w:p>
        </w:tc>
      </w:tr>
    </w:tbl>
    <w:p>
      <w:pPr>
        <w:spacing w:after="0" w:line="197" w:lineRule="exact"/>
        <w:rPr>
          <w:sz w:val="20"/>
          <w:szCs w:val="20"/>
          <w:color w:val="auto"/>
        </w:rPr>
      </w:pPr>
    </w:p>
    <w:p>
      <w:pPr>
        <w:ind w:right="140" w:firstLine="518"/>
        <w:spacing w:after="0" w:line="242" w:lineRule="auto"/>
        <w:rPr>
          <w:sz w:val="20"/>
          <w:szCs w:val="20"/>
          <w:color w:val="auto"/>
        </w:rPr>
      </w:pPr>
      <w:r>
        <w:rPr>
          <w:rFonts w:ascii="Arial" w:cs="Arial" w:eastAsia="Arial" w:hAnsi="Arial"/>
          <w:sz w:val="18"/>
          <w:szCs w:val="18"/>
          <w:i w:val="1"/>
          <w:iCs w:val="1"/>
          <w:color w:val="auto"/>
        </w:rPr>
        <w:t>Non-GAAP Gross Profit and Non-GAAP Gross Margin</w:t>
      </w:r>
      <w:r>
        <w:rPr>
          <w:rFonts w:ascii="Arial" w:cs="Arial" w:eastAsia="Arial" w:hAnsi="Arial"/>
          <w:sz w:val="18"/>
          <w:szCs w:val="18"/>
          <w:color w:val="auto"/>
        </w:rPr>
        <w:t>. Non-GAAP gross profit is defined as GAAP revenues less GAAP cost of</w:t>
      </w:r>
      <w:r>
        <w:rPr>
          <w:rFonts w:ascii="Arial" w:cs="Arial" w:eastAsia="Arial" w:hAnsi="Arial"/>
          <w:sz w:val="18"/>
          <w:szCs w:val="18"/>
          <w:i w:val="1"/>
          <w:iCs w:val="1"/>
          <w:color w:val="auto"/>
        </w:rPr>
        <w:t xml:space="preserve"> </w:t>
      </w:r>
      <w:r>
        <w:rPr>
          <w:rFonts w:ascii="Arial" w:cs="Arial" w:eastAsia="Arial" w:hAnsi="Arial"/>
          <w:sz w:val="18"/>
          <w:szCs w:val="18"/>
          <w:color w:val="auto"/>
        </w:rPr>
        <w:t>revenue adjusted for the amortization of acquired developed technology resulting from the 2013 Acquisition and the Runbook Acquisition, and stock-based compensation. Non-GAAP gross margin is defined as non-GAAP gross profit divided by GAAP revenues. We believe that presenting non-GAAP gross margin is useful to investors as it eliminates the impact of certain non-cash expenses and allows a direct comparison of gross margin between periods.</w:t>
      </w:r>
    </w:p>
    <w:p>
      <w:pPr>
        <w:spacing w:after="0" w:line="185" w:lineRule="exact"/>
        <w:rPr>
          <w:sz w:val="20"/>
          <w:szCs w:val="20"/>
          <w:color w:val="auto"/>
        </w:rPr>
      </w:pPr>
    </w:p>
    <w:p>
      <w:pPr>
        <w:ind w:right="60" w:firstLine="518"/>
        <w:spacing w:after="0" w:line="239" w:lineRule="auto"/>
        <w:rPr>
          <w:sz w:val="20"/>
          <w:szCs w:val="20"/>
          <w:color w:val="auto"/>
        </w:rPr>
      </w:pPr>
      <w:r>
        <w:rPr>
          <w:rFonts w:ascii="Arial" w:cs="Arial" w:eastAsia="Arial" w:hAnsi="Arial"/>
          <w:sz w:val="18"/>
          <w:szCs w:val="18"/>
          <w:i w:val="1"/>
          <w:iCs w:val="1"/>
          <w:color w:val="auto"/>
        </w:rPr>
        <w:t>Non-GAAP Net Income</w:t>
      </w:r>
      <w:r>
        <w:rPr>
          <w:rFonts w:ascii="Arial" w:cs="Arial" w:eastAsia="Arial" w:hAnsi="Arial"/>
          <w:sz w:val="18"/>
          <w:szCs w:val="18"/>
          <w:color w:val="auto"/>
        </w:rPr>
        <w:t>. Non-GAAP net income is defined as GAAP net loss adjusted for the impact of the provision for (benefit from)</w:t>
      </w:r>
      <w:r>
        <w:rPr>
          <w:rFonts w:ascii="Arial" w:cs="Arial" w:eastAsia="Arial" w:hAnsi="Arial"/>
          <w:sz w:val="18"/>
          <w:szCs w:val="18"/>
          <w:i w:val="1"/>
          <w:iCs w:val="1"/>
          <w:color w:val="auto"/>
        </w:rPr>
        <w:t xml:space="preserve"> </w:t>
      </w:r>
      <w:r>
        <w:rPr>
          <w:rFonts w:ascii="Arial" w:cs="Arial" w:eastAsia="Arial" w:hAnsi="Arial"/>
          <w:sz w:val="18"/>
          <w:szCs w:val="18"/>
          <w:color w:val="auto"/>
        </w:rPr>
        <w:t>income taxes that we were able to recognize as a result of the deferred tax liabilities associated with the intangible assets established upon the 2013 Acquisition and the Runbook Acquisition, amortization of acquired intangible assets resulting from the 2013 Acquisition and the Runbook Acquisition, stock-based compensation, the amortization of debt discount and issuance costs from our convertible notes, the change in the fair value of contingent consideration, the change in fair value of the common stock warrant liability, legal settlement gains, cost incurred in relation to our secondary offering, cost incurred relating to our shelf offering, and adjustment to redeemable non-controlling interest. We believe that presenting non-GAAP net income is useful to investors as it eliminates the impact of items that have been impacted by the 2013 Acquisition and the Runbook Acquisition, purchase accounting and other related costs in order to allow a direct comparison of net income (loss) between current and historical periods.</w:t>
      </w: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2720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657" w:right="239" w:bottom="1440" w:gutter="0" w:footer="0" w:header="0"/>
        </w:sectPr>
      </w:pPr>
    </w:p>
    <w:bookmarkStart w:id="42" w:name="page43"/>
    <w:bookmarkEnd w:id="42"/>
    <w:p>
      <w:pPr>
        <w:spacing w:after="0"/>
        <w:rPr>
          <w:sz w:val="20"/>
          <w:szCs w:val="20"/>
          <w:color w:val="auto"/>
        </w:rPr>
      </w:pPr>
      <w:r>
        <w:rPr>
          <w:rFonts w:ascii="Arial" w:cs="Arial" w:eastAsia="Arial" w:hAnsi="Arial"/>
          <w:sz w:val="18"/>
          <w:szCs w:val="18"/>
          <w:b w:val="1"/>
          <w:bCs w:val="1"/>
          <w:i w:val="1"/>
          <w:iCs w:val="1"/>
          <w:color w:val="auto"/>
        </w:rPr>
        <w:t>Reconciliation of Non-GAAP Financial Measures</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following table presents a reconciliation of gross profit, gross margin, and net loss, the most comparable GAAP measures to non-</w:t>
      </w:r>
    </w:p>
    <w:p>
      <w:pPr>
        <w:spacing w:after="0"/>
        <w:rPr>
          <w:sz w:val="20"/>
          <w:szCs w:val="20"/>
          <w:color w:val="auto"/>
        </w:rPr>
      </w:pPr>
      <w:r>
        <w:rPr>
          <w:rFonts w:ascii="Arial" w:cs="Arial" w:eastAsia="Arial" w:hAnsi="Arial"/>
          <w:sz w:val="18"/>
          <w:szCs w:val="18"/>
          <w:color w:val="auto"/>
        </w:rPr>
        <w:t>GAAP gross profit, non-GAAP gross margin and non-GAAP net income:</w:t>
      </w:r>
    </w:p>
    <w:p>
      <w:pPr>
        <w:spacing w:after="0" w:line="294"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20" w:type="dxa"/>
            <w:vAlign w:val="bottom"/>
          </w:tcPr>
          <w:p>
            <w:pPr>
              <w:spacing w:after="0"/>
              <w:rPr>
                <w:sz w:val="15"/>
                <w:szCs w:val="15"/>
                <w:color w:val="auto"/>
              </w:rPr>
            </w:pPr>
          </w:p>
        </w:tc>
        <w:tc>
          <w:tcPr>
            <w:tcW w:w="51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980" w:type="dxa"/>
            <w:vAlign w:val="bottom"/>
            <w:tcBorders>
              <w:bottom w:val="single" w:sz="8" w:color="auto"/>
            </w:tcBorders>
            <w:gridSpan w:val="4"/>
          </w:tcPr>
          <w:p>
            <w:pPr>
              <w:jc w:val="center"/>
              <w:ind w:right="100"/>
              <w:spacing w:after="0"/>
              <w:rPr>
                <w:sz w:val="20"/>
                <w:szCs w:val="20"/>
                <w:color w:val="auto"/>
              </w:rPr>
            </w:pPr>
            <w:r>
              <w:rPr>
                <w:rFonts w:ascii="Arial" w:cs="Arial" w:eastAsia="Arial" w:hAnsi="Arial"/>
                <w:sz w:val="14"/>
                <w:szCs w:val="14"/>
                <w:b w:val="1"/>
                <w:bCs w:val="1"/>
                <w:color w:val="auto"/>
              </w:rPr>
              <w:t>Year Ended December 31,</w:t>
            </w:r>
          </w:p>
        </w:tc>
        <w:tc>
          <w:tcPr>
            <w:tcW w:w="100" w:type="dxa"/>
            <w:vAlign w:val="bottom"/>
            <w:tcBorders>
              <w:bottom w:val="single" w:sz="8" w:color="auto"/>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tcPr>
          <w:p>
            <w:pPr>
              <w:spacing w:after="0"/>
              <w:rPr>
                <w:sz w:val="15"/>
                <w:szCs w:val="15"/>
                <w:color w:val="auto"/>
              </w:rPr>
            </w:pPr>
          </w:p>
        </w:tc>
        <w:tc>
          <w:tcPr>
            <w:tcW w:w="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1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551"/>
              <w:spacing w:after="0"/>
              <w:rPr>
                <w:sz w:val="20"/>
                <w:szCs w:val="20"/>
                <w:color w:val="auto"/>
              </w:rPr>
            </w:pPr>
            <w:r>
              <w:rPr>
                <w:rFonts w:ascii="Arial" w:cs="Arial" w:eastAsia="Arial" w:hAnsi="Arial"/>
                <w:sz w:val="14"/>
                <w:szCs w:val="14"/>
                <w:b w:val="1"/>
                <w:bCs w:val="1"/>
                <w:color w:val="auto"/>
              </w:rPr>
              <w:t>2019</w:t>
            </w:r>
          </w:p>
        </w:tc>
        <w:tc>
          <w:tcPr>
            <w:tcW w:w="20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center"/>
              <w:ind w:right="152"/>
              <w:spacing w:after="0"/>
              <w:rPr>
                <w:sz w:val="20"/>
                <w:szCs w:val="20"/>
                <w:color w:val="auto"/>
              </w:rPr>
            </w:pPr>
            <w:r>
              <w:rPr>
                <w:rFonts w:ascii="Arial" w:cs="Arial" w:eastAsia="Arial" w:hAnsi="Arial"/>
                <w:sz w:val="14"/>
                <w:szCs w:val="14"/>
                <w:b w:val="1"/>
                <w:bCs w:val="1"/>
                <w:color w:val="auto"/>
              </w:rPr>
              <w:t>2018</w:t>
            </w:r>
          </w:p>
        </w:tc>
        <w:tc>
          <w:tcPr>
            <w:tcW w:w="2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551"/>
              <w:spacing w:after="0"/>
              <w:rPr>
                <w:sz w:val="20"/>
                <w:szCs w:val="20"/>
                <w:color w:val="auto"/>
              </w:rPr>
            </w:pPr>
            <w:r>
              <w:rPr>
                <w:rFonts w:ascii="Arial" w:cs="Arial" w:eastAsia="Arial" w:hAnsi="Arial"/>
                <w:sz w:val="14"/>
                <w:szCs w:val="14"/>
                <w:b w:val="1"/>
                <w:bCs w:val="1"/>
                <w:color w:val="auto"/>
              </w:rPr>
              <w:t>2017</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51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4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rPr>
              <w:t>(in thousands)</w:t>
            </w: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6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Non-GAAP Gross Profit:</w:t>
            </w:r>
          </w:p>
        </w:tc>
        <w:tc>
          <w:tcPr>
            <w:tcW w:w="58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2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4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2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80" w:type="dxa"/>
            <w:vAlign w:val="bottom"/>
            <w:gridSpan w:val="2"/>
          </w:tcPr>
          <w:p>
            <w:pPr>
              <w:spacing w:after="0"/>
              <w:rPr>
                <w:sz w:val="20"/>
                <w:szCs w:val="20"/>
                <w:color w:val="auto"/>
              </w:rPr>
            </w:pPr>
            <w:r>
              <w:rPr>
                <w:rFonts w:ascii="Arial" w:cs="Arial" w:eastAsia="Arial" w:hAnsi="Arial"/>
                <w:sz w:val="18"/>
                <w:szCs w:val="18"/>
                <w:color w:val="auto"/>
              </w:rPr>
              <w:t>Gross profit</w:t>
            </w:r>
          </w:p>
        </w:tc>
        <w:tc>
          <w:tcPr>
            <w:tcW w:w="940" w:type="dxa"/>
            <w:vAlign w:val="bottom"/>
            <w:gridSpan w:val="2"/>
          </w:tcPr>
          <w:p>
            <w:pPr>
              <w:jc w:val="right"/>
              <w:ind w:right="170"/>
              <w:spacing w:after="0"/>
              <w:rPr>
                <w:sz w:val="20"/>
                <w:szCs w:val="20"/>
                <w:color w:val="auto"/>
              </w:rPr>
            </w:pPr>
            <w:r>
              <w:rPr>
                <w:rFonts w:ascii="Arial" w:cs="Arial" w:eastAsia="Arial" w:hAnsi="Arial"/>
                <w:sz w:val="18"/>
                <w:szCs w:val="18"/>
                <w:color w:val="auto"/>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230,001</w:t>
            </w:r>
          </w:p>
        </w:tc>
        <w:tc>
          <w:tcPr>
            <w:tcW w:w="200" w:type="dxa"/>
            <w:vAlign w:val="bottom"/>
          </w:tcPr>
          <w:p>
            <w:pPr>
              <w:spacing w:after="0"/>
              <w:rPr>
                <w:sz w:val="18"/>
                <w:szCs w:val="18"/>
                <w:color w:val="auto"/>
              </w:rPr>
            </w:pPr>
          </w:p>
        </w:tc>
        <w:tc>
          <w:tcPr>
            <w:tcW w:w="3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400" w:type="dxa"/>
            <w:vAlign w:val="bottom"/>
          </w:tcPr>
          <w:p>
            <w:pPr>
              <w:jc w:val="right"/>
              <w:spacing w:after="0"/>
              <w:rPr>
                <w:sz w:val="20"/>
                <w:szCs w:val="20"/>
                <w:color w:val="auto"/>
              </w:rPr>
            </w:pPr>
            <w:r>
              <w:rPr>
                <w:rFonts w:ascii="Arial" w:cs="Arial" w:eastAsia="Arial" w:hAnsi="Arial"/>
                <w:sz w:val="18"/>
                <w:szCs w:val="18"/>
                <w:color w:val="auto"/>
              </w:rPr>
              <w:t>176,914</w:t>
            </w:r>
          </w:p>
        </w:tc>
        <w:tc>
          <w:tcPr>
            <w:tcW w:w="240" w:type="dxa"/>
            <w:vAlign w:val="bottom"/>
          </w:tcPr>
          <w:p>
            <w:pPr>
              <w:spacing w:after="0"/>
              <w:rPr>
                <w:sz w:val="18"/>
                <w:szCs w:val="18"/>
                <w:color w:val="auto"/>
              </w:rPr>
            </w:pPr>
          </w:p>
        </w:tc>
        <w:tc>
          <w:tcPr>
            <w:tcW w:w="4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134,218</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60" w:type="dxa"/>
            <w:vAlign w:val="bottom"/>
            <w:shd w:val="clear" w:color="auto" w:fill="CFF0FC"/>
          </w:tcPr>
          <w:p>
            <w:pPr>
              <w:spacing w:after="0"/>
              <w:rPr>
                <w:sz w:val="20"/>
                <w:szCs w:val="20"/>
                <w:color w:val="auto"/>
              </w:rPr>
            </w:pPr>
            <w:r>
              <w:rPr>
                <w:rFonts w:ascii="Arial" w:cs="Arial" w:eastAsia="Arial" w:hAnsi="Arial"/>
                <w:sz w:val="18"/>
                <w:szCs w:val="18"/>
                <w:color w:val="auto"/>
              </w:rPr>
              <w:t>Amortization of developed technology</w:t>
            </w:r>
          </w:p>
        </w:tc>
        <w:tc>
          <w:tcPr>
            <w:tcW w:w="58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4,797</w:t>
            </w:r>
          </w:p>
        </w:tc>
        <w:tc>
          <w:tcPr>
            <w:tcW w:w="2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6,863</w:t>
            </w:r>
          </w:p>
        </w:tc>
        <w:tc>
          <w:tcPr>
            <w:tcW w:w="2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6,847</w:t>
            </w:r>
          </w:p>
        </w:tc>
        <w:tc>
          <w:tcPr>
            <w:tcW w:w="1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80" w:type="dxa"/>
            <w:vAlign w:val="bottom"/>
            <w:gridSpan w:val="2"/>
          </w:tcPr>
          <w:p>
            <w:pPr>
              <w:spacing w:after="0"/>
              <w:rPr>
                <w:sz w:val="20"/>
                <w:szCs w:val="20"/>
                <w:color w:val="auto"/>
              </w:rPr>
            </w:pPr>
            <w:r>
              <w:rPr>
                <w:rFonts w:ascii="Arial" w:cs="Arial" w:eastAsia="Arial" w:hAnsi="Arial"/>
                <w:sz w:val="18"/>
                <w:szCs w:val="18"/>
                <w:color w:val="auto"/>
              </w:rPr>
              <w:t>Stock-based compensation expense</w:t>
            </w:r>
          </w:p>
        </w:tc>
        <w:tc>
          <w:tcPr>
            <w:tcW w:w="5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4,814</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3,265</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1,149</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160" w:type="dxa"/>
            <w:vAlign w:val="bottom"/>
            <w:shd w:val="clear" w:color="auto" w:fill="CFF0FC"/>
          </w:tcPr>
          <w:p>
            <w:pPr>
              <w:spacing w:after="0" w:line="20" w:lineRule="exact"/>
              <w:rPr>
                <w:sz w:val="1"/>
                <w:szCs w:val="1"/>
                <w:color w:val="auto"/>
              </w:rPr>
            </w:pPr>
          </w:p>
        </w:tc>
        <w:tc>
          <w:tcPr>
            <w:tcW w:w="580" w:type="dxa"/>
            <w:vAlign w:val="bottom"/>
            <w:shd w:val="clear" w:color="auto" w:fill="CFF0FC"/>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40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5160" w:type="dxa"/>
            <w:vAlign w:val="bottom"/>
            <w:shd w:val="clear" w:color="auto" w:fill="CFF0FC"/>
          </w:tcPr>
          <w:p>
            <w:pPr>
              <w:spacing w:after="0"/>
              <w:rPr>
                <w:sz w:val="20"/>
                <w:szCs w:val="20"/>
                <w:color w:val="auto"/>
              </w:rPr>
            </w:pPr>
            <w:r>
              <w:rPr>
                <w:rFonts w:ascii="Arial" w:cs="Arial" w:eastAsia="Arial" w:hAnsi="Arial"/>
                <w:sz w:val="18"/>
                <w:szCs w:val="18"/>
                <w:color w:val="auto"/>
              </w:rPr>
              <w:t>Total non-GAAP gross profit</w:t>
            </w:r>
          </w:p>
        </w:tc>
        <w:tc>
          <w:tcPr>
            <w:tcW w:w="580" w:type="dxa"/>
            <w:vAlign w:val="bottom"/>
            <w:shd w:val="clear" w:color="auto" w:fill="CFF0FC"/>
          </w:tcPr>
          <w:p>
            <w:pPr>
              <w:spacing w:after="0"/>
              <w:rPr>
                <w:sz w:val="18"/>
                <w:szCs w:val="18"/>
                <w:color w:val="auto"/>
              </w:rPr>
            </w:pPr>
          </w:p>
        </w:tc>
        <w:tc>
          <w:tcPr>
            <w:tcW w:w="360" w:type="dxa"/>
            <w:vAlign w:val="bottom"/>
            <w:shd w:val="clear" w:color="auto" w:fill="CFF0FC"/>
          </w:tcPr>
          <w:p>
            <w:pPr>
              <w:jc w:val="right"/>
              <w:ind w:right="170"/>
              <w:spacing w:after="0"/>
              <w:rPr>
                <w:sz w:val="20"/>
                <w:szCs w:val="20"/>
                <w:color w:val="auto"/>
              </w:rPr>
            </w:pPr>
            <w:r>
              <w:rPr>
                <w:rFonts w:ascii="Arial" w:cs="Arial" w:eastAsia="Arial" w:hAnsi="Arial"/>
                <w:sz w:val="18"/>
                <w:szCs w:val="18"/>
                <w:color w:val="auto"/>
                <w:w w:val="79"/>
              </w:rPr>
              <w:t>$</w:t>
            </w: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239,612</w:t>
            </w:r>
          </w:p>
        </w:tc>
        <w:tc>
          <w:tcPr>
            <w:tcW w:w="200" w:type="dxa"/>
            <w:vAlign w:val="bottom"/>
            <w:shd w:val="clear" w:color="auto" w:fill="CFF0FC"/>
          </w:tcPr>
          <w:p>
            <w:pPr>
              <w:spacing w:after="0"/>
              <w:rPr>
                <w:sz w:val="18"/>
                <w:szCs w:val="18"/>
                <w:color w:val="auto"/>
              </w:rPr>
            </w:pPr>
          </w:p>
        </w:tc>
        <w:tc>
          <w:tcPr>
            <w:tcW w:w="34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w:t>
            </w:r>
          </w:p>
        </w:tc>
        <w:tc>
          <w:tcPr>
            <w:tcW w:w="1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187,042</w:t>
            </w:r>
          </w:p>
        </w:tc>
        <w:tc>
          <w:tcPr>
            <w:tcW w:w="240" w:type="dxa"/>
            <w:vAlign w:val="bottom"/>
            <w:shd w:val="clear" w:color="auto" w:fill="CFF0FC"/>
          </w:tcPr>
          <w:p>
            <w:pPr>
              <w:spacing w:after="0"/>
              <w:rPr>
                <w:sz w:val="18"/>
                <w:szCs w:val="18"/>
                <w:color w:val="auto"/>
              </w:rPr>
            </w:pPr>
          </w:p>
        </w:tc>
        <w:tc>
          <w:tcPr>
            <w:tcW w:w="46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142,214</w:t>
            </w:r>
          </w:p>
        </w:tc>
        <w:tc>
          <w:tcPr>
            <w:tcW w:w="1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160" w:type="dxa"/>
            <w:vAlign w:val="bottom"/>
            <w:tcBorders>
              <w:top w:val="single" w:sz="8" w:color="CFF0FC"/>
            </w:tcBorders>
          </w:tcPr>
          <w:p>
            <w:pPr>
              <w:spacing w:after="0" w:line="20" w:lineRule="exact"/>
              <w:rPr>
                <w:sz w:val="1"/>
                <w:szCs w:val="1"/>
                <w:color w:val="auto"/>
              </w:rPr>
            </w:pPr>
          </w:p>
        </w:tc>
        <w:tc>
          <w:tcPr>
            <w:tcW w:w="580" w:type="dxa"/>
            <w:vAlign w:val="bottom"/>
            <w:tcBorders>
              <w:top w:val="single" w:sz="8" w:color="CFF0FC"/>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FF0FC"/>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5180" w:type="dxa"/>
            <w:vAlign w:val="bottom"/>
            <w:gridSpan w:val="2"/>
          </w:tcPr>
          <w:p>
            <w:pPr>
              <w:spacing w:after="0" w:line="196" w:lineRule="exact"/>
              <w:rPr>
                <w:sz w:val="20"/>
                <w:szCs w:val="20"/>
                <w:color w:val="auto"/>
              </w:rPr>
            </w:pPr>
            <w:r>
              <w:rPr>
                <w:rFonts w:ascii="Arial" w:cs="Arial" w:eastAsia="Arial" w:hAnsi="Arial"/>
                <w:sz w:val="18"/>
                <w:szCs w:val="18"/>
                <w:color w:val="auto"/>
              </w:rPr>
              <w:t>Gross margin</w:t>
            </w:r>
          </w:p>
        </w:tc>
        <w:tc>
          <w:tcPr>
            <w:tcW w:w="5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440" w:type="dxa"/>
            <w:vAlign w:val="bottom"/>
            <w:gridSpan w:val="2"/>
          </w:tcPr>
          <w:p>
            <w:pPr>
              <w:jc w:val="right"/>
              <w:ind w:right="40"/>
              <w:spacing w:after="0" w:line="196" w:lineRule="exact"/>
              <w:rPr>
                <w:sz w:val="20"/>
                <w:szCs w:val="20"/>
                <w:color w:val="auto"/>
              </w:rPr>
            </w:pPr>
            <w:r>
              <w:rPr>
                <w:rFonts w:ascii="Arial" w:cs="Arial" w:eastAsia="Arial" w:hAnsi="Arial"/>
                <w:sz w:val="18"/>
                <w:szCs w:val="18"/>
                <w:color w:val="auto"/>
              </w:rPr>
              <w:t>79.6%</w:t>
            </w: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40" w:type="dxa"/>
            <w:vAlign w:val="bottom"/>
            <w:gridSpan w:val="2"/>
          </w:tcPr>
          <w:p>
            <w:pPr>
              <w:jc w:val="right"/>
              <w:ind w:right="80"/>
              <w:spacing w:after="0" w:line="196" w:lineRule="exact"/>
              <w:rPr>
                <w:sz w:val="20"/>
                <w:szCs w:val="20"/>
                <w:color w:val="auto"/>
              </w:rPr>
            </w:pPr>
            <w:r>
              <w:rPr>
                <w:rFonts w:ascii="Arial" w:cs="Arial" w:eastAsia="Arial" w:hAnsi="Arial"/>
                <w:sz w:val="18"/>
                <w:szCs w:val="18"/>
                <w:color w:val="auto"/>
              </w:rPr>
              <w:t>77.7%</w:t>
            </w: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42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76.4%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60" w:type="dxa"/>
            <w:vAlign w:val="bottom"/>
            <w:shd w:val="clear" w:color="auto" w:fill="CFF0FC"/>
          </w:tcPr>
          <w:p>
            <w:pPr>
              <w:spacing w:after="0"/>
              <w:rPr>
                <w:sz w:val="20"/>
                <w:szCs w:val="20"/>
                <w:color w:val="auto"/>
              </w:rPr>
            </w:pPr>
            <w:r>
              <w:rPr>
                <w:rFonts w:ascii="Arial" w:cs="Arial" w:eastAsia="Arial" w:hAnsi="Arial"/>
                <w:sz w:val="18"/>
                <w:szCs w:val="18"/>
                <w:color w:val="auto"/>
              </w:rPr>
              <w:t>Non-GAAP gross margin</w:t>
            </w:r>
          </w:p>
        </w:tc>
        <w:tc>
          <w:tcPr>
            <w:tcW w:w="58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4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82.9%</w:t>
            </w:r>
          </w:p>
        </w:tc>
        <w:tc>
          <w:tcPr>
            <w:tcW w:w="1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64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82.1%</w:t>
            </w:r>
          </w:p>
        </w:tc>
        <w:tc>
          <w:tcPr>
            <w:tcW w:w="10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42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81.0%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1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16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Non-GAAP Net Income Attributable to BlackLine, Inc.:</w:t>
            </w:r>
          </w:p>
        </w:tc>
        <w:tc>
          <w:tcPr>
            <w:tcW w:w="58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2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4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2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80" w:type="dxa"/>
            <w:vAlign w:val="bottom"/>
            <w:gridSpan w:val="2"/>
          </w:tcPr>
          <w:p>
            <w:pPr>
              <w:spacing w:after="0"/>
              <w:rPr>
                <w:sz w:val="20"/>
                <w:szCs w:val="20"/>
                <w:color w:val="auto"/>
              </w:rPr>
            </w:pPr>
            <w:r>
              <w:rPr>
                <w:rFonts w:ascii="Arial" w:cs="Arial" w:eastAsia="Arial" w:hAnsi="Arial"/>
                <w:sz w:val="18"/>
                <w:szCs w:val="18"/>
                <w:color w:val="auto"/>
              </w:rPr>
              <w:t>Net loss attributable to BlackLine, Inc.</w:t>
            </w:r>
          </w:p>
        </w:tc>
        <w:tc>
          <w:tcPr>
            <w:tcW w:w="940" w:type="dxa"/>
            <w:vAlign w:val="bottom"/>
            <w:gridSpan w:val="2"/>
          </w:tcPr>
          <w:p>
            <w:pPr>
              <w:jc w:val="right"/>
              <w:ind w:right="170"/>
              <w:spacing w:after="0"/>
              <w:rPr>
                <w:sz w:val="20"/>
                <w:szCs w:val="20"/>
                <w:color w:val="auto"/>
              </w:rPr>
            </w:pPr>
            <w:r>
              <w:rPr>
                <w:rFonts w:ascii="Arial" w:cs="Arial" w:eastAsia="Arial" w:hAnsi="Arial"/>
                <w:sz w:val="18"/>
                <w:szCs w:val="18"/>
                <w:color w:val="auto"/>
              </w:rPr>
              <w:t>$</w:t>
            </w:r>
          </w:p>
        </w:tc>
        <w:tc>
          <w:tcPr>
            <w:tcW w:w="1440" w:type="dxa"/>
            <w:vAlign w:val="bottom"/>
            <w:gridSpan w:val="2"/>
          </w:tcPr>
          <w:p>
            <w:pPr>
              <w:jc w:val="right"/>
              <w:ind w:right="140"/>
              <w:spacing w:after="0"/>
              <w:rPr>
                <w:sz w:val="20"/>
                <w:szCs w:val="20"/>
                <w:color w:val="auto"/>
              </w:rPr>
            </w:pPr>
            <w:r>
              <w:rPr>
                <w:rFonts w:ascii="Arial" w:cs="Arial" w:eastAsia="Arial" w:hAnsi="Arial"/>
                <w:sz w:val="18"/>
                <w:szCs w:val="18"/>
                <w:color w:val="auto"/>
              </w:rPr>
              <w:t>(32,535)</w:t>
            </w:r>
          </w:p>
        </w:tc>
        <w:tc>
          <w:tcPr>
            <w:tcW w:w="3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640" w:type="dxa"/>
            <w:vAlign w:val="bottom"/>
            <w:gridSpan w:val="2"/>
          </w:tcPr>
          <w:p>
            <w:pPr>
              <w:jc w:val="right"/>
              <w:ind w:right="180"/>
              <w:spacing w:after="0"/>
              <w:rPr>
                <w:sz w:val="20"/>
                <w:szCs w:val="20"/>
                <w:color w:val="auto"/>
              </w:rPr>
            </w:pPr>
            <w:r>
              <w:rPr>
                <w:rFonts w:ascii="Arial" w:cs="Arial" w:eastAsia="Arial" w:hAnsi="Arial"/>
                <w:sz w:val="18"/>
                <w:szCs w:val="18"/>
                <w:color w:val="auto"/>
              </w:rPr>
              <w:t>(28,714)</w:t>
            </w:r>
          </w:p>
        </w:tc>
        <w:tc>
          <w:tcPr>
            <w:tcW w:w="4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420" w:type="dxa"/>
            <w:vAlign w:val="bottom"/>
            <w:gridSpan w:val="2"/>
          </w:tcPr>
          <w:p>
            <w:pPr>
              <w:jc w:val="right"/>
              <w:ind w:right="120"/>
              <w:spacing w:after="0"/>
              <w:rPr>
                <w:sz w:val="20"/>
                <w:szCs w:val="20"/>
                <w:color w:val="auto"/>
              </w:rPr>
            </w:pPr>
            <w:r>
              <w:rPr>
                <w:rFonts w:ascii="Arial" w:cs="Arial" w:eastAsia="Arial" w:hAnsi="Arial"/>
                <w:sz w:val="18"/>
                <w:szCs w:val="18"/>
                <w:color w:val="auto"/>
              </w:rPr>
              <w:t>(33,408)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60" w:type="dxa"/>
            <w:vAlign w:val="bottom"/>
            <w:shd w:val="clear" w:color="auto" w:fill="CFF0FC"/>
          </w:tcPr>
          <w:p>
            <w:pPr>
              <w:spacing w:after="0"/>
              <w:rPr>
                <w:sz w:val="20"/>
                <w:szCs w:val="20"/>
                <w:color w:val="auto"/>
              </w:rPr>
            </w:pPr>
            <w:r>
              <w:rPr>
                <w:rFonts w:ascii="Arial" w:cs="Arial" w:eastAsia="Arial" w:hAnsi="Arial"/>
                <w:sz w:val="18"/>
                <w:szCs w:val="18"/>
                <w:color w:val="auto"/>
              </w:rPr>
              <w:t>Provision for (benefit from) income taxes</w:t>
            </w:r>
          </w:p>
        </w:tc>
        <w:tc>
          <w:tcPr>
            <w:tcW w:w="58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90</w:t>
            </w:r>
          </w:p>
        </w:tc>
        <w:tc>
          <w:tcPr>
            <w:tcW w:w="2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64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(540)</w:t>
            </w:r>
          </w:p>
        </w:tc>
        <w:tc>
          <w:tcPr>
            <w:tcW w:w="10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42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(511)</w:t>
            </w:r>
          </w:p>
        </w:tc>
        <w:tc>
          <w:tcPr>
            <w:tcW w:w="0" w:type="dxa"/>
            <w:vAlign w:val="bottom"/>
          </w:tcPr>
          <w:p>
            <w:pPr>
              <w:spacing w:after="0"/>
              <w:rPr>
                <w:sz w:val="1"/>
                <w:szCs w:val="1"/>
                <w:color w:val="auto"/>
              </w:rPr>
            </w:pPr>
          </w:p>
        </w:tc>
      </w:tr>
      <w:tr>
        <w:trPr>
          <w:trHeight w:val="216"/>
        </w:trPr>
        <w:tc>
          <w:tcPr>
            <w:tcW w:w="5180" w:type="dxa"/>
            <w:vAlign w:val="bottom"/>
            <w:gridSpan w:val="2"/>
          </w:tcPr>
          <w:p>
            <w:pPr>
              <w:spacing w:after="0"/>
              <w:rPr>
                <w:sz w:val="20"/>
                <w:szCs w:val="20"/>
                <w:color w:val="auto"/>
              </w:rPr>
            </w:pPr>
            <w:r>
              <w:rPr>
                <w:rFonts w:ascii="Arial" w:cs="Arial" w:eastAsia="Arial" w:hAnsi="Arial"/>
                <w:sz w:val="18"/>
                <w:szCs w:val="18"/>
                <w:color w:val="auto"/>
              </w:rPr>
              <w:t>Amortization of intangible assets</w:t>
            </w:r>
          </w:p>
        </w:tc>
        <w:tc>
          <w:tcPr>
            <w:tcW w:w="5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10,265</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13,023</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13,310</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60" w:type="dxa"/>
            <w:vAlign w:val="bottom"/>
            <w:shd w:val="clear" w:color="auto" w:fill="CFF0FC"/>
          </w:tcPr>
          <w:p>
            <w:pPr>
              <w:spacing w:after="0"/>
              <w:rPr>
                <w:sz w:val="20"/>
                <w:szCs w:val="20"/>
                <w:color w:val="auto"/>
              </w:rPr>
            </w:pPr>
            <w:r>
              <w:rPr>
                <w:rFonts w:ascii="Arial" w:cs="Arial" w:eastAsia="Arial" w:hAnsi="Arial"/>
                <w:sz w:val="18"/>
                <w:szCs w:val="18"/>
                <w:color w:val="auto"/>
              </w:rPr>
              <w:t>Stock-based compensation</w:t>
            </w:r>
          </w:p>
        </w:tc>
        <w:tc>
          <w:tcPr>
            <w:tcW w:w="58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34,052</w:t>
            </w:r>
          </w:p>
        </w:tc>
        <w:tc>
          <w:tcPr>
            <w:tcW w:w="2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20,895</w:t>
            </w:r>
          </w:p>
        </w:tc>
        <w:tc>
          <w:tcPr>
            <w:tcW w:w="2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16,044</w:t>
            </w:r>
          </w:p>
        </w:tc>
        <w:tc>
          <w:tcPr>
            <w:tcW w:w="1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80" w:type="dxa"/>
            <w:vAlign w:val="bottom"/>
            <w:gridSpan w:val="2"/>
          </w:tcPr>
          <w:p>
            <w:pPr>
              <w:spacing w:after="0"/>
              <w:rPr>
                <w:sz w:val="20"/>
                <w:szCs w:val="20"/>
                <w:color w:val="auto"/>
              </w:rPr>
            </w:pPr>
            <w:r>
              <w:rPr>
                <w:rFonts w:ascii="Arial" w:cs="Arial" w:eastAsia="Arial" w:hAnsi="Arial"/>
                <w:sz w:val="18"/>
                <w:szCs w:val="18"/>
                <w:color w:val="auto"/>
              </w:rPr>
              <w:t>Amortization of debt discount and issuance costs</w:t>
            </w:r>
          </w:p>
        </w:tc>
        <w:tc>
          <w:tcPr>
            <w:tcW w:w="5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8,410</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60" w:type="dxa"/>
            <w:vAlign w:val="bottom"/>
            <w:shd w:val="clear" w:color="auto" w:fill="CFF0FC"/>
          </w:tcPr>
          <w:p>
            <w:pPr>
              <w:spacing w:after="0"/>
              <w:rPr>
                <w:sz w:val="20"/>
                <w:szCs w:val="20"/>
                <w:color w:val="auto"/>
              </w:rPr>
            </w:pPr>
            <w:r>
              <w:rPr>
                <w:rFonts w:ascii="Arial" w:cs="Arial" w:eastAsia="Arial" w:hAnsi="Arial"/>
                <w:sz w:val="18"/>
                <w:szCs w:val="18"/>
                <w:color w:val="auto"/>
              </w:rPr>
              <w:t>Change in fair value of contingent consideration</w:t>
            </w:r>
          </w:p>
        </w:tc>
        <w:tc>
          <w:tcPr>
            <w:tcW w:w="58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46</w:t>
            </w:r>
          </w:p>
        </w:tc>
        <w:tc>
          <w:tcPr>
            <w:tcW w:w="2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450</w:t>
            </w:r>
          </w:p>
        </w:tc>
        <w:tc>
          <w:tcPr>
            <w:tcW w:w="2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628</w:t>
            </w:r>
          </w:p>
        </w:tc>
        <w:tc>
          <w:tcPr>
            <w:tcW w:w="1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80" w:type="dxa"/>
            <w:vAlign w:val="bottom"/>
            <w:gridSpan w:val="2"/>
          </w:tcPr>
          <w:p>
            <w:pPr>
              <w:spacing w:after="0"/>
              <w:rPr>
                <w:sz w:val="20"/>
                <w:szCs w:val="20"/>
                <w:color w:val="auto"/>
              </w:rPr>
            </w:pPr>
            <w:r>
              <w:rPr>
                <w:rFonts w:ascii="Arial" w:cs="Arial" w:eastAsia="Arial" w:hAnsi="Arial"/>
                <w:sz w:val="18"/>
                <w:szCs w:val="18"/>
                <w:color w:val="auto"/>
              </w:rPr>
              <w:t>Change in fair value of the common stock warrant liability</w:t>
            </w:r>
          </w:p>
        </w:tc>
        <w:tc>
          <w:tcPr>
            <w:tcW w:w="5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3,490</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60" w:type="dxa"/>
            <w:vAlign w:val="bottom"/>
            <w:shd w:val="clear" w:color="auto" w:fill="CFF0FC"/>
          </w:tcPr>
          <w:p>
            <w:pPr>
              <w:spacing w:after="0"/>
              <w:rPr>
                <w:sz w:val="20"/>
                <w:szCs w:val="20"/>
                <w:color w:val="auto"/>
              </w:rPr>
            </w:pPr>
            <w:r>
              <w:rPr>
                <w:rFonts w:ascii="Arial" w:cs="Arial" w:eastAsia="Arial" w:hAnsi="Arial"/>
                <w:sz w:val="18"/>
                <w:szCs w:val="18"/>
                <w:color w:val="auto"/>
              </w:rPr>
              <w:t>Legal settlement gains</w:t>
            </w:r>
          </w:p>
        </w:tc>
        <w:tc>
          <w:tcPr>
            <w:tcW w:w="58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44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(380)</w:t>
            </w:r>
          </w:p>
        </w:tc>
        <w:tc>
          <w:tcPr>
            <w:tcW w:w="1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64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42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180" w:type="dxa"/>
            <w:vAlign w:val="bottom"/>
            <w:gridSpan w:val="2"/>
          </w:tcPr>
          <w:p>
            <w:pPr>
              <w:spacing w:after="0"/>
              <w:rPr>
                <w:sz w:val="20"/>
                <w:szCs w:val="20"/>
                <w:color w:val="auto"/>
              </w:rPr>
            </w:pPr>
            <w:r>
              <w:rPr>
                <w:rFonts w:ascii="Arial" w:cs="Arial" w:eastAsia="Arial" w:hAnsi="Arial"/>
                <w:sz w:val="18"/>
                <w:szCs w:val="18"/>
                <w:color w:val="auto"/>
              </w:rPr>
              <w:t>Secondary offering costs</w:t>
            </w:r>
          </w:p>
        </w:tc>
        <w:tc>
          <w:tcPr>
            <w:tcW w:w="5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809</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60" w:type="dxa"/>
            <w:vAlign w:val="bottom"/>
            <w:shd w:val="clear" w:color="auto" w:fill="CFF0FC"/>
          </w:tcPr>
          <w:p>
            <w:pPr>
              <w:spacing w:after="0"/>
              <w:rPr>
                <w:sz w:val="20"/>
                <w:szCs w:val="20"/>
                <w:color w:val="auto"/>
              </w:rPr>
            </w:pPr>
            <w:r>
              <w:rPr>
                <w:rFonts w:ascii="Arial" w:cs="Arial" w:eastAsia="Arial" w:hAnsi="Arial"/>
                <w:sz w:val="18"/>
                <w:szCs w:val="18"/>
                <w:color w:val="auto"/>
              </w:rPr>
              <w:t>Shelf offering costs</w:t>
            </w:r>
          </w:p>
        </w:tc>
        <w:tc>
          <w:tcPr>
            <w:tcW w:w="58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212</w:t>
            </w:r>
          </w:p>
        </w:tc>
        <w:tc>
          <w:tcPr>
            <w:tcW w:w="2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401</w:t>
            </w:r>
          </w:p>
        </w:tc>
        <w:tc>
          <w:tcPr>
            <w:tcW w:w="2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818</w:t>
            </w:r>
          </w:p>
        </w:tc>
        <w:tc>
          <w:tcPr>
            <w:tcW w:w="1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80" w:type="dxa"/>
            <w:vAlign w:val="bottom"/>
            <w:gridSpan w:val="2"/>
          </w:tcPr>
          <w:p>
            <w:pPr>
              <w:spacing w:after="0"/>
              <w:rPr>
                <w:sz w:val="20"/>
                <w:szCs w:val="20"/>
                <w:color w:val="auto"/>
              </w:rPr>
            </w:pPr>
            <w:r>
              <w:rPr>
                <w:rFonts w:ascii="Arial" w:cs="Arial" w:eastAsia="Arial" w:hAnsi="Arial"/>
                <w:sz w:val="18"/>
                <w:szCs w:val="18"/>
                <w:color w:val="auto"/>
              </w:rPr>
              <w:t>Adjustment to redeemable non-controlling interest</w:t>
            </w:r>
          </w:p>
        </w:tc>
        <w:tc>
          <w:tcPr>
            <w:tcW w:w="5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1,833</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160" w:type="dxa"/>
            <w:vAlign w:val="bottom"/>
            <w:shd w:val="clear" w:color="auto" w:fill="CFF0FC"/>
          </w:tcPr>
          <w:p>
            <w:pPr>
              <w:spacing w:after="0" w:line="20" w:lineRule="exact"/>
              <w:rPr>
                <w:sz w:val="1"/>
                <w:szCs w:val="1"/>
                <w:color w:val="auto"/>
              </w:rPr>
            </w:pPr>
          </w:p>
        </w:tc>
        <w:tc>
          <w:tcPr>
            <w:tcW w:w="580" w:type="dxa"/>
            <w:vAlign w:val="bottom"/>
            <w:shd w:val="clear" w:color="auto" w:fill="CFF0FC"/>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40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5160" w:type="dxa"/>
            <w:vAlign w:val="bottom"/>
            <w:shd w:val="clear" w:color="auto" w:fill="CFF0FC"/>
          </w:tcPr>
          <w:p>
            <w:pPr>
              <w:spacing w:after="0"/>
              <w:rPr>
                <w:sz w:val="20"/>
                <w:szCs w:val="20"/>
                <w:color w:val="auto"/>
              </w:rPr>
            </w:pPr>
            <w:r>
              <w:rPr>
                <w:rFonts w:ascii="Arial" w:cs="Arial" w:eastAsia="Arial" w:hAnsi="Arial"/>
                <w:sz w:val="18"/>
                <w:szCs w:val="18"/>
                <w:color w:val="auto"/>
              </w:rPr>
              <w:t>Total non-GAAP net income attributable to BlackLine, Inc.</w:t>
            </w:r>
          </w:p>
        </w:tc>
        <w:tc>
          <w:tcPr>
            <w:tcW w:w="580" w:type="dxa"/>
            <w:vAlign w:val="bottom"/>
            <w:shd w:val="clear" w:color="auto" w:fill="CFF0FC"/>
          </w:tcPr>
          <w:p>
            <w:pPr>
              <w:spacing w:after="0"/>
              <w:rPr>
                <w:sz w:val="18"/>
                <w:szCs w:val="18"/>
                <w:color w:val="auto"/>
              </w:rPr>
            </w:pPr>
          </w:p>
        </w:tc>
        <w:tc>
          <w:tcPr>
            <w:tcW w:w="360" w:type="dxa"/>
            <w:vAlign w:val="bottom"/>
            <w:shd w:val="clear" w:color="auto" w:fill="CFF0FC"/>
          </w:tcPr>
          <w:p>
            <w:pPr>
              <w:jc w:val="right"/>
              <w:ind w:right="170"/>
              <w:spacing w:after="0"/>
              <w:rPr>
                <w:sz w:val="20"/>
                <w:szCs w:val="20"/>
                <w:color w:val="auto"/>
              </w:rPr>
            </w:pPr>
            <w:r>
              <w:rPr>
                <w:rFonts w:ascii="Arial" w:cs="Arial" w:eastAsia="Arial" w:hAnsi="Arial"/>
                <w:sz w:val="18"/>
                <w:szCs w:val="18"/>
                <w:color w:val="auto"/>
                <w:w w:val="79"/>
              </w:rPr>
              <w:t>$</w:t>
            </w: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21,993</w:t>
            </w:r>
          </w:p>
        </w:tc>
        <w:tc>
          <w:tcPr>
            <w:tcW w:w="200" w:type="dxa"/>
            <w:vAlign w:val="bottom"/>
            <w:shd w:val="clear" w:color="auto" w:fill="CFF0FC"/>
          </w:tcPr>
          <w:p>
            <w:pPr>
              <w:spacing w:after="0"/>
              <w:rPr>
                <w:sz w:val="18"/>
                <w:szCs w:val="18"/>
                <w:color w:val="auto"/>
              </w:rPr>
            </w:pPr>
          </w:p>
        </w:tc>
        <w:tc>
          <w:tcPr>
            <w:tcW w:w="34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w:t>
            </w:r>
          </w:p>
        </w:tc>
        <w:tc>
          <w:tcPr>
            <w:tcW w:w="1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5,515</w:t>
            </w:r>
          </w:p>
        </w:tc>
        <w:tc>
          <w:tcPr>
            <w:tcW w:w="240" w:type="dxa"/>
            <w:vAlign w:val="bottom"/>
            <w:shd w:val="clear" w:color="auto" w:fill="CFF0FC"/>
          </w:tcPr>
          <w:p>
            <w:pPr>
              <w:spacing w:after="0"/>
              <w:rPr>
                <w:sz w:val="18"/>
                <w:szCs w:val="18"/>
                <w:color w:val="auto"/>
              </w:rPr>
            </w:pPr>
          </w:p>
        </w:tc>
        <w:tc>
          <w:tcPr>
            <w:tcW w:w="46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1,180</w:t>
            </w:r>
          </w:p>
        </w:tc>
        <w:tc>
          <w:tcPr>
            <w:tcW w:w="1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160" w:type="dxa"/>
            <w:vAlign w:val="bottom"/>
            <w:tcBorders>
              <w:top w:val="single" w:sz="8" w:color="CFF0FC"/>
            </w:tcBorders>
          </w:tcPr>
          <w:p>
            <w:pPr>
              <w:spacing w:after="0" w:line="20" w:lineRule="exact"/>
              <w:rPr>
                <w:sz w:val="1"/>
                <w:szCs w:val="1"/>
                <w:color w:val="auto"/>
              </w:rPr>
            </w:pPr>
          </w:p>
        </w:tc>
        <w:tc>
          <w:tcPr>
            <w:tcW w:w="580" w:type="dxa"/>
            <w:vAlign w:val="bottom"/>
            <w:tcBorders>
              <w:top w:val="single" w:sz="8" w:color="CFF0FC"/>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FF0FC"/>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2720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657" w:right="239" w:bottom="1440" w:gutter="0" w:footer="0" w:header="0"/>
        </w:sectPr>
      </w:pPr>
    </w:p>
    <w:bookmarkStart w:id="43" w:name="page44"/>
    <w:bookmarkEnd w:id="43"/>
    <w:p>
      <w:pPr>
        <w:jc w:val="center"/>
        <w:spacing w:after="0"/>
        <w:rPr>
          <w:sz w:val="20"/>
          <w:szCs w:val="20"/>
          <w:color w:val="auto"/>
        </w:rPr>
      </w:pPr>
      <w:r>
        <w:rPr>
          <w:rFonts w:ascii="Arial" w:cs="Arial" w:eastAsia="Arial" w:hAnsi="Arial"/>
          <w:sz w:val="18"/>
          <w:szCs w:val="18"/>
          <w:b w:val="1"/>
          <w:bCs w:val="1"/>
          <w:color w:val="auto"/>
        </w:rPr>
        <w:t>Results of Operations</w:t>
      </w:r>
    </w:p>
    <w:p>
      <w:pPr>
        <w:spacing w:after="0" w:line="234" w:lineRule="exact"/>
        <w:rPr>
          <w:sz w:val="20"/>
          <w:szCs w:val="20"/>
          <w:color w:val="auto"/>
        </w:rPr>
      </w:pPr>
    </w:p>
    <w:p>
      <w:pPr>
        <w:jc w:val="both"/>
        <w:ind w:right="300" w:firstLine="518"/>
        <w:spacing w:after="0" w:line="239" w:lineRule="auto"/>
        <w:rPr>
          <w:sz w:val="20"/>
          <w:szCs w:val="20"/>
          <w:color w:val="auto"/>
        </w:rPr>
      </w:pPr>
      <w:r>
        <w:rPr>
          <w:rFonts w:ascii="Arial" w:cs="Arial" w:eastAsia="Arial" w:hAnsi="Arial"/>
          <w:sz w:val="18"/>
          <w:szCs w:val="18"/>
          <w:color w:val="auto"/>
        </w:rPr>
        <w:t>The following tables set forth selected historical consolidated statements of operations data, which should be read in conjunction with Critical Accounting Policies and Estimates, Liquidity and Capital Resources, and Contractual Obligations and Commitments included in this Item 7, as well as Quantitative and Qualitative Disclosures About Market Risk and the Consolidated Financial Statements and Notes thereto included elsewhere in this Annual Report on Form 10-K.</w:t>
      </w:r>
    </w:p>
    <w:p>
      <w:pPr>
        <w:spacing w:after="0" w:line="202" w:lineRule="exact"/>
        <w:rPr>
          <w:sz w:val="20"/>
          <w:szCs w:val="20"/>
          <w:color w:val="auto"/>
        </w:rPr>
      </w:pPr>
    </w:p>
    <w:p>
      <w:pPr>
        <w:ind w:left="520"/>
        <w:spacing w:after="0"/>
        <w:rPr>
          <w:sz w:val="20"/>
          <w:szCs w:val="20"/>
          <w:color w:val="auto"/>
        </w:rPr>
      </w:pPr>
      <w:r>
        <w:rPr>
          <w:rFonts w:ascii="Arial" w:cs="Arial" w:eastAsia="Arial" w:hAnsi="Arial"/>
          <w:sz w:val="18"/>
          <w:szCs w:val="18"/>
          <w:color w:val="auto"/>
        </w:rPr>
        <w:t>Consolidated statements of operations information was as follows (in thousands):</w:t>
      </w:r>
    </w:p>
    <w:p>
      <w:pPr>
        <w:spacing w:after="0" w:line="212" w:lineRule="exact"/>
        <w:rPr>
          <w:sz w:val="20"/>
          <w:szCs w:val="20"/>
          <w:color w:val="auto"/>
        </w:rPr>
      </w:pPr>
    </w:p>
    <w:p>
      <w:pPr>
        <w:ind w:right="880" w:firstLine="518"/>
        <w:spacing w:after="0" w:line="246" w:lineRule="auto"/>
        <w:rPr>
          <w:sz w:val="20"/>
          <w:szCs w:val="20"/>
          <w:color w:val="auto"/>
        </w:rPr>
      </w:pPr>
      <w:r>
        <w:rPr>
          <w:rFonts w:ascii="Arial" w:cs="Arial" w:eastAsia="Arial" w:hAnsi="Arial"/>
          <w:sz w:val="18"/>
          <w:szCs w:val="18"/>
          <w:color w:val="auto"/>
        </w:rPr>
        <w:t>The following table presents our consolidated results of operations and reflects the revisions as discussed in Item 8 — Note 2, “Significant Accounting Policies”:</w:t>
      </w:r>
    </w:p>
    <w:p>
      <w:pPr>
        <w:spacing w:after="0" w:line="266"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33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2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440" w:type="dxa"/>
            <w:vAlign w:val="bottom"/>
            <w:tcBorders>
              <w:bottom w:val="single" w:sz="8" w:color="auto"/>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2060" w:type="dxa"/>
            <w:vAlign w:val="bottom"/>
            <w:tcBorders>
              <w:bottom w:val="single" w:sz="8" w:color="auto"/>
            </w:tcBorders>
            <w:gridSpan w:val="7"/>
          </w:tcPr>
          <w:p>
            <w:pPr>
              <w:jc w:val="center"/>
              <w:ind w:right="100"/>
              <w:spacing w:after="0"/>
              <w:rPr>
                <w:sz w:val="20"/>
                <w:szCs w:val="20"/>
                <w:color w:val="auto"/>
              </w:rPr>
            </w:pPr>
            <w:r>
              <w:rPr>
                <w:rFonts w:ascii="Arial" w:cs="Arial" w:eastAsia="Arial" w:hAnsi="Arial"/>
                <w:sz w:val="14"/>
                <w:szCs w:val="14"/>
                <w:b w:val="1"/>
                <w:bCs w:val="1"/>
                <w:color w:val="auto"/>
              </w:rPr>
              <w:t>Year Ended December 31,</w:t>
            </w:r>
          </w:p>
        </w:tc>
        <w:tc>
          <w:tcPr>
            <w:tcW w:w="26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r>
      <w:tr>
        <w:trPr>
          <w:trHeight w:val="210"/>
        </w:trPr>
        <w:tc>
          <w:tcPr>
            <w:tcW w:w="3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tcBorders>
              <w:bottom w:val="single" w:sz="8" w:color="auto"/>
            </w:tcBorders>
            <w:gridSpan w:val="3"/>
          </w:tcPr>
          <w:p>
            <w:pPr>
              <w:jc w:val="right"/>
              <w:ind w:right="291"/>
              <w:spacing w:after="0"/>
              <w:rPr>
                <w:sz w:val="20"/>
                <w:szCs w:val="20"/>
                <w:color w:val="auto"/>
              </w:rPr>
            </w:pPr>
            <w:r>
              <w:rPr>
                <w:rFonts w:ascii="Arial" w:cs="Arial" w:eastAsia="Arial" w:hAnsi="Arial"/>
                <w:sz w:val="14"/>
                <w:szCs w:val="14"/>
                <w:b w:val="1"/>
                <w:bCs w:val="1"/>
                <w:color w:val="auto"/>
              </w:rPr>
              <w:t>2019</w:t>
            </w:r>
          </w:p>
        </w:tc>
        <w:tc>
          <w:tcPr>
            <w:tcW w:w="2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780" w:type="dxa"/>
            <w:vAlign w:val="bottom"/>
            <w:tcBorders>
              <w:bottom w:val="single" w:sz="8" w:color="auto"/>
            </w:tcBorders>
            <w:gridSpan w:val="5"/>
          </w:tcPr>
          <w:p>
            <w:pPr>
              <w:jc w:val="center"/>
              <w:ind w:left="98"/>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gridSpan w:val="2"/>
          </w:tcPr>
          <w:p>
            <w:pPr>
              <w:jc w:val="right"/>
              <w:ind w:right="571"/>
              <w:spacing w:after="0"/>
              <w:rPr>
                <w:sz w:val="20"/>
                <w:szCs w:val="20"/>
                <w:color w:val="auto"/>
              </w:rPr>
            </w:pPr>
            <w:r>
              <w:rPr>
                <w:rFonts w:ascii="Arial" w:cs="Arial" w:eastAsia="Arial" w:hAnsi="Arial"/>
                <w:sz w:val="14"/>
                <w:szCs w:val="14"/>
                <w:b w:val="1"/>
                <w:bCs w:val="1"/>
                <w:color w:val="auto"/>
              </w:rPr>
              <w:t>2017</w:t>
            </w:r>
          </w:p>
        </w:tc>
        <w:tc>
          <w:tcPr>
            <w:tcW w:w="120" w:type="dxa"/>
            <w:vAlign w:val="bottom"/>
          </w:tcPr>
          <w:p>
            <w:pPr>
              <w:spacing w:after="0"/>
              <w:rPr>
                <w:sz w:val="18"/>
                <w:szCs w:val="18"/>
                <w:color w:val="auto"/>
              </w:rPr>
            </w:pPr>
          </w:p>
        </w:tc>
      </w:tr>
      <w:tr>
        <w:trPr>
          <w:trHeight w:val="210"/>
        </w:trPr>
        <w:tc>
          <w:tcPr>
            <w:tcW w:w="3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900" w:type="dxa"/>
            <w:vAlign w:val="bottom"/>
            <w:gridSpan w:val="6"/>
          </w:tcPr>
          <w:p>
            <w:pPr>
              <w:jc w:val="center"/>
              <w:ind w:right="280"/>
              <w:spacing w:after="0"/>
              <w:rPr>
                <w:sz w:val="20"/>
                <w:szCs w:val="20"/>
                <w:color w:val="auto"/>
              </w:rPr>
            </w:pPr>
            <w:r>
              <w:rPr>
                <w:rFonts w:ascii="Arial" w:cs="Arial" w:eastAsia="Arial" w:hAnsi="Arial"/>
                <w:sz w:val="14"/>
                <w:szCs w:val="14"/>
                <w:b w:val="1"/>
                <w:bCs w:val="1"/>
                <w:color w:val="auto"/>
              </w:rPr>
              <w:t>(in thousands)</w:t>
            </w:r>
          </w:p>
        </w:tc>
        <w:tc>
          <w:tcPr>
            <w:tcW w:w="2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3300" w:type="dxa"/>
            <w:vAlign w:val="bottom"/>
            <w:shd w:val="clear" w:color="auto" w:fill="CFF0FC"/>
          </w:tcPr>
          <w:p>
            <w:pPr>
              <w:spacing w:after="0"/>
              <w:rPr>
                <w:sz w:val="20"/>
                <w:szCs w:val="20"/>
                <w:color w:val="auto"/>
              </w:rPr>
            </w:pPr>
            <w:r>
              <w:rPr>
                <w:rFonts w:ascii="Arial" w:cs="Arial" w:eastAsia="Arial" w:hAnsi="Arial"/>
                <w:sz w:val="18"/>
                <w:szCs w:val="18"/>
                <w:color w:val="auto"/>
              </w:rPr>
              <w:t>Revenues</w:t>
            </w:r>
          </w:p>
        </w:tc>
        <w:tc>
          <w:tcPr>
            <w:tcW w:w="2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44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260" w:type="dxa"/>
            <w:vAlign w:val="bottom"/>
            <w:tcBorders>
              <w:left w:val="single" w:sz="8" w:color="CFF0FC"/>
            </w:tcBorders>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680" w:type="dxa"/>
            <w:vAlign w:val="bottom"/>
            <w:tcBorders>
              <w:right w:val="single" w:sz="8" w:color="CFF0FC"/>
            </w:tcBorders>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16"/>
        </w:trPr>
        <w:tc>
          <w:tcPr>
            <w:tcW w:w="3300" w:type="dxa"/>
            <w:vAlign w:val="bottom"/>
          </w:tcPr>
          <w:p>
            <w:pPr>
              <w:ind w:left="260"/>
              <w:spacing w:after="0"/>
              <w:rPr>
                <w:sz w:val="20"/>
                <w:szCs w:val="20"/>
                <w:color w:val="auto"/>
              </w:rPr>
            </w:pPr>
            <w:r>
              <w:rPr>
                <w:rFonts w:ascii="Arial" w:cs="Arial" w:eastAsia="Arial" w:hAnsi="Arial"/>
                <w:sz w:val="18"/>
                <w:szCs w:val="18"/>
                <w:color w:val="auto"/>
              </w:rPr>
              <w:t>Subscription and support</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jc w:val="right"/>
              <w:ind w:right="538"/>
              <w:spacing w:after="0"/>
              <w:rPr>
                <w:sz w:val="20"/>
                <w:szCs w:val="20"/>
                <w:color w:val="auto"/>
              </w:rPr>
            </w:pPr>
            <w:r>
              <w:rPr>
                <w:rFonts w:ascii="Arial" w:cs="Arial" w:eastAsia="Arial" w:hAnsi="Arial"/>
                <w:sz w:val="18"/>
                <w:szCs w:val="18"/>
                <w:color w:val="auto"/>
                <w:w w:val="79"/>
              </w:rPr>
              <w:t>$</w:t>
            </w:r>
          </w:p>
        </w:tc>
        <w:tc>
          <w:tcPr>
            <w:tcW w:w="180" w:type="dxa"/>
            <w:vAlign w:val="bottom"/>
          </w:tcPr>
          <w:p>
            <w:pPr>
              <w:spacing w:after="0"/>
              <w:rPr>
                <w:sz w:val="18"/>
                <w:szCs w:val="18"/>
                <w:color w:val="auto"/>
              </w:rPr>
            </w:pPr>
          </w:p>
        </w:tc>
        <w:tc>
          <w:tcPr>
            <w:tcW w:w="720" w:type="dxa"/>
            <w:vAlign w:val="bottom"/>
            <w:gridSpan w:val="2"/>
          </w:tcPr>
          <w:p>
            <w:pPr>
              <w:jc w:val="right"/>
              <w:ind w:right="20"/>
              <w:spacing w:after="0"/>
              <w:rPr>
                <w:sz w:val="20"/>
                <w:szCs w:val="20"/>
                <w:color w:val="auto"/>
              </w:rPr>
            </w:pPr>
            <w:r>
              <w:rPr>
                <w:rFonts w:ascii="Arial" w:cs="Arial" w:eastAsia="Arial" w:hAnsi="Arial"/>
                <w:sz w:val="18"/>
                <w:szCs w:val="18"/>
                <w:color w:val="auto"/>
              </w:rPr>
              <w:t>272,447</w:t>
            </w:r>
          </w:p>
        </w:tc>
        <w:tc>
          <w:tcPr>
            <w:tcW w:w="100" w:type="dxa"/>
            <w:vAlign w:val="bottom"/>
          </w:tcPr>
          <w:p>
            <w:pPr>
              <w:spacing w:after="0"/>
              <w:rPr>
                <w:sz w:val="18"/>
                <w:szCs w:val="18"/>
                <w:color w:val="auto"/>
              </w:rPr>
            </w:pPr>
          </w:p>
        </w:tc>
        <w:tc>
          <w:tcPr>
            <w:tcW w:w="780" w:type="dxa"/>
            <w:vAlign w:val="bottom"/>
            <w:gridSpan w:val="2"/>
          </w:tcPr>
          <w:p>
            <w:pPr>
              <w:ind w:left="16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w w:val="98"/>
              </w:rPr>
              <w:t>217,406</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6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w w:val="98"/>
              </w:rPr>
              <w:t>167,081</w:t>
            </w:r>
          </w:p>
        </w:tc>
        <w:tc>
          <w:tcPr>
            <w:tcW w:w="120" w:type="dxa"/>
            <w:vAlign w:val="bottom"/>
          </w:tcPr>
          <w:p>
            <w:pPr>
              <w:spacing w:after="0"/>
              <w:rPr>
                <w:sz w:val="18"/>
                <w:szCs w:val="18"/>
                <w:color w:val="auto"/>
              </w:rPr>
            </w:pPr>
          </w:p>
        </w:tc>
      </w:tr>
      <w:tr>
        <w:trPr>
          <w:trHeight w:val="216"/>
        </w:trPr>
        <w:tc>
          <w:tcPr>
            <w:tcW w:w="33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Professional services</w:t>
            </w:r>
          </w:p>
        </w:tc>
        <w:tc>
          <w:tcPr>
            <w:tcW w:w="2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720" w:type="dxa"/>
            <w:vAlign w:val="bottom"/>
            <w:tcBorders>
              <w:bottom w:val="single" w:sz="8" w:color="auto"/>
            </w:tcBorders>
            <w:shd w:val="clear" w:color="auto" w:fill="CFF0FC"/>
          </w:tcPr>
          <w:p>
            <w:pPr>
              <w:spacing w:after="0"/>
              <w:rPr>
                <w:sz w:val="18"/>
                <w:szCs w:val="18"/>
                <w:color w:val="auto"/>
              </w:rPr>
            </w:pPr>
          </w:p>
        </w:tc>
        <w:tc>
          <w:tcPr>
            <w:tcW w:w="180" w:type="dxa"/>
            <w:vAlign w:val="bottom"/>
            <w:tcBorders>
              <w:bottom w:val="single" w:sz="8" w:color="auto"/>
            </w:tcBorders>
            <w:shd w:val="clear" w:color="auto" w:fill="CFF0FC"/>
          </w:tcPr>
          <w:p>
            <w:pPr>
              <w:spacing w:after="0"/>
              <w:rPr>
                <w:sz w:val="18"/>
                <w:szCs w:val="18"/>
                <w:color w:val="auto"/>
              </w:rPr>
            </w:pPr>
          </w:p>
        </w:tc>
        <w:tc>
          <w:tcPr>
            <w:tcW w:w="720" w:type="dxa"/>
            <w:vAlign w:val="bottom"/>
            <w:tcBorders>
              <w:bottom w:val="single" w:sz="8" w:color="auto"/>
            </w:tcBorders>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16,529</w:t>
            </w:r>
          </w:p>
        </w:tc>
        <w:tc>
          <w:tcPr>
            <w:tcW w:w="1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620" w:type="dxa"/>
            <w:vAlign w:val="bottom"/>
            <w:tcBorders>
              <w:bottom w:val="single" w:sz="8" w:color="auto"/>
            </w:tcBorders>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spacing w:after="0"/>
              <w:rPr>
                <w:sz w:val="18"/>
                <w:szCs w:val="18"/>
                <w:color w:val="auto"/>
              </w:rPr>
            </w:pPr>
          </w:p>
        </w:tc>
        <w:tc>
          <w:tcPr>
            <w:tcW w:w="120" w:type="dxa"/>
            <w:vAlign w:val="bottom"/>
            <w:tcBorders>
              <w:bottom w:val="single" w:sz="8" w:color="auto"/>
            </w:tcBorders>
            <w:shd w:val="clear" w:color="auto" w:fill="CFF0FC"/>
          </w:tcPr>
          <w:p>
            <w:pPr>
              <w:spacing w:after="0"/>
              <w:rPr>
                <w:sz w:val="18"/>
                <w:szCs w:val="18"/>
                <w:color w:val="auto"/>
              </w:rPr>
            </w:pPr>
          </w:p>
        </w:tc>
        <w:tc>
          <w:tcPr>
            <w:tcW w:w="6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10,382</w:t>
            </w:r>
          </w:p>
        </w:tc>
        <w:tc>
          <w:tcPr>
            <w:tcW w:w="1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260" w:type="dxa"/>
            <w:vAlign w:val="bottom"/>
            <w:tcBorders>
              <w:left w:val="single" w:sz="8" w:color="CFF0FC"/>
              <w:bottom w:val="single" w:sz="8" w:color="auto"/>
            </w:tcBorders>
            <w:shd w:val="clear" w:color="auto" w:fill="CFF0FC"/>
          </w:tcPr>
          <w:p>
            <w:pPr>
              <w:spacing w:after="0"/>
              <w:rPr>
                <w:sz w:val="18"/>
                <w:szCs w:val="18"/>
                <w:color w:val="auto"/>
              </w:rPr>
            </w:pPr>
          </w:p>
        </w:tc>
        <w:tc>
          <w:tcPr>
            <w:tcW w:w="680" w:type="dxa"/>
            <w:vAlign w:val="bottom"/>
            <w:tcBorders>
              <w:bottom w:val="single" w:sz="8" w:color="auto"/>
            </w:tcBorders>
            <w:shd w:val="clear" w:color="auto" w:fill="CFF0FC"/>
          </w:tcPr>
          <w:p>
            <w:pPr>
              <w:spacing w:after="0"/>
              <w:rPr>
                <w:sz w:val="18"/>
                <w:szCs w:val="18"/>
                <w:color w:val="auto"/>
              </w:rPr>
            </w:pPr>
          </w:p>
        </w:tc>
        <w:tc>
          <w:tcPr>
            <w:tcW w:w="680" w:type="dxa"/>
            <w:vAlign w:val="bottom"/>
            <w:tcBorders>
              <w:bottom w:val="single" w:sz="8" w:color="auto"/>
              <w:right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8,522</w:t>
            </w:r>
          </w:p>
        </w:tc>
        <w:tc>
          <w:tcPr>
            <w:tcW w:w="120" w:type="dxa"/>
            <w:vAlign w:val="bottom"/>
            <w:shd w:val="clear" w:color="auto" w:fill="CFF0FC"/>
          </w:tcPr>
          <w:p>
            <w:pPr>
              <w:spacing w:after="0"/>
              <w:rPr>
                <w:sz w:val="18"/>
                <w:szCs w:val="18"/>
                <w:color w:val="auto"/>
              </w:rPr>
            </w:pPr>
          </w:p>
        </w:tc>
      </w:tr>
      <w:tr>
        <w:trPr>
          <w:trHeight w:val="210"/>
        </w:trPr>
        <w:tc>
          <w:tcPr>
            <w:tcW w:w="3300" w:type="dxa"/>
            <w:vAlign w:val="bottom"/>
            <w:tcBorders>
              <w:bottom w:val="single" w:sz="8" w:color="CFF0FC"/>
            </w:tcBorders>
          </w:tcPr>
          <w:p>
            <w:pPr>
              <w:ind w:left="380"/>
              <w:spacing w:after="0"/>
              <w:rPr>
                <w:sz w:val="20"/>
                <w:szCs w:val="20"/>
                <w:color w:val="auto"/>
              </w:rPr>
            </w:pPr>
            <w:r>
              <w:rPr>
                <w:rFonts w:ascii="Arial" w:cs="Arial" w:eastAsia="Arial" w:hAnsi="Arial"/>
                <w:sz w:val="18"/>
                <w:szCs w:val="18"/>
                <w:color w:val="auto"/>
              </w:rPr>
              <w:t>Total revenues</w:t>
            </w:r>
          </w:p>
        </w:tc>
        <w:tc>
          <w:tcPr>
            <w:tcW w:w="200" w:type="dxa"/>
            <w:vAlign w:val="bottom"/>
            <w:tcBorders>
              <w:bottom w:val="single" w:sz="8" w:color="CFF0FC"/>
            </w:tcBorders>
          </w:tcPr>
          <w:p>
            <w:pPr>
              <w:spacing w:after="0"/>
              <w:rPr>
                <w:sz w:val="18"/>
                <w:szCs w:val="18"/>
                <w:color w:val="auto"/>
              </w:rPr>
            </w:pPr>
          </w:p>
        </w:tc>
        <w:tc>
          <w:tcPr>
            <w:tcW w:w="120" w:type="dxa"/>
            <w:vAlign w:val="bottom"/>
            <w:tcBorders>
              <w:bottom w:val="single" w:sz="8" w:color="CFF0FC"/>
            </w:tcBorders>
          </w:tcPr>
          <w:p>
            <w:pPr>
              <w:spacing w:after="0"/>
              <w:rPr>
                <w:sz w:val="18"/>
                <w:szCs w:val="18"/>
                <w:color w:val="auto"/>
              </w:rPr>
            </w:pPr>
          </w:p>
        </w:tc>
        <w:tc>
          <w:tcPr>
            <w:tcW w:w="780" w:type="dxa"/>
            <w:vAlign w:val="bottom"/>
            <w:tcBorders>
              <w:bottom w:val="single" w:sz="8" w:color="CFF0FC"/>
            </w:tcBorders>
          </w:tcPr>
          <w:p>
            <w:pPr>
              <w:spacing w:after="0"/>
              <w:rPr>
                <w:sz w:val="18"/>
                <w:szCs w:val="18"/>
                <w:color w:val="auto"/>
              </w:rPr>
            </w:pPr>
          </w:p>
        </w:tc>
        <w:tc>
          <w:tcPr>
            <w:tcW w:w="220" w:type="dxa"/>
            <w:vAlign w:val="bottom"/>
            <w:tcBorders>
              <w:bottom w:val="single" w:sz="8" w:color="CFF0FC"/>
            </w:tcBorders>
          </w:tcPr>
          <w:p>
            <w:pPr>
              <w:spacing w:after="0"/>
              <w:rPr>
                <w:sz w:val="18"/>
                <w:szCs w:val="18"/>
                <w:color w:val="auto"/>
              </w:rPr>
            </w:pPr>
          </w:p>
        </w:tc>
        <w:tc>
          <w:tcPr>
            <w:tcW w:w="160" w:type="dxa"/>
            <w:vAlign w:val="bottom"/>
            <w:tcBorders>
              <w:bottom w:val="single" w:sz="8" w:color="CFF0FC"/>
            </w:tcBorders>
          </w:tcPr>
          <w:p>
            <w:pPr>
              <w:spacing w:after="0"/>
              <w:rPr>
                <w:sz w:val="18"/>
                <w:szCs w:val="18"/>
                <w:color w:val="auto"/>
              </w:rPr>
            </w:pPr>
          </w:p>
        </w:tc>
        <w:tc>
          <w:tcPr>
            <w:tcW w:w="720" w:type="dxa"/>
            <w:vAlign w:val="bottom"/>
            <w:tcBorders>
              <w:bottom w:val="single" w:sz="8" w:color="CFF0FC"/>
            </w:tcBorders>
          </w:tcPr>
          <w:p>
            <w:pPr>
              <w:spacing w:after="0"/>
              <w:rPr>
                <w:sz w:val="18"/>
                <w:szCs w:val="18"/>
                <w:color w:val="auto"/>
              </w:rPr>
            </w:pPr>
          </w:p>
        </w:tc>
        <w:tc>
          <w:tcPr>
            <w:tcW w:w="220" w:type="dxa"/>
            <w:vAlign w:val="bottom"/>
            <w:tcBorders>
              <w:bottom w:val="single" w:sz="8" w:color="CFF0FC"/>
            </w:tcBorders>
          </w:tcPr>
          <w:p>
            <w:pPr>
              <w:spacing w:after="0"/>
              <w:rPr>
                <w:sz w:val="18"/>
                <w:szCs w:val="18"/>
                <w:color w:val="auto"/>
              </w:rPr>
            </w:pPr>
          </w:p>
        </w:tc>
        <w:tc>
          <w:tcPr>
            <w:tcW w:w="180" w:type="dxa"/>
            <w:vAlign w:val="bottom"/>
            <w:tcBorders>
              <w:bottom w:val="single" w:sz="8" w:color="CFF0FC"/>
            </w:tcBorders>
          </w:tcPr>
          <w:p>
            <w:pPr>
              <w:spacing w:after="0"/>
              <w:rPr>
                <w:sz w:val="18"/>
                <w:szCs w:val="18"/>
                <w:color w:val="auto"/>
              </w:rPr>
            </w:pPr>
          </w:p>
        </w:tc>
        <w:tc>
          <w:tcPr>
            <w:tcW w:w="72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288,976</w:t>
            </w:r>
          </w:p>
        </w:tc>
        <w:tc>
          <w:tcPr>
            <w:tcW w:w="100" w:type="dxa"/>
            <w:vAlign w:val="bottom"/>
            <w:tcBorders>
              <w:bottom w:val="single" w:sz="8" w:color="CFF0FC"/>
            </w:tcBorders>
          </w:tcPr>
          <w:p>
            <w:pPr>
              <w:spacing w:after="0"/>
              <w:rPr>
                <w:sz w:val="18"/>
                <w:szCs w:val="18"/>
                <w:color w:val="auto"/>
              </w:rPr>
            </w:pPr>
          </w:p>
        </w:tc>
        <w:tc>
          <w:tcPr>
            <w:tcW w:w="160" w:type="dxa"/>
            <w:vAlign w:val="bottom"/>
            <w:tcBorders>
              <w:bottom w:val="single" w:sz="8" w:color="CFF0FC"/>
            </w:tcBorders>
          </w:tcPr>
          <w:p>
            <w:pPr>
              <w:spacing w:after="0"/>
              <w:rPr>
                <w:sz w:val="18"/>
                <w:szCs w:val="18"/>
                <w:color w:val="auto"/>
              </w:rPr>
            </w:pPr>
          </w:p>
        </w:tc>
        <w:tc>
          <w:tcPr>
            <w:tcW w:w="62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8"/>
              </w:rPr>
              <w:t>227,788</w:t>
            </w:r>
          </w:p>
        </w:tc>
        <w:tc>
          <w:tcPr>
            <w:tcW w:w="120" w:type="dxa"/>
            <w:vAlign w:val="bottom"/>
            <w:tcBorders>
              <w:bottom w:val="single" w:sz="8" w:color="CFF0FC"/>
            </w:tcBorders>
          </w:tcPr>
          <w:p>
            <w:pPr>
              <w:spacing w:after="0"/>
              <w:rPr>
                <w:sz w:val="18"/>
                <w:szCs w:val="18"/>
                <w:color w:val="auto"/>
              </w:rPr>
            </w:pPr>
          </w:p>
        </w:tc>
        <w:tc>
          <w:tcPr>
            <w:tcW w:w="160" w:type="dxa"/>
            <w:vAlign w:val="bottom"/>
            <w:tcBorders>
              <w:bottom w:val="single" w:sz="8" w:color="CFF0FC"/>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8"/>
              </w:rPr>
              <w:t>175,603</w:t>
            </w:r>
          </w:p>
        </w:tc>
        <w:tc>
          <w:tcPr>
            <w:tcW w:w="120" w:type="dxa"/>
            <w:vAlign w:val="bottom"/>
            <w:tcBorders>
              <w:bottom w:val="single" w:sz="8" w:color="CFF0FC"/>
            </w:tcBorders>
          </w:tcPr>
          <w:p>
            <w:pPr>
              <w:spacing w:after="0"/>
              <w:rPr>
                <w:sz w:val="18"/>
                <w:szCs w:val="18"/>
                <w:color w:val="auto"/>
              </w:rPr>
            </w:pPr>
          </w:p>
        </w:tc>
      </w:tr>
      <w:tr>
        <w:trPr>
          <w:trHeight w:val="210"/>
        </w:trPr>
        <w:tc>
          <w:tcPr>
            <w:tcW w:w="3300" w:type="dxa"/>
            <w:vAlign w:val="bottom"/>
            <w:shd w:val="clear" w:color="auto" w:fill="CFF0FC"/>
          </w:tcPr>
          <w:p>
            <w:pPr>
              <w:spacing w:after="0"/>
              <w:rPr>
                <w:sz w:val="20"/>
                <w:szCs w:val="20"/>
                <w:color w:val="auto"/>
              </w:rPr>
            </w:pPr>
            <w:r>
              <w:rPr>
                <w:rFonts w:ascii="Arial" w:cs="Arial" w:eastAsia="Arial" w:hAnsi="Arial"/>
                <w:sz w:val="18"/>
                <w:szCs w:val="18"/>
                <w:color w:val="auto"/>
              </w:rPr>
              <w:t>Cost of revenues</w:t>
            </w:r>
          </w:p>
        </w:tc>
        <w:tc>
          <w:tcPr>
            <w:tcW w:w="2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44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260" w:type="dxa"/>
            <w:vAlign w:val="bottom"/>
            <w:tcBorders>
              <w:left w:val="single" w:sz="8" w:color="CFF0FC"/>
            </w:tcBorders>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680" w:type="dxa"/>
            <w:vAlign w:val="bottom"/>
            <w:tcBorders>
              <w:right w:val="single" w:sz="8" w:color="CFF0FC"/>
            </w:tcBorders>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16"/>
        </w:trPr>
        <w:tc>
          <w:tcPr>
            <w:tcW w:w="3300" w:type="dxa"/>
            <w:vAlign w:val="bottom"/>
          </w:tcPr>
          <w:p>
            <w:pPr>
              <w:ind w:left="260"/>
              <w:spacing w:after="0"/>
              <w:rPr>
                <w:sz w:val="20"/>
                <w:szCs w:val="20"/>
                <w:color w:val="auto"/>
              </w:rPr>
            </w:pPr>
            <w:r>
              <w:rPr>
                <w:rFonts w:ascii="Arial" w:cs="Arial" w:eastAsia="Arial" w:hAnsi="Arial"/>
                <w:sz w:val="18"/>
                <w:szCs w:val="18"/>
                <w:color w:val="auto"/>
              </w:rPr>
              <w:t>Subscription and support</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gridSpan w:val="2"/>
          </w:tcPr>
          <w:p>
            <w:pPr>
              <w:jc w:val="right"/>
              <w:ind w:right="20"/>
              <w:spacing w:after="0"/>
              <w:rPr>
                <w:sz w:val="20"/>
                <w:szCs w:val="20"/>
                <w:color w:val="auto"/>
              </w:rPr>
            </w:pPr>
            <w:r>
              <w:rPr>
                <w:rFonts w:ascii="Arial" w:cs="Arial" w:eastAsia="Arial" w:hAnsi="Arial"/>
                <w:sz w:val="18"/>
                <w:szCs w:val="18"/>
                <w:color w:val="auto"/>
              </w:rPr>
              <w:t>44,968</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41,428</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33,530</w:t>
            </w:r>
          </w:p>
        </w:tc>
        <w:tc>
          <w:tcPr>
            <w:tcW w:w="120" w:type="dxa"/>
            <w:vAlign w:val="bottom"/>
          </w:tcPr>
          <w:p>
            <w:pPr>
              <w:spacing w:after="0"/>
              <w:rPr>
                <w:sz w:val="18"/>
                <w:szCs w:val="18"/>
                <w:color w:val="auto"/>
              </w:rPr>
            </w:pPr>
          </w:p>
        </w:tc>
      </w:tr>
      <w:tr>
        <w:trPr>
          <w:trHeight w:val="216"/>
        </w:trPr>
        <w:tc>
          <w:tcPr>
            <w:tcW w:w="33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Professional services</w:t>
            </w:r>
          </w:p>
        </w:tc>
        <w:tc>
          <w:tcPr>
            <w:tcW w:w="2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720" w:type="dxa"/>
            <w:vAlign w:val="bottom"/>
            <w:tcBorders>
              <w:bottom w:val="single" w:sz="8" w:color="auto"/>
            </w:tcBorders>
            <w:shd w:val="clear" w:color="auto" w:fill="CFF0FC"/>
          </w:tcPr>
          <w:p>
            <w:pPr>
              <w:spacing w:after="0"/>
              <w:rPr>
                <w:sz w:val="18"/>
                <w:szCs w:val="18"/>
                <w:color w:val="auto"/>
              </w:rPr>
            </w:pPr>
          </w:p>
        </w:tc>
        <w:tc>
          <w:tcPr>
            <w:tcW w:w="180" w:type="dxa"/>
            <w:vAlign w:val="bottom"/>
            <w:tcBorders>
              <w:bottom w:val="single" w:sz="8" w:color="auto"/>
            </w:tcBorders>
            <w:shd w:val="clear" w:color="auto" w:fill="CFF0FC"/>
          </w:tcPr>
          <w:p>
            <w:pPr>
              <w:spacing w:after="0"/>
              <w:rPr>
                <w:sz w:val="18"/>
                <w:szCs w:val="18"/>
                <w:color w:val="auto"/>
              </w:rPr>
            </w:pPr>
          </w:p>
        </w:tc>
        <w:tc>
          <w:tcPr>
            <w:tcW w:w="720" w:type="dxa"/>
            <w:vAlign w:val="bottom"/>
            <w:tcBorders>
              <w:bottom w:val="single" w:sz="8" w:color="auto"/>
            </w:tcBorders>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14,007</w:t>
            </w:r>
          </w:p>
        </w:tc>
        <w:tc>
          <w:tcPr>
            <w:tcW w:w="1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620" w:type="dxa"/>
            <w:vAlign w:val="bottom"/>
            <w:tcBorders>
              <w:bottom w:val="single" w:sz="8" w:color="auto"/>
            </w:tcBorders>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spacing w:after="0"/>
              <w:rPr>
                <w:sz w:val="18"/>
                <w:szCs w:val="18"/>
                <w:color w:val="auto"/>
              </w:rPr>
            </w:pPr>
          </w:p>
        </w:tc>
        <w:tc>
          <w:tcPr>
            <w:tcW w:w="120" w:type="dxa"/>
            <w:vAlign w:val="bottom"/>
            <w:tcBorders>
              <w:bottom w:val="single" w:sz="8" w:color="auto"/>
            </w:tcBorders>
            <w:shd w:val="clear" w:color="auto" w:fill="CFF0FC"/>
          </w:tcPr>
          <w:p>
            <w:pPr>
              <w:spacing w:after="0"/>
              <w:rPr>
                <w:sz w:val="18"/>
                <w:szCs w:val="18"/>
                <w:color w:val="auto"/>
              </w:rPr>
            </w:pPr>
          </w:p>
        </w:tc>
        <w:tc>
          <w:tcPr>
            <w:tcW w:w="6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9,446</w:t>
            </w:r>
          </w:p>
        </w:tc>
        <w:tc>
          <w:tcPr>
            <w:tcW w:w="1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260" w:type="dxa"/>
            <w:vAlign w:val="bottom"/>
            <w:tcBorders>
              <w:left w:val="single" w:sz="8" w:color="CFF0FC"/>
              <w:bottom w:val="single" w:sz="8" w:color="auto"/>
            </w:tcBorders>
            <w:shd w:val="clear" w:color="auto" w:fill="CFF0FC"/>
          </w:tcPr>
          <w:p>
            <w:pPr>
              <w:spacing w:after="0"/>
              <w:rPr>
                <w:sz w:val="18"/>
                <w:szCs w:val="18"/>
                <w:color w:val="auto"/>
              </w:rPr>
            </w:pPr>
          </w:p>
        </w:tc>
        <w:tc>
          <w:tcPr>
            <w:tcW w:w="680" w:type="dxa"/>
            <w:vAlign w:val="bottom"/>
            <w:tcBorders>
              <w:bottom w:val="single" w:sz="8" w:color="auto"/>
            </w:tcBorders>
            <w:shd w:val="clear" w:color="auto" w:fill="CFF0FC"/>
          </w:tcPr>
          <w:p>
            <w:pPr>
              <w:spacing w:after="0"/>
              <w:rPr>
                <w:sz w:val="18"/>
                <w:szCs w:val="18"/>
                <w:color w:val="auto"/>
              </w:rPr>
            </w:pPr>
          </w:p>
        </w:tc>
        <w:tc>
          <w:tcPr>
            <w:tcW w:w="680" w:type="dxa"/>
            <w:vAlign w:val="bottom"/>
            <w:tcBorders>
              <w:bottom w:val="single" w:sz="8" w:color="auto"/>
              <w:right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7,855</w:t>
            </w:r>
          </w:p>
        </w:tc>
        <w:tc>
          <w:tcPr>
            <w:tcW w:w="120" w:type="dxa"/>
            <w:vAlign w:val="bottom"/>
            <w:shd w:val="clear" w:color="auto" w:fill="CFF0FC"/>
          </w:tcPr>
          <w:p>
            <w:pPr>
              <w:spacing w:after="0"/>
              <w:rPr>
                <w:sz w:val="18"/>
                <w:szCs w:val="18"/>
                <w:color w:val="auto"/>
              </w:rPr>
            </w:pPr>
          </w:p>
        </w:tc>
      </w:tr>
      <w:tr>
        <w:trPr>
          <w:trHeight w:val="210"/>
        </w:trPr>
        <w:tc>
          <w:tcPr>
            <w:tcW w:w="3300" w:type="dxa"/>
            <w:vAlign w:val="bottom"/>
            <w:tcBorders>
              <w:bottom w:val="single" w:sz="8" w:color="CFF0FC"/>
            </w:tcBorders>
          </w:tcPr>
          <w:p>
            <w:pPr>
              <w:ind w:left="380"/>
              <w:spacing w:after="0"/>
              <w:rPr>
                <w:sz w:val="20"/>
                <w:szCs w:val="20"/>
                <w:color w:val="auto"/>
              </w:rPr>
            </w:pPr>
            <w:r>
              <w:rPr>
                <w:rFonts w:ascii="Arial" w:cs="Arial" w:eastAsia="Arial" w:hAnsi="Arial"/>
                <w:sz w:val="18"/>
                <w:szCs w:val="18"/>
                <w:color w:val="auto"/>
              </w:rPr>
              <w:t>Total cost of revenues</w:t>
            </w:r>
          </w:p>
        </w:tc>
        <w:tc>
          <w:tcPr>
            <w:tcW w:w="200" w:type="dxa"/>
            <w:vAlign w:val="bottom"/>
            <w:tcBorders>
              <w:bottom w:val="single" w:sz="8" w:color="CFF0FC"/>
            </w:tcBorders>
          </w:tcPr>
          <w:p>
            <w:pPr>
              <w:spacing w:after="0"/>
              <w:rPr>
                <w:sz w:val="18"/>
                <w:szCs w:val="18"/>
                <w:color w:val="auto"/>
              </w:rPr>
            </w:pPr>
          </w:p>
        </w:tc>
        <w:tc>
          <w:tcPr>
            <w:tcW w:w="120" w:type="dxa"/>
            <w:vAlign w:val="bottom"/>
            <w:tcBorders>
              <w:bottom w:val="single" w:sz="8" w:color="CFF0FC"/>
            </w:tcBorders>
          </w:tcPr>
          <w:p>
            <w:pPr>
              <w:spacing w:after="0"/>
              <w:rPr>
                <w:sz w:val="18"/>
                <w:szCs w:val="18"/>
                <w:color w:val="auto"/>
              </w:rPr>
            </w:pPr>
          </w:p>
        </w:tc>
        <w:tc>
          <w:tcPr>
            <w:tcW w:w="780" w:type="dxa"/>
            <w:vAlign w:val="bottom"/>
            <w:tcBorders>
              <w:bottom w:val="single" w:sz="8" w:color="CFF0FC"/>
            </w:tcBorders>
          </w:tcPr>
          <w:p>
            <w:pPr>
              <w:spacing w:after="0"/>
              <w:rPr>
                <w:sz w:val="18"/>
                <w:szCs w:val="18"/>
                <w:color w:val="auto"/>
              </w:rPr>
            </w:pPr>
          </w:p>
        </w:tc>
        <w:tc>
          <w:tcPr>
            <w:tcW w:w="220" w:type="dxa"/>
            <w:vAlign w:val="bottom"/>
            <w:tcBorders>
              <w:bottom w:val="single" w:sz="8" w:color="CFF0FC"/>
            </w:tcBorders>
          </w:tcPr>
          <w:p>
            <w:pPr>
              <w:spacing w:after="0"/>
              <w:rPr>
                <w:sz w:val="18"/>
                <w:szCs w:val="18"/>
                <w:color w:val="auto"/>
              </w:rPr>
            </w:pPr>
          </w:p>
        </w:tc>
        <w:tc>
          <w:tcPr>
            <w:tcW w:w="160" w:type="dxa"/>
            <w:vAlign w:val="bottom"/>
            <w:tcBorders>
              <w:bottom w:val="single" w:sz="8" w:color="CFF0FC"/>
            </w:tcBorders>
          </w:tcPr>
          <w:p>
            <w:pPr>
              <w:spacing w:after="0"/>
              <w:rPr>
                <w:sz w:val="18"/>
                <w:szCs w:val="18"/>
                <w:color w:val="auto"/>
              </w:rPr>
            </w:pPr>
          </w:p>
        </w:tc>
        <w:tc>
          <w:tcPr>
            <w:tcW w:w="720" w:type="dxa"/>
            <w:vAlign w:val="bottom"/>
            <w:tcBorders>
              <w:bottom w:val="single" w:sz="8" w:color="CFF0FC"/>
            </w:tcBorders>
          </w:tcPr>
          <w:p>
            <w:pPr>
              <w:spacing w:after="0"/>
              <w:rPr>
                <w:sz w:val="18"/>
                <w:szCs w:val="18"/>
                <w:color w:val="auto"/>
              </w:rPr>
            </w:pPr>
          </w:p>
        </w:tc>
        <w:tc>
          <w:tcPr>
            <w:tcW w:w="220" w:type="dxa"/>
            <w:vAlign w:val="bottom"/>
            <w:tcBorders>
              <w:bottom w:val="single" w:sz="8" w:color="CFF0FC"/>
            </w:tcBorders>
          </w:tcPr>
          <w:p>
            <w:pPr>
              <w:spacing w:after="0"/>
              <w:rPr>
                <w:sz w:val="18"/>
                <w:szCs w:val="18"/>
                <w:color w:val="auto"/>
              </w:rPr>
            </w:pPr>
          </w:p>
        </w:tc>
        <w:tc>
          <w:tcPr>
            <w:tcW w:w="180" w:type="dxa"/>
            <w:vAlign w:val="bottom"/>
            <w:tcBorders>
              <w:bottom w:val="single" w:sz="8" w:color="CFF0FC"/>
            </w:tcBorders>
          </w:tcPr>
          <w:p>
            <w:pPr>
              <w:spacing w:after="0"/>
              <w:rPr>
                <w:sz w:val="18"/>
                <w:szCs w:val="18"/>
                <w:color w:val="auto"/>
              </w:rPr>
            </w:pPr>
          </w:p>
        </w:tc>
        <w:tc>
          <w:tcPr>
            <w:tcW w:w="72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58,975</w:t>
            </w:r>
          </w:p>
        </w:tc>
        <w:tc>
          <w:tcPr>
            <w:tcW w:w="100" w:type="dxa"/>
            <w:vAlign w:val="bottom"/>
            <w:tcBorders>
              <w:bottom w:val="single" w:sz="8" w:color="CFF0FC"/>
            </w:tcBorders>
          </w:tcPr>
          <w:p>
            <w:pPr>
              <w:spacing w:after="0"/>
              <w:rPr>
                <w:sz w:val="18"/>
                <w:szCs w:val="18"/>
                <w:color w:val="auto"/>
              </w:rPr>
            </w:pPr>
          </w:p>
        </w:tc>
        <w:tc>
          <w:tcPr>
            <w:tcW w:w="160" w:type="dxa"/>
            <w:vAlign w:val="bottom"/>
            <w:tcBorders>
              <w:bottom w:val="single" w:sz="8" w:color="CFF0FC"/>
            </w:tcBorders>
          </w:tcPr>
          <w:p>
            <w:pPr>
              <w:spacing w:after="0"/>
              <w:rPr>
                <w:sz w:val="18"/>
                <w:szCs w:val="18"/>
                <w:color w:val="auto"/>
              </w:rPr>
            </w:pPr>
          </w:p>
        </w:tc>
        <w:tc>
          <w:tcPr>
            <w:tcW w:w="62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50,874</w:t>
            </w:r>
          </w:p>
        </w:tc>
        <w:tc>
          <w:tcPr>
            <w:tcW w:w="120" w:type="dxa"/>
            <w:vAlign w:val="bottom"/>
            <w:tcBorders>
              <w:bottom w:val="single" w:sz="8" w:color="CFF0FC"/>
            </w:tcBorders>
          </w:tcPr>
          <w:p>
            <w:pPr>
              <w:spacing w:after="0"/>
              <w:rPr>
                <w:sz w:val="18"/>
                <w:szCs w:val="18"/>
                <w:color w:val="auto"/>
              </w:rPr>
            </w:pPr>
          </w:p>
        </w:tc>
        <w:tc>
          <w:tcPr>
            <w:tcW w:w="160" w:type="dxa"/>
            <w:vAlign w:val="bottom"/>
            <w:tcBorders>
              <w:bottom w:val="single" w:sz="8" w:color="CFF0FC"/>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41,385</w:t>
            </w:r>
          </w:p>
        </w:tc>
        <w:tc>
          <w:tcPr>
            <w:tcW w:w="120" w:type="dxa"/>
            <w:vAlign w:val="bottom"/>
            <w:tcBorders>
              <w:bottom w:val="single" w:sz="8" w:color="CFF0FC"/>
            </w:tcBorders>
          </w:tcPr>
          <w:p>
            <w:pPr>
              <w:spacing w:after="0"/>
              <w:rPr>
                <w:sz w:val="18"/>
                <w:szCs w:val="18"/>
                <w:color w:val="auto"/>
              </w:rPr>
            </w:pPr>
          </w:p>
        </w:tc>
      </w:tr>
      <w:tr>
        <w:trPr>
          <w:trHeight w:val="210"/>
        </w:trPr>
        <w:tc>
          <w:tcPr>
            <w:tcW w:w="3300" w:type="dxa"/>
            <w:vAlign w:val="bottom"/>
            <w:shd w:val="clear" w:color="auto" w:fill="CFF0FC"/>
          </w:tcPr>
          <w:p>
            <w:pPr>
              <w:spacing w:after="0"/>
              <w:rPr>
                <w:sz w:val="20"/>
                <w:szCs w:val="20"/>
                <w:color w:val="auto"/>
              </w:rPr>
            </w:pPr>
            <w:r>
              <w:rPr>
                <w:rFonts w:ascii="Arial" w:cs="Arial" w:eastAsia="Arial" w:hAnsi="Arial"/>
                <w:sz w:val="18"/>
                <w:szCs w:val="18"/>
                <w:color w:val="auto"/>
              </w:rPr>
              <w:t>Gross profit</w:t>
            </w:r>
          </w:p>
        </w:tc>
        <w:tc>
          <w:tcPr>
            <w:tcW w:w="2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720" w:type="dxa"/>
            <w:vAlign w:val="bottom"/>
            <w:tcBorders>
              <w:bottom w:val="single" w:sz="8" w:color="auto"/>
            </w:tcBorders>
            <w:shd w:val="clear" w:color="auto" w:fill="CFF0FC"/>
          </w:tcPr>
          <w:p>
            <w:pPr>
              <w:spacing w:after="0"/>
              <w:rPr>
                <w:sz w:val="18"/>
                <w:szCs w:val="18"/>
                <w:color w:val="auto"/>
              </w:rPr>
            </w:pPr>
          </w:p>
        </w:tc>
        <w:tc>
          <w:tcPr>
            <w:tcW w:w="180" w:type="dxa"/>
            <w:vAlign w:val="bottom"/>
            <w:tcBorders>
              <w:bottom w:val="single" w:sz="8" w:color="auto"/>
            </w:tcBorders>
            <w:shd w:val="clear" w:color="auto" w:fill="CFF0FC"/>
          </w:tcPr>
          <w:p>
            <w:pPr>
              <w:spacing w:after="0"/>
              <w:rPr>
                <w:sz w:val="18"/>
                <w:szCs w:val="18"/>
                <w:color w:val="auto"/>
              </w:rPr>
            </w:pPr>
          </w:p>
        </w:tc>
        <w:tc>
          <w:tcPr>
            <w:tcW w:w="720" w:type="dxa"/>
            <w:vAlign w:val="bottom"/>
            <w:tcBorders>
              <w:bottom w:val="single" w:sz="8" w:color="auto"/>
            </w:tcBorders>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230,001</w:t>
            </w:r>
          </w:p>
        </w:tc>
        <w:tc>
          <w:tcPr>
            <w:tcW w:w="1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620" w:type="dxa"/>
            <w:vAlign w:val="bottom"/>
            <w:tcBorders>
              <w:bottom w:val="single" w:sz="8" w:color="auto"/>
            </w:tcBorders>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spacing w:after="0"/>
              <w:rPr>
                <w:sz w:val="18"/>
                <w:szCs w:val="18"/>
                <w:color w:val="auto"/>
              </w:rPr>
            </w:pPr>
          </w:p>
        </w:tc>
        <w:tc>
          <w:tcPr>
            <w:tcW w:w="120" w:type="dxa"/>
            <w:vAlign w:val="bottom"/>
            <w:tcBorders>
              <w:bottom w:val="single" w:sz="8" w:color="auto"/>
            </w:tcBorders>
            <w:shd w:val="clear" w:color="auto" w:fill="CFF0FC"/>
          </w:tcPr>
          <w:p>
            <w:pPr>
              <w:spacing w:after="0"/>
              <w:rPr>
                <w:sz w:val="18"/>
                <w:szCs w:val="18"/>
                <w:color w:val="auto"/>
              </w:rPr>
            </w:pPr>
          </w:p>
        </w:tc>
        <w:tc>
          <w:tcPr>
            <w:tcW w:w="6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8"/>
              </w:rPr>
              <w:t>176,914</w:t>
            </w:r>
          </w:p>
        </w:tc>
        <w:tc>
          <w:tcPr>
            <w:tcW w:w="1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260" w:type="dxa"/>
            <w:vAlign w:val="bottom"/>
            <w:tcBorders>
              <w:left w:val="single" w:sz="8" w:color="CFF0FC"/>
              <w:bottom w:val="single" w:sz="8" w:color="auto"/>
            </w:tcBorders>
            <w:shd w:val="clear" w:color="auto" w:fill="CFF0FC"/>
          </w:tcPr>
          <w:p>
            <w:pPr>
              <w:spacing w:after="0"/>
              <w:rPr>
                <w:sz w:val="18"/>
                <w:szCs w:val="18"/>
                <w:color w:val="auto"/>
              </w:rPr>
            </w:pPr>
          </w:p>
        </w:tc>
        <w:tc>
          <w:tcPr>
            <w:tcW w:w="680" w:type="dxa"/>
            <w:vAlign w:val="bottom"/>
            <w:tcBorders>
              <w:bottom w:val="single" w:sz="8" w:color="auto"/>
            </w:tcBorders>
            <w:shd w:val="clear" w:color="auto" w:fill="CFF0FC"/>
          </w:tcPr>
          <w:p>
            <w:pPr>
              <w:spacing w:after="0"/>
              <w:rPr>
                <w:sz w:val="18"/>
                <w:szCs w:val="18"/>
                <w:color w:val="auto"/>
              </w:rPr>
            </w:pPr>
          </w:p>
        </w:tc>
        <w:tc>
          <w:tcPr>
            <w:tcW w:w="680" w:type="dxa"/>
            <w:vAlign w:val="bottom"/>
            <w:tcBorders>
              <w:bottom w:val="single" w:sz="8" w:color="auto"/>
              <w:right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w w:val="98"/>
              </w:rPr>
              <w:t>134,218</w:t>
            </w:r>
          </w:p>
        </w:tc>
        <w:tc>
          <w:tcPr>
            <w:tcW w:w="120" w:type="dxa"/>
            <w:vAlign w:val="bottom"/>
            <w:shd w:val="clear" w:color="auto" w:fill="CFF0FC"/>
          </w:tcPr>
          <w:p>
            <w:pPr>
              <w:spacing w:after="0"/>
              <w:rPr>
                <w:sz w:val="18"/>
                <w:szCs w:val="18"/>
                <w:color w:val="auto"/>
              </w:rPr>
            </w:pPr>
          </w:p>
        </w:tc>
      </w:tr>
      <w:tr>
        <w:trPr>
          <w:trHeight w:val="210"/>
        </w:trPr>
        <w:tc>
          <w:tcPr>
            <w:tcW w:w="3300" w:type="dxa"/>
            <w:vAlign w:val="bottom"/>
          </w:tcPr>
          <w:p>
            <w:pPr>
              <w:spacing w:after="0"/>
              <w:rPr>
                <w:sz w:val="20"/>
                <w:szCs w:val="20"/>
                <w:color w:val="auto"/>
              </w:rPr>
            </w:pPr>
            <w:r>
              <w:rPr>
                <w:rFonts w:ascii="Arial" w:cs="Arial" w:eastAsia="Arial" w:hAnsi="Arial"/>
                <w:sz w:val="18"/>
                <w:szCs w:val="18"/>
                <w:color w:val="auto"/>
              </w:rPr>
              <w:t>Operating expenses</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33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Sales and marketing</w:t>
            </w:r>
          </w:p>
        </w:tc>
        <w:tc>
          <w:tcPr>
            <w:tcW w:w="2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72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158,837</w:t>
            </w:r>
          </w:p>
        </w:tc>
        <w:tc>
          <w:tcPr>
            <w:tcW w:w="1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8"/>
              </w:rPr>
              <w:t>128,808</w:t>
            </w:r>
          </w:p>
        </w:tc>
        <w:tc>
          <w:tcPr>
            <w:tcW w:w="1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260" w:type="dxa"/>
            <w:vAlign w:val="bottom"/>
            <w:tcBorders>
              <w:left w:val="single" w:sz="8" w:color="CFF0FC"/>
            </w:tcBorders>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68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w w:val="98"/>
              </w:rPr>
              <w:t>103,967</w:t>
            </w:r>
          </w:p>
        </w:tc>
        <w:tc>
          <w:tcPr>
            <w:tcW w:w="120" w:type="dxa"/>
            <w:vAlign w:val="bottom"/>
            <w:shd w:val="clear" w:color="auto" w:fill="CFF0FC"/>
          </w:tcPr>
          <w:p>
            <w:pPr>
              <w:spacing w:after="0"/>
              <w:rPr>
                <w:sz w:val="18"/>
                <w:szCs w:val="18"/>
                <w:color w:val="auto"/>
              </w:rPr>
            </w:pPr>
          </w:p>
        </w:tc>
      </w:tr>
      <w:tr>
        <w:trPr>
          <w:trHeight w:val="216"/>
        </w:trPr>
        <w:tc>
          <w:tcPr>
            <w:tcW w:w="3300" w:type="dxa"/>
            <w:vAlign w:val="bottom"/>
          </w:tcPr>
          <w:p>
            <w:pPr>
              <w:ind w:left="260"/>
              <w:spacing w:after="0"/>
              <w:rPr>
                <w:sz w:val="20"/>
                <w:szCs w:val="20"/>
                <w:color w:val="auto"/>
              </w:rPr>
            </w:pPr>
            <w:r>
              <w:rPr>
                <w:rFonts w:ascii="Arial" w:cs="Arial" w:eastAsia="Arial" w:hAnsi="Arial"/>
                <w:sz w:val="18"/>
                <w:szCs w:val="18"/>
                <w:color w:val="auto"/>
              </w:rPr>
              <w:t>Research and development</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gridSpan w:val="2"/>
          </w:tcPr>
          <w:p>
            <w:pPr>
              <w:jc w:val="right"/>
              <w:ind w:right="20"/>
              <w:spacing w:after="0"/>
              <w:rPr>
                <w:sz w:val="20"/>
                <w:szCs w:val="20"/>
                <w:color w:val="auto"/>
              </w:rPr>
            </w:pPr>
            <w:r>
              <w:rPr>
                <w:rFonts w:ascii="Arial" w:cs="Arial" w:eastAsia="Arial" w:hAnsi="Arial"/>
                <w:sz w:val="18"/>
                <w:szCs w:val="18"/>
                <w:color w:val="auto"/>
              </w:rPr>
              <w:t>43,006</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30,754</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23,874</w:t>
            </w:r>
          </w:p>
        </w:tc>
        <w:tc>
          <w:tcPr>
            <w:tcW w:w="120" w:type="dxa"/>
            <w:vAlign w:val="bottom"/>
          </w:tcPr>
          <w:p>
            <w:pPr>
              <w:spacing w:after="0"/>
              <w:rPr>
                <w:sz w:val="18"/>
                <w:szCs w:val="18"/>
                <w:color w:val="auto"/>
              </w:rPr>
            </w:pPr>
          </w:p>
        </w:tc>
      </w:tr>
      <w:tr>
        <w:trPr>
          <w:trHeight w:val="216"/>
        </w:trPr>
        <w:tc>
          <w:tcPr>
            <w:tcW w:w="33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General and administrative</w:t>
            </w:r>
          </w:p>
        </w:tc>
        <w:tc>
          <w:tcPr>
            <w:tcW w:w="2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720" w:type="dxa"/>
            <w:vAlign w:val="bottom"/>
            <w:tcBorders>
              <w:bottom w:val="single" w:sz="8" w:color="auto"/>
            </w:tcBorders>
            <w:shd w:val="clear" w:color="auto" w:fill="CFF0FC"/>
          </w:tcPr>
          <w:p>
            <w:pPr>
              <w:spacing w:after="0"/>
              <w:rPr>
                <w:sz w:val="18"/>
                <w:szCs w:val="18"/>
                <w:color w:val="auto"/>
              </w:rPr>
            </w:pPr>
          </w:p>
        </w:tc>
        <w:tc>
          <w:tcPr>
            <w:tcW w:w="180" w:type="dxa"/>
            <w:vAlign w:val="bottom"/>
            <w:tcBorders>
              <w:bottom w:val="single" w:sz="8" w:color="auto"/>
            </w:tcBorders>
            <w:shd w:val="clear" w:color="auto" w:fill="CFF0FC"/>
          </w:tcPr>
          <w:p>
            <w:pPr>
              <w:spacing w:after="0"/>
              <w:rPr>
                <w:sz w:val="18"/>
                <w:szCs w:val="18"/>
                <w:color w:val="auto"/>
              </w:rPr>
            </w:pPr>
          </w:p>
        </w:tc>
        <w:tc>
          <w:tcPr>
            <w:tcW w:w="720" w:type="dxa"/>
            <w:vAlign w:val="bottom"/>
            <w:tcBorders>
              <w:bottom w:val="single" w:sz="8" w:color="auto"/>
            </w:tcBorders>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56,057</w:t>
            </w:r>
          </w:p>
        </w:tc>
        <w:tc>
          <w:tcPr>
            <w:tcW w:w="1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620" w:type="dxa"/>
            <w:vAlign w:val="bottom"/>
            <w:tcBorders>
              <w:bottom w:val="single" w:sz="8" w:color="auto"/>
            </w:tcBorders>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spacing w:after="0"/>
              <w:rPr>
                <w:sz w:val="18"/>
                <w:szCs w:val="18"/>
                <w:color w:val="auto"/>
              </w:rPr>
            </w:pPr>
          </w:p>
        </w:tc>
        <w:tc>
          <w:tcPr>
            <w:tcW w:w="120" w:type="dxa"/>
            <w:vAlign w:val="bottom"/>
            <w:tcBorders>
              <w:bottom w:val="single" w:sz="8" w:color="auto"/>
            </w:tcBorders>
            <w:shd w:val="clear" w:color="auto" w:fill="CFF0FC"/>
          </w:tcPr>
          <w:p>
            <w:pPr>
              <w:spacing w:after="0"/>
              <w:rPr>
                <w:sz w:val="18"/>
                <w:szCs w:val="18"/>
                <w:color w:val="auto"/>
              </w:rPr>
            </w:pPr>
          </w:p>
        </w:tc>
        <w:tc>
          <w:tcPr>
            <w:tcW w:w="6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47,188</w:t>
            </w:r>
          </w:p>
        </w:tc>
        <w:tc>
          <w:tcPr>
            <w:tcW w:w="1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260" w:type="dxa"/>
            <w:vAlign w:val="bottom"/>
            <w:tcBorders>
              <w:left w:val="single" w:sz="8" w:color="CFF0FC"/>
              <w:bottom w:val="single" w:sz="8" w:color="auto"/>
            </w:tcBorders>
            <w:shd w:val="clear" w:color="auto" w:fill="CFF0FC"/>
          </w:tcPr>
          <w:p>
            <w:pPr>
              <w:spacing w:after="0"/>
              <w:rPr>
                <w:sz w:val="18"/>
                <w:szCs w:val="18"/>
                <w:color w:val="auto"/>
              </w:rPr>
            </w:pPr>
          </w:p>
        </w:tc>
        <w:tc>
          <w:tcPr>
            <w:tcW w:w="680" w:type="dxa"/>
            <w:vAlign w:val="bottom"/>
            <w:tcBorders>
              <w:bottom w:val="single" w:sz="8" w:color="auto"/>
            </w:tcBorders>
            <w:shd w:val="clear" w:color="auto" w:fill="CFF0FC"/>
          </w:tcPr>
          <w:p>
            <w:pPr>
              <w:spacing w:after="0"/>
              <w:rPr>
                <w:sz w:val="18"/>
                <w:szCs w:val="18"/>
                <w:color w:val="auto"/>
              </w:rPr>
            </w:pPr>
          </w:p>
        </w:tc>
        <w:tc>
          <w:tcPr>
            <w:tcW w:w="680" w:type="dxa"/>
            <w:vAlign w:val="bottom"/>
            <w:tcBorders>
              <w:bottom w:val="single" w:sz="8" w:color="auto"/>
              <w:right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36,786</w:t>
            </w:r>
          </w:p>
        </w:tc>
        <w:tc>
          <w:tcPr>
            <w:tcW w:w="120" w:type="dxa"/>
            <w:vAlign w:val="bottom"/>
            <w:shd w:val="clear" w:color="auto" w:fill="CFF0FC"/>
          </w:tcPr>
          <w:p>
            <w:pPr>
              <w:spacing w:after="0"/>
              <w:rPr>
                <w:sz w:val="18"/>
                <w:szCs w:val="18"/>
                <w:color w:val="auto"/>
              </w:rPr>
            </w:pPr>
          </w:p>
        </w:tc>
      </w:tr>
      <w:tr>
        <w:trPr>
          <w:trHeight w:val="210"/>
        </w:trPr>
        <w:tc>
          <w:tcPr>
            <w:tcW w:w="3300" w:type="dxa"/>
            <w:vAlign w:val="bottom"/>
            <w:tcBorders>
              <w:bottom w:val="single" w:sz="8" w:color="CFF0FC"/>
            </w:tcBorders>
          </w:tcPr>
          <w:p>
            <w:pPr>
              <w:ind w:left="380"/>
              <w:spacing w:after="0"/>
              <w:rPr>
                <w:sz w:val="20"/>
                <w:szCs w:val="20"/>
                <w:color w:val="auto"/>
              </w:rPr>
            </w:pPr>
            <w:r>
              <w:rPr>
                <w:rFonts w:ascii="Arial" w:cs="Arial" w:eastAsia="Arial" w:hAnsi="Arial"/>
                <w:sz w:val="18"/>
                <w:szCs w:val="18"/>
                <w:color w:val="auto"/>
              </w:rPr>
              <w:t>Total operating expenses</w:t>
            </w:r>
          </w:p>
        </w:tc>
        <w:tc>
          <w:tcPr>
            <w:tcW w:w="200" w:type="dxa"/>
            <w:vAlign w:val="bottom"/>
            <w:tcBorders>
              <w:bottom w:val="single" w:sz="8" w:color="CFF0FC"/>
            </w:tcBorders>
          </w:tcPr>
          <w:p>
            <w:pPr>
              <w:spacing w:after="0"/>
              <w:rPr>
                <w:sz w:val="18"/>
                <w:szCs w:val="18"/>
                <w:color w:val="auto"/>
              </w:rPr>
            </w:pPr>
          </w:p>
        </w:tc>
        <w:tc>
          <w:tcPr>
            <w:tcW w:w="120" w:type="dxa"/>
            <w:vAlign w:val="bottom"/>
            <w:tcBorders>
              <w:bottom w:val="single" w:sz="8" w:color="CFF0FC"/>
            </w:tcBorders>
          </w:tcPr>
          <w:p>
            <w:pPr>
              <w:spacing w:after="0"/>
              <w:rPr>
                <w:sz w:val="18"/>
                <w:szCs w:val="18"/>
                <w:color w:val="auto"/>
              </w:rPr>
            </w:pPr>
          </w:p>
        </w:tc>
        <w:tc>
          <w:tcPr>
            <w:tcW w:w="780" w:type="dxa"/>
            <w:vAlign w:val="bottom"/>
            <w:tcBorders>
              <w:bottom w:val="single" w:sz="8" w:color="CFF0FC"/>
            </w:tcBorders>
          </w:tcPr>
          <w:p>
            <w:pPr>
              <w:spacing w:after="0"/>
              <w:rPr>
                <w:sz w:val="18"/>
                <w:szCs w:val="18"/>
                <w:color w:val="auto"/>
              </w:rPr>
            </w:pPr>
          </w:p>
        </w:tc>
        <w:tc>
          <w:tcPr>
            <w:tcW w:w="220" w:type="dxa"/>
            <w:vAlign w:val="bottom"/>
            <w:tcBorders>
              <w:bottom w:val="single" w:sz="8" w:color="CFF0FC"/>
            </w:tcBorders>
          </w:tcPr>
          <w:p>
            <w:pPr>
              <w:spacing w:after="0"/>
              <w:rPr>
                <w:sz w:val="18"/>
                <w:szCs w:val="18"/>
                <w:color w:val="auto"/>
              </w:rPr>
            </w:pPr>
          </w:p>
        </w:tc>
        <w:tc>
          <w:tcPr>
            <w:tcW w:w="160" w:type="dxa"/>
            <w:vAlign w:val="bottom"/>
            <w:tcBorders>
              <w:bottom w:val="single" w:sz="8" w:color="CFF0FC"/>
            </w:tcBorders>
          </w:tcPr>
          <w:p>
            <w:pPr>
              <w:spacing w:after="0"/>
              <w:rPr>
                <w:sz w:val="18"/>
                <w:szCs w:val="18"/>
                <w:color w:val="auto"/>
              </w:rPr>
            </w:pPr>
          </w:p>
        </w:tc>
        <w:tc>
          <w:tcPr>
            <w:tcW w:w="720" w:type="dxa"/>
            <w:vAlign w:val="bottom"/>
            <w:tcBorders>
              <w:bottom w:val="single" w:sz="8" w:color="CFF0FC"/>
            </w:tcBorders>
          </w:tcPr>
          <w:p>
            <w:pPr>
              <w:spacing w:after="0"/>
              <w:rPr>
                <w:sz w:val="18"/>
                <w:szCs w:val="18"/>
                <w:color w:val="auto"/>
              </w:rPr>
            </w:pPr>
          </w:p>
        </w:tc>
        <w:tc>
          <w:tcPr>
            <w:tcW w:w="220" w:type="dxa"/>
            <w:vAlign w:val="bottom"/>
            <w:tcBorders>
              <w:bottom w:val="single" w:sz="8" w:color="CFF0FC"/>
            </w:tcBorders>
          </w:tcPr>
          <w:p>
            <w:pPr>
              <w:spacing w:after="0"/>
              <w:rPr>
                <w:sz w:val="18"/>
                <w:szCs w:val="18"/>
                <w:color w:val="auto"/>
              </w:rPr>
            </w:pPr>
          </w:p>
        </w:tc>
        <w:tc>
          <w:tcPr>
            <w:tcW w:w="180" w:type="dxa"/>
            <w:vAlign w:val="bottom"/>
            <w:tcBorders>
              <w:bottom w:val="single" w:sz="8" w:color="CFF0FC"/>
            </w:tcBorders>
          </w:tcPr>
          <w:p>
            <w:pPr>
              <w:spacing w:after="0"/>
              <w:rPr>
                <w:sz w:val="18"/>
                <w:szCs w:val="18"/>
                <w:color w:val="auto"/>
              </w:rPr>
            </w:pPr>
          </w:p>
        </w:tc>
        <w:tc>
          <w:tcPr>
            <w:tcW w:w="72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257,900</w:t>
            </w:r>
          </w:p>
        </w:tc>
        <w:tc>
          <w:tcPr>
            <w:tcW w:w="100" w:type="dxa"/>
            <w:vAlign w:val="bottom"/>
            <w:tcBorders>
              <w:bottom w:val="single" w:sz="8" w:color="CFF0FC"/>
            </w:tcBorders>
          </w:tcPr>
          <w:p>
            <w:pPr>
              <w:spacing w:after="0"/>
              <w:rPr>
                <w:sz w:val="18"/>
                <w:szCs w:val="18"/>
                <w:color w:val="auto"/>
              </w:rPr>
            </w:pPr>
          </w:p>
        </w:tc>
        <w:tc>
          <w:tcPr>
            <w:tcW w:w="160" w:type="dxa"/>
            <w:vAlign w:val="bottom"/>
            <w:tcBorders>
              <w:bottom w:val="single" w:sz="8" w:color="CFF0FC"/>
            </w:tcBorders>
          </w:tcPr>
          <w:p>
            <w:pPr>
              <w:spacing w:after="0"/>
              <w:rPr>
                <w:sz w:val="18"/>
                <w:szCs w:val="18"/>
                <w:color w:val="auto"/>
              </w:rPr>
            </w:pPr>
          </w:p>
        </w:tc>
        <w:tc>
          <w:tcPr>
            <w:tcW w:w="62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8"/>
              </w:rPr>
              <w:t>206,750</w:t>
            </w:r>
          </w:p>
        </w:tc>
        <w:tc>
          <w:tcPr>
            <w:tcW w:w="120" w:type="dxa"/>
            <w:vAlign w:val="bottom"/>
            <w:tcBorders>
              <w:bottom w:val="single" w:sz="8" w:color="CFF0FC"/>
            </w:tcBorders>
          </w:tcPr>
          <w:p>
            <w:pPr>
              <w:spacing w:after="0"/>
              <w:rPr>
                <w:sz w:val="18"/>
                <w:szCs w:val="18"/>
                <w:color w:val="auto"/>
              </w:rPr>
            </w:pPr>
          </w:p>
        </w:tc>
        <w:tc>
          <w:tcPr>
            <w:tcW w:w="160" w:type="dxa"/>
            <w:vAlign w:val="bottom"/>
            <w:tcBorders>
              <w:bottom w:val="single" w:sz="8" w:color="CFF0FC"/>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8"/>
              </w:rPr>
              <w:t>164,627</w:t>
            </w:r>
          </w:p>
        </w:tc>
        <w:tc>
          <w:tcPr>
            <w:tcW w:w="120" w:type="dxa"/>
            <w:vAlign w:val="bottom"/>
            <w:tcBorders>
              <w:bottom w:val="single" w:sz="8" w:color="CFF0FC"/>
            </w:tcBorders>
          </w:tcPr>
          <w:p>
            <w:pPr>
              <w:spacing w:after="0"/>
              <w:rPr>
                <w:sz w:val="18"/>
                <w:szCs w:val="18"/>
                <w:color w:val="auto"/>
              </w:rPr>
            </w:pPr>
          </w:p>
        </w:tc>
      </w:tr>
      <w:tr>
        <w:trPr>
          <w:trHeight w:val="210"/>
        </w:trPr>
        <w:tc>
          <w:tcPr>
            <w:tcW w:w="3300" w:type="dxa"/>
            <w:vAlign w:val="bottom"/>
            <w:shd w:val="clear" w:color="auto" w:fill="CFF0FC"/>
          </w:tcPr>
          <w:p>
            <w:pPr>
              <w:spacing w:after="0"/>
              <w:rPr>
                <w:sz w:val="20"/>
                <w:szCs w:val="20"/>
                <w:color w:val="auto"/>
              </w:rPr>
            </w:pPr>
            <w:r>
              <w:rPr>
                <w:rFonts w:ascii="Arial" w:cs="Arial" w:eastAsia="Arial" w:hAnsi="Arial"/>
                <w:sz w:val="18"/>
                <w:szCs w:val="18"/>
                <w:color w:val="auto"/>
              </w:rPr>
              <w:t>Loss from operations</w:t>
            </w:r>
          </w:p>
        </w:tc>
        <w:tc>
          <w:tcPr>
            <w:tcW w:w="2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820" w:type="dxa"/>
            <w:vAlign w:val="bottom"/>
            <w:gridSpan w:val="3"/>
            <w:shd w:val="clear" w:color="auto" w:fill="CFF0FC"/>
          </w:tcPr>
          <w:p>
            <w:pPr>
              <w:jc w:val="right"/>
              <w:spacing w:after="0"/>
              <w:rPr>
                <w:sz w:val="20"/>
                <w:szCs w:val="20"/>
                <w:color w:val="auto"/>
              </w:rPr>
            </w:pPr>
            <w:r>
              <w:rPr>
                <w:rFonts w:ascii="Arial" w:cs="Arial" w:eastAsia="Arial" w:hAnsi="Arial"/>
                <w:sz w:val="18"/>
                <w:szCs w:val="18"/>
                <w:color w:val="auto"/>
              </w:rPr>
              <w:t>(27,899)</w:t>
            </w:r>
          </w:p>
        </w:tc>
        <w:tc>
          <w:tcPr>
            <w:tcW w:w="16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78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(29,836)</w:t>
            </w:r>
          </w:p>
        </w:tc>
        <w:tc>
          <w:tcPr>
            <w:tcW w:w="160" w:type="dxa"/>
            <w:vAlign w:val="bottom"/>
            <w:shd w:val="clear" w:color="auto" w:fill="CFF0FC"/>
          </w:tcPr>
          <w:p>
            <w:pPr>
              <w:spacing w:after="0"/>
              <w:rPr>
                <w:sz w:val="18"/>
                <w:szCs w:val="18"/>
                <w:color w:val="auto"/>
              </w:rPr>
            </w:pPr>
          </w:p>
        </w:tc>
        <w:tc>
          <w:tcPr>
            <w:tcW w:w="260" w:type="dxa"/>
            <w:vAlign w:val="bottom"/>
            <w:tcBorders>
              <w:left w:val="single" w:sz="8" w:color="CFF0FC"/>
            </w:tcBorders>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80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(30,409)</w:t>
            </w:r>
          </w:p>
        </w:tc>
      </w:tr>
      <w:tr>
        <w:trPr>
          <w:trHeight w:val="210"/>
        </w:trPr>
        <w:tc>
          <w:tcPr>
            <w:tcW w:w="3300" w:type="dxa"/>
            <w:vAlign w:val="bottom"/>
          </w:tcPr>
          <w:p>
            <w:pPr>
              <w:spacing w:after="0"/>
              <w:rPr>
                <w:sz w:val="20"/>
                <w:szCs w:val="20"/>
                <w:color w:val="auto"/>
              </w:rPr>
            </w:pPr>
            <w:r>
              <w:rPr>
                <w:rFonts w:ascii="Arial" w:cs="Arial" w:eastAsia="Arial" w:hAnsi="Arial"/>
                <w:sz w:val="18"/>
                <w:szCs w:val="18"/>
                <w:color w:val="auto"/>
              </w:rPr>
              <w:t>Other income (expense)</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Borders>
              <w:top w:val="single" w:sz="8" w:color="auto"/>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440" w:type="dxa"/>
            <w:vAlign w:val="bottom"/>
            <w:tcBorders>
              <w:top w:val="single" w:sz="8" w:color="auto"/>
            </w:tcBorders>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Borders>
              <w:top w:val="single" w:sz="8" w:color="auto"/>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66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680" w:type="dxa"/>
            <w:vAlign w:val="bottom"/>
            <w:tcBorders>
              <w:top w:val="single" w:sz="8" w:color="auto"/>
            </w:tcBorders>
          </w:tcPr>
          <w:p>
            <w:pPr>
              <w:spacing w:after="0"/>
              <w:rPr>
                <w:sz w:val="18"/>
                <w:szCs w:val="18"/>
                <w:color w:val="auto"/>
              </w:rPr>
            </w:pPr>
          </w:p>
        </w:tc>
        <w:tc>
          <w:tcPr>
            <w:tcW w:w="68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33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Interest income</w:t>
            </w:r>
          </w:p>
        </w:tc>
        <w:tc>
          <w:tcPr>
            <w:tcW w:w="2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72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6,128</w:t>
            </w:r>
          </w:p>
        </w:tc>
        <w:tc>
          <w:tcPr>
            <w:tcW w:w="1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2,136</w:t>
            </w:r>
          </w:p>
        </w:tc>
        <w:tc>
          <w:tcPr>
            <w:tcW w:w="1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260" w:type="dxa"/>
            <w:vAlign w:val="bottom"/>
            <w:tcBorders>
              <w:left w:val="single" w:sz="8" w:color="CFF0FC"/>
            </w:tcBorders>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68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1,069</w:t>
            </w:r>
          </w:p>
        </w:tc>
        <w:tc>
          <w:tcPr>
            <w:tcW w:w="120" w:type="dxa"/>
            <w:vAlign w:val="bottom"/>
            <w:shd w:val="clear" w:color="auto" w:fill="CFF0FC"/>
          </w:tcPr>
          <w:p>
            <w:pPr>
              <w:spacing w:after="0"/>
              <w:rPr>
                <w:sz w:val="18"/>
                <w:szCs w:val="18"/>
                <w:color w:val="auto"/>
              </w:rPr>
            </w:pPr>
          </w:p>
        </w:tc>
      </w:tr>
      <w:tr>
        <w:trPr>
          <w:trHeight w:val="216"/>
        </w:trPr>
        <w:tc>
          <w:tcPr>
            <w:tcW w:w="3300" w:type="dxa"/>
            <w:vAlign w:val="bottom"/>
          </w:tcPr>
          <w:p>
            <w:pPr>
              <w:ind w:left="260"/>
              <w:spacing w:after="0"/>
              <w:rPr>
                <w:sz w:val="20"/>
                <w:szCs w:val="20"/>
                <w:color w:val="auto"/>
              </w:rPr>
            </w:pPr>
            <w:r>
              <w:rPr>
                <w:rFonts w:ascii="Arial" w:cs="Arial" w:eastAsia="Arial" w:hAnsi="Arial"/>
                <w:sz w:val="18"/>
                <w:szCs w:val="18"/>
                <w:color w:val="auto"/>
              </w:rPr>
              <w:t>Interest expense</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gridSpan w:val="3"/>
          </w:tcPr>
          <w:p>
            <w:pPr>
              <w:jc w:val="right"/>
              <w:spacing w:after="0"/>
              <w:rPr>
                <w:sz w:val="20"/>
                <w:szCs w:val="20"/>
                <w:color w:val="auto"/>
              </w:rPr>
            </w:pPr>
            <w:r>
              <w:rPr>
                <w:rFonts w:ascii="Arial" w:cs="Arial" w:eastAsia="Arial" w:hAnsi="Arial"/>
                <w:sz w:val="18"/>
                <w:szCs w:val="18"/>
                <w:color w:val="auto"/>
              </w:rPr>
              <w:t>(8,650)</w:t>
            </w: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gridSpan w:val="2"/>
          </w:tcPr>
          <w:p>
            <w:pPr>
              <w:jc w:val="right"/>
              <w:ind w:right="60"/>
              <w:spacing w:after="0"/>
              <w:rPr>
                <w:sz w:val="20"/>
                <w:szCs w:val="20"/>
                <w:color w:val="auto"/>
              </w:rPr>
            </w:pPr>
            <w:r>
              <w:rPr>
                <w:rFonts w:ascii="Arial" w:cs="Arial" w:eastAsia="Arial" w:hAnsi="Arial"/>
                <w:sz w:val="18"/>
                <w:szCs w:val="18"/>
                <w:color w:val="auto"/>
              </w:rPr>
              <w:t>(4)</w:t>
            </w: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00" w:type="dxa"/>
            <w:vAlign w:val="bottom"/>
            <w:gridSpan w:val="2"/>
          </w:tcPr>
          <w:p>
            <w:pPr>
              <w:jc w:val="right"/>
              <w:ind w:right="60"/>
              <w:spacing w:after="0"/>
              <w:rPr>
                <w:sz w:val="20"/>
                <w:szCs w:val="20"/>
                <w:color w:val="auto"/>
              </w:rPr>
            </w:pPr>
            <w:r>
              <w:rPr>
                <w:rFonts w:ascii="Arial" w:cs="Arial" w:eastAsia="Arial" w:hAnsi="Arial"/>
                <w:sz w:val="18"/>
                <w:szCs w:val="18"/>
                <w:color w:val="auto"/>
              </w:rPr>
              <w:t>(13)</w:t>
            </w:r>
          </w:p>
        </w:tc>
      </w:tr>
      <w:tr>
        <w:trPr>
          <w:trHeight w:val="215"/>
        </w:trPr>
        <w:tc>
          <w:tcPr>
            <w:tcW w:w="33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Change in fair value of the common</w:t>
            </w:r>
          </w:p>
        </w:tc>
        <w:tc>
          <w:tcPr>
            <w:tcW w:w="2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44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260" w:type="dxa"/>
            <w:vAlign w:val="bottom"/>
            <w:tcBorders>
              <w:left w:val="single" w:sz="8" w:color="CFF0FC"/>
            </w:tcBorders>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680" w:type="dxa"/>
            <w:vAlign w:val="bottom"/>
            <w:tcBorders>
              <w:right w:val="single" w:sz="8" w:color="CFF0FC"/>
            </w:tcBorders>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03"/>
        </w:trPr>
        <w:tc>
          <w:tcPr>
            <w:tcW w:w="3300" w:type="dxa"/>
            <w:vAlign w:val="bottom"/>
            <w:shd w:val="clear" w:color="auto" w:fill="CFF0FC"/>
          </w:tcPr>
          <w:p>
            <w:pPr>
              <w:ind w:left="400"/>
              <w:spacing w:after="0" w:line="203" w:lineRule="exact"/>
              <w:rPr>
                <w:sz w:val="20"/>
                <w:szCs w:val="20"/>
                <w:color w:val="auto"/>
              </w:rPr>
            </w:pPr>
            <w:r>
              <w:rPr>
                <w:rFonts w:ascii="Arial" w:cs="Arial" w:eastAsia="Arial" w:hAnsi="Arial"/>
                <w:sz w:val="18"/>
                <w:szCs w:val="18"/>
                <w:color w:val="auto"/>
              </w:rPr>
              <w:t>stock warrant liability</w:t>
            </w:r>
          </w:p>
        </w:tc>
        <w:tc>
          <w:tcPr>
            <w:tcW w:w="2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78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72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72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720" w:type="dxa"/>
            <w:vAlign w:val="bottom"/>
            <w:gridSpan w:val="2"/>
            <w:shd w:val="clear" w:color="auto" w:fill="CFF0FC"/>
          </w:tcPr>
          <w:p>
            <w:pPr>
              <w:jc w:val="right"/>
              <w:ind w:right="20"/>
              <w:spacing w:after="0" w:line="203" w:lineRule="exact"/>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62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660" w:type="dxa"/>
            <w:vAlign w:val="bottom"/>
            <w:shd w:val="clear" w:color="auto" w:fill="CFF0FC"/>
          </w:tcPr>
          <w:p>
            <w:pPr>
              <w:jc w:val="right"/>
              <w:spacing w:after="0" w:line="203" w:lineRule="exact"/>
              <w:rPr>
                <w:sz w:val="20"/>
                <w:szCs w:val="20"/>
                <w:color w:val="auto"/>
              </w:rPr>
            </w:pPr>
            <w:r>
              <w:rPr>
                <w:rFonts w:ascii="Arial" w:cs="Arial" w:eastAsia="Arial" w:hAnsi="Arial"/>
                <w:sz w:val="18"/>
                <w:szCs w:val="18"/>
                <w:color w:val="auto"/>
              </w:rPr>
              <w:t>—</w:t>
            </w:r>
          </w:p>
        </w:tc>
        <w:tc>
          <w:tcPr>
            <w:tcW w:w="280" w:type="dxa"/>
            <w:vAlign w:val="bottom"/>
            <w:gridSpan w:val="2"/>
            <w:shd w:val="clear" w:color="auto" w:fill="CFF0FC"/>
          </w:tcPr>
          <w:p>
            <w:pPr>
              <w:spacing w:after="0"/>
              <w:rPr>
                <w:sz w:val="17"/>
                <w:szCs w:val="17"/>
                <w:color w:val="auto"/>
              </w:rPr>
            </w:pPr>
          </w:p>
        </w:tc>
        <w:tc>
          <w:tcPr>
            <w:tcW w:w="260" w:type="dxa"/>
            <w:vAlign w:val="bottom"/>
            <w:tcBorders>
              <w:left w:val="single" w:sz="8" w:color="CFF0FC"/>
            </w:tcBorders>
            <w:shd w:val="clear" w:color="auto" w:fill="CFF0FC"/>
          </w:tcPr>
          <w:p>
            <w:pPr>
              <w:spacing w:after="0"/>
              <w:rPr>
                <w:sz w:val="17"/>
                <w:szCs w:val="17"/>
                <w:color w:val="auto"/>
              </w:rPr>
            </w:pPr>
          </w:p>
        </w:tc>
        <w:tc>
          <w:tcPr>
            <w:tcW w:w="680" w:type="dxa"/>
            <w:vAlign w:val="bottom"/>
            <w:shd w:val="clear" w:color="auto" w:fill="CFF0FC"/>
          </w:tcPr>
          <w:p>
            <w:pPr>
              <w:spacing w:after="0"/>
              <w:rPr>
                <w:sz w:val="17"/>
                <w:szCs w:val="17"/>
                <w:color w:val="auto"/>
              </w:rPr>
            </w:pPr>
          </w:p>
        </w:tc>
        <w:tc>
          <w:tcPr>
            <w:tcW w:w="800" w:type="dxa"/>
            <w:vAlign w:val="bottom"/>
            <w:gridSpan w:val="2"/>
            <w:shd w:val="clear" w:color="auto" w:fill="CFF0FC"/>
          </w:tcPr>
          <w:p>
            <w:pPr>
              <w:jc w:val="right"/>
              <w:ind w:right="60"/>
              <w:spacing w:after="0" w:line="203" w:lineRule="exact"/>
              <w:rPr>
                <w:sz w:val="20"/>
                <w:szCs w:val="20"/>
                <w:color w:val="auto"/>
              </w:rPr>
            </w:pPr>
            <w:r>
              <w:rPr>
                <w:rFonts w:ascii="Arial" w:cs="Arial" w:eastAsia="Arial" w:hAnsi="Arial"/>
                <w:sz w:val="18"/>
                <w:szCs w:val="18"/>
                <w:color w:val="auto"/>
              </w:rPr>
              <w:t>(3,490)</w:t>
            </w:r>
          </w:p>
        </w:tc>
      </w:tr>
      <w:tr>
        <w:trPr>
          <w:trHeight w:val="20"/>
        </w:trPr>
        <w:tc>
          <w:tcPr>
            <w:tcW w:w="33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Borders>
              <w:left w:val="single" w:sz="8" w:color="auto"/>
            </w:tcBorders>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680" w:type="dxa"/>
            <w:vAlign w:val="bottom"/>
            <w:tcBorders>
              <w:right w:val="single" w:sz="8" w:color="auto"/>
            </w:tcBorders>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10"/>
        </w:trPr>
        <w:tc>
          <w:tcPr>
            <w:tcW w:w="3300" w:type="dxa"/>
            <w:vAlign w:val="bottom"/>
          </w:tcPr>
          <w:p>
            <w:pPr>
              <w:spacing w:after="0"/>
              <w:rPr>
                <w:sz w:val="20"/>
                <w:szCs w:val="20"/>
                <w:color w:val="auto"/>
              </w:rPr>
            </w:pPr>
            <w:r>
              <w:rPr>
                <w:rFonts w:ascii="Arial" w:cs="Arial" w:eastAsia="Arial" w:hAnsi="Arial"/>
                <w:sz w:val="18"/>
                <w:szCs w:val="18"/>
                <w:color w:val="auto"/>
              </w:rPr>
              <w:t>Other income (expense), net</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gridSpan w:val="3"/>
          </w:tcPr>
          <w:p>
            <w:pPr>
              <w:jc w:val="right"/>
              <w:spacing w:after="0"/>
              <w:rPr>
                <w:sz w:val="20"/>
                <w:szCs w:val="20"/>
                <w:color w:val="auto"/>
              </w:rPr>
            </w:pPr>
            <w:r>
              <w:rPr>
                <w:rFonts w:ascii="Arial" w:cs="Arial" w:eastAsia="Arial" w:hAnsi="Arial"/>
                <w:sz w:val="18"/>
                <w:szCs w:val="18"/>
                <w:color w:val="auto"/>
              </w:rPr>
              <w:t>(2,522)</w:t>
            </w: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2,132</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00" w:type="dxa"/>
            <w:vAlign w:val="bottom"/>
            <w:gridSpan w:val="2"/>
          </w:tcPr>
          <w:p>
            <w:pPr>
              <w:jc w:val="right"/>
              <w:ind w:right="60"/>
              <w:spacing w:after="0"/>
              <w:rPr>
                <w:sz w:val="20"/>
                <w:szCs w:val="20"/>
                <w:color w:val="auto"/>
              </w:rPr>
            </w:pPr>
            <w:r>
              <w:rPr>
                <w:rFonts w:ascii="Arial" w:cs="Arial" w:eastAsia="Arial" w:hAnsi="Arial"/>
                <w:sz w:val="18"/>
                <w:szCs w:val="18"/>
                <w:color w:val="auto"/>
              </w:rPr>
              <w:t>(2,434)</w:t>
            </w:r>
          </w:p>
        </w:tc>
      </w:tr>
      <w:tr>
        <w:trPr>
          <w:trHeight w:val="20"/>
        </w:trPr>
        <w:tc>
          <w:tcPr>
            <w:tcW w:w="3300" w:type="dxa"/>
            <w:vAlign w:val="bottom"/>
            <w:shd w:val="clear" w:color="auto" w:fill="CFF0FC"/>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780" w:type="dxa"/>
            <w:vAlign w:val="bottom"/>
            <w:shd w:val="clear" w:color="auto" w:fill="CFF0FC"/>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720" w:type="dxa"/>
            <w:vAlign w:val="bottom"/>
            <w:shd w:val="clear" w:color="auto" w:fill="CFF0FC"/>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260" w:type="dxa"/>
            <w:vAlign w:val="bottom"/>
            <w:tcBorders>
              <w:left w:val="single" w:sz="8" w:color="auto"/>
            </w:tcBorders>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680" w:type="dxa"/>
            <w:vAlign w:val="bottom"/>
            <w:tcBorders>
              <w:right w:val="single" w:sz="8" w:color="auto"/>
            </w:tcBorders>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r>
      <w:tr>
        <w:trPr>
          <w:trHeight w:val="210"/>
        </w:trPr>
        <w:tc>
          <w:tcPr>
            <w:tcW w:w="3300" w:type="dxa"/>
            <w:vAlign w:val="bottom"/>
            <w:shd w:val="clear" w:color="auto" w:fill="CFF0FC"/>
          </w:tcPr>
          <w:p>
            <w:pPr>
              <w:spacing w:after="0"/>
              <w:rPr>
                <w:sz w:val="20"/>
                <w:szCs w:val="20"/>
                <w:color w:val="auto"/>
              </w:rPr>
            </w:pPr>
            <w:r>
              <w:rPr>
                <w:rFonts w:ascii="Arial" w:cs="Arial" w:eastAsia="Arial" w:hAnsi="Arial"/>
                <w:sz w:val="18"/>
                <w:szCs w:val="18"/>
                <w:color w:val="auto"/>
              </w:rPr>
              <w:t>Loss before income taxes</w:t>
            </w:r>
          </w:p>
        </w:tc>
        <w:tc>
          <w:tcPr>
            <w:tcW w:w="2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820" w:type="dxa"/>
            <w:vAlign w:val="bottom"/>
            <w:gridSpan w:val="3"/>
            <w:shd w:val="clear" w:color="auto" w:fill="CFF0FC"/>
          </w:tcPr>
          <w:p>
            <w:pPr>
              <w:jc w:val="right"/>
              <w:spacing w:after="0"/>
              <w:rPr>
                <w:sz w:val="20"/>
                <w:szCs w:val="20"/>
                <w:color w:val="auto"/>
              </w:rPr>
            </w:pPr>
            <w:r>
              <w:rPr>
                <w:rFonts w:ascii="Arial" w:cs="Arial" w:eastAsia="Arial" w:hAnsi="Arial"/>
                <w:sz w:val="18"/>
                <w:szCs w:val="18"/>
                <w:color w:val="auto"/>
              </w:rPr>
              <w:t>(30,421)</w:t>
            </w:r>
          </w:p>
        </w:tc>
        <w:tc>
          <w:tcPr>
            <w:tcW w:w="16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78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(27,704)</w:t>
            </w:r>
          </w:p>
        </w:tc>
        <w:tc>
          <w:tcPr>
            <w:tcW w:w="160" w:type="dxa"/>
            <w:vAlign w:val="bottom"/>
            <w:shd w:val="clear" w:color="auto" w:fill="CFF0FC"/>
          </w:tcPr>
          <w:p>
            <w:pPr>
              <w:spacing w:after="0"/>
              <w:rPr>
                <w:sz w:val="18"/>
                <w:szCs w:val="18"/>
                <w:color w:val="auto"/>
              </w:rPr>
            </w:pPr>
          </w:p>
        </w:tc>
        <w:tc>
          <w:tcPr>
            <w:tcW w:w="260" w:type="dxa"/>
            <w:vAlign w:val="bottom"/>
            <w:tcBorders>
              <w:left w:val="single" w:sz="8" w:color="CFF0FC"/>
            </w:tcBorders>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80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(32,843)</w:t>
            </w:r>
          </w:p>
        </w:tc>
      </w:tr>
      <w:tr>
        <w:trPr>
          <w:trHeight w:val="216"/>
        </w:trPr>
        <w:tc>
          <w:tcPr>
            <w:tcW w:w="330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Provision for income taxes</w:t>
            </w:r>
          </w:p>
        </w:tc>
        <w:tc>
          <w:tcPr>
            <w:tcW w:w="200" w:type="dxa"/>
            <w:vAlign w:val="bottom"/>
            <w:tcBorders>
              <w:bottom w:val="single" w:sz="8" w:color="CFF0FC"/>
            </w:tcBorders>
          </w:tcPr>
          <w:p>
            <w:pPr>
              <w:spacing w:after="0"/>
              <w:rPr>
                <w:sz w:val="18"/>
                <w:szCs w:val="18"/>
                <w:color w:val="auto"/>
              </w:rPr>
            </w:pPr>
          </w:p>
        </w:tc>
        <w:tc>
          <w:tcPr>
            <w:tcW w:w="120" w:type="dxa"/>
            <w:vAlign w:val="bottom"/>
            <w:tcBorders>
              <w:bottom w:val="single" w:sz="8" w:color="CFF0FC"/>
            </w:tcBorders>
          </w:tcPr>
          <w:p>
            <w:pPr>
              <w:spacing w:after="0"/>
              <w:rPr>
                <w:sz w:val="18"/>
                <w:szCs w:val="18"/>
                <w:color w:val="auto"/>
              </w:rPr>
            </w:pPr>
          </w:p>
        </w:tc>
        <w:tc>
          <w:tcPr>
            <w:tcW w:w="780" w:type="dxa"/>
            <w:vAlign w:val="bottom"/>
            <w:tcBorders>
              <w:bottom w:val="single" w:sz="8" w:color="CFF0FC"/>
            </w:tcBorders>
          </w:tcPr>
          <w:p>
            <w:pPr>
              <w:spacing w:after="0"/>
              <w:rPr>
                <w:sz w:val="18"/>
                <w:szCs w:val="18"/>
                <w:color w:val="auto"/>
              </w:rPr>
            </w:pPr>
          </w:p>
        </w:tc>
        <w:tc>
          <w:tcPr>
            <w:tcW w:w="220" w:type="dxa"/>
            <w:vAlign w:val="bottom"/>
            <w:tcBorders>
              <w:bottom w:val="single" w:sz="8" w:color="CFF0FC"/>
            </w:tcBorders>
          </w:tcPr>
          <w:p>
            <w:pPr>
              <w:spacing w:after="0"/>
              <w:rPr>
                <w:sz w:val="18"/>
                <w:szCs w:val="18"/>
                <w:color w:val="auto"/>
              </w:rPr>
            </w:pPr>
          </w:p>
        </w:tc>
        <w:tc>
          <w:tcPr>
            <w:tcW w:w="160" w:type="dxa"/>
            <w:vAlign w:val="bottom"/>
            <w:tcBorders>
              <w:bottom w:val="single" w:sz="8" w:color="CFF0FC"/>
            </w:tcBorders>
          </w:tcPr>
          <w:p>
            <w:pPr>
              <w:spacing w:after="0"/>
              <w:rPr>
                <w:sz w:val="18"/>
                <w:szCs w:val="18"/>
                <w:color w:val="auto"/>
              </w:rPr>
            </w:pPr>
          </w:p>
        </w:tc>
        <w:tc>
          <w:tcPr>
            <w:tcW w:w="720" w:type="dxa"/>
            <w:vAlign w:val="bottom"/>
            <w:tcBorders>
              <w:bottom w:val="single" w:sz="8" w:color="CFF0FC"/>
            </w:tcBorders>
          </w:tcPr>
          <w:p>
            <w:pPr>
              <w:spacing w:after="0"/>
              <w:rPr>
                <w:sz w:val="18"/>
                <w:szCs w:val="18"/>
                <w:color w:val="auto"/>
              </w:rPr>
            </w:pPr>
          </w:p>
        </w:tc>
        <w:tc>
          <w:tcPr>
            <w:tcW w:w="220" w:type="dxa"/>
            <w:vAlign w:val="bottom"/>
            <w:tcBorders>
              <w:bottom w:val="single" w:sz="8" w:color="CFF0FC"/>
            </w:tcBorders>
          </w:tcPr>
          <w:p>
            <w:pPr>
              <w:spacing w:after="0"/>
              <w:rPr>
                <w:sz w:val="18"/>
                <w:szCs w:val="18"/>
                <w:color w:val="auto"/>
              </w:rPr>
            </w:pPr>
          </w:p>
        </w:tc>
        <w:tc>
          <w:tcPr>
            <w:tcW w:w="180" w:type="dxa"/>
            <w:vAlign w:val="bottom"/>
            <w:tcBorders>
              <w:bottom w:val="single" w:sz="8" w:color="CFF0FC"/>
            </w:tcBorders>
          </w:tcPr>
          <w:p>
            <w:pPr>
              <w:spacing w:after="0"/>
              <w:rPr>
                <w:sz w:val="18"/>
                <w:szCs w:val="18"/>
                <w:color w:val="auto"/>
              </w:rPr>
            </w:pPr>
          </w:p>
        </w:tc>
        <w:tc>
          <w:tcPr>
            <w:tcW w:w="72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1,725</w:t>
            </w:r>
          </w:p>
        </w:tc>
        <w:tc>
          <w:tcPr>
            <w:tcW w:w="100" w:type="dxa"/>
            <w:vAlign w:val="bottom"/>
            <w:tcBorders>
              <w:bottom w:val="single" w:sz="8" w:color="CFF0FC"/>
            </w:tcBorders>
          </w:tcPr>
          <w:p>
            <w:pPr>
              <w:spacing w:after="0"/>
              <w:rPr>
                <w:sz w:val="18"/>
                <w:szCs w:val="18"/>
                <w:color w:val="auto"/>
              </w:rPr>
            </w:pPr>
          </w:p>
        </w:tc>
        <w:tc>
          <w:tcPr>
            <w:tcW w:w="160" w:type="dxa"/>
            <w:vAlign w:val="bottom"/>
            <w:tcBorders>
              <w:bottom w:val="single" w:sz="8" w:color="CFF0FC"/>
            </w:tcBorders>
          </w:tcPr>
          <w:p>
            <w:pPr>
              <w:spacing w:after="0"/>
              <w:rPr>
                <w:sz w:val="18"/>
                <w:szCs w:val="18"/>
                <w:color w:val="auto"/>
              </w:rPr>
            </w:pPr>
          </w:p>
        </w:tc>
        <w:tc>
          <w:tcPr>
            <w:tcW w:w="62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1,072</w:t>
            </w:r>
          </w:p>
        </w:tc>
        <w:tc>
          <w:tcPr>
            <w:tcW w:w="120" w:type="dxa"/>
            <w:vAlign w:val="bottom"/>
            <w:tcBorders>
              <w:bottom w:val="single" w:sz="8" w:color="CFF0FC"/>
            </w:tcBorders>
          </w:tcPr>
          <w:p>
            <w:pPr>
              <w:spacing w:after="0"/>
              <w:rPr>
                <w:sz w:val="18"/>
                <w:szCs w:val="18"/>
                <w:color w:val="auto"/>
              </w:rPr>
            </w:pPr>
          </w:p>
        </w:tc>
        <w:tc>
          <w:tcPr>
            <w:tcW w:w="160" w:type="dxa"/>
            <w:vAlign w:val="bottom"/>
            <w:tcBorders>
              <w:bottom w:val="single" w:sz="8" w:color="CFF0FC"/>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565</w:t>
            </w:r>
          </w:p>
        </w:tc>
        <w:tc>
          <w:tcPr>
            <w:tcW w:w="120" w:type="dxa"/>
            <w:vAlign w:val="bottom"/>
            <w:tcBorders>
              <w:bottom w:val="single" w:sz="8" w:color="CFF0FC"/>
            </w:tcBorders>
          </w:tcPr>
          <w:p>
            <w:pPr>
              <w:spacing w:after="0"/>
              <w:rPr>
                <w:sz w:val="18"/>
                <w:szCs w:val="18"/>
                <w:color w:val="auto"/>
              </w:rPr>
            </w:pPr>
          </w:p>
        </w:tc>
      </w:tr>
      <w:tr>
        <w:trPr>
          <w:trHeight w:val="210"/>
        </w:trPr>
        <w:tc>
          <w:tcPr>
            <w:tcW w:w="3300" w:type="dxa"/>
            <w:vAlign w:val="bottom"/>
            <w:shd w:val="clear" w:color="auto" w:fill="CFF0FC"/>
          </w:tcPr>
          <w:p>
            <w:pPr>
              <w:spacing w:after="0"/>
              <w:rPr>
                <w:sz w:val="20"/>
                <w:szCs w:val="20"/>
                <w:color w:val="auto"/>
              </w:rPr>
            </w:pPr>
            <w:r>
              <w:rPr>
                <w:rFonts w:ascii="Arial" w:cs="Arial" w:eastAsia="Arial" w:hAnsi="Arial"/>
                <w:sz w:val="18"/>
                <w:szCs w:val="18"/>
                <w:color w:val="auto"/>
              </w:rPr>
              <w:t>Net loss</w:t>
            </w:r>
          </w:p>
        </w:tc>
        <w:tc>
          <w:tcPr>
            <w:tcW w:w="2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820" w:type="dxa"/>
            <w:vAlign w:val="bottom"/>
            <w:gridSpan w:val="3"/>
            <w:shd w:val="clear" w:color="auto" w:fill="CFF0FC"/>
          </w:tcPr>
          <w:p>
            <w:pPr>
              <w:jc w:val="right"/>
              <w:spacing w:after="0"/>
              <w:rPr>
                <w:sz w:val="20"/>
                <w:szCs w:val="20"/>
                <w:color w:val="auto"/>
              </w:rPr>
            </w:pPr>
            <w:r>
              <w:rPr>
                <w:rFonts w:ascii="Arial" w:cs="Arial" w:eastAsia="Arial" w:hAnsi="Arial"/>
                <w:sz w:val="18"/>
                <w:szCs w:val="18"/>
                <w:color w:val="auto"/>
              </w:rPr>
              <w:t>(32,146)</w:t>
            </w:r>
          </w:p>
        </w:tc>
        <w:tc>
          <w:tcPr>
            <w:tcW w:w="16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78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(28,776)</w:t>
            </w:r>
          </w:p>
        </w:tc>
        <w:tc>
          <w:tcPr>
            <w:tcW w:w="160" w:type="dxa"/>
            <w:vAlign w:val="bottom"/>
            <w:shd w:val="clear" w:color="auto" w:fill="CFF0FC"/>
          </w:tcPr>
          <w:p>
            <w:pPr>
              <w:spacing w:after="0"/>
              <w:rPr>
                <w:sz w:val="18"/>
                <w:szCs w:val="18"/>
                <w:color w:val="auto"/>
              </w:rPr>
            </w:pPr>
          </w:p>
        </w:tc>
        <w:tc>
          <w:tcPr>
            <w:tcW w:w="260" w:type="dxa"/>
            <w:vAlign w:val="bottom"/>
            <w:tcBorders>
              <w:left w:val="single" w:sz="8" w:color="CFF0FC"/>
            </w:tcBorders>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80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(33,408)</w:t>
            </w:r>
          </w:p>
        </w:tc>
      </w:tr>
      <w:tr>
        <w:trPr>
          <w:trHeight w:val="20"/>
        </w:trPr>
        <w:tc>
          <w:tcPr>
            <w:tcW w:w="3500" w:type="dxa"/>
            <w:vAlign w:val="bottom"/>
            <w:gridSpan w:val="2"/>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Borders>
              <w:left w:val="single" w:sz="8" w:color="auto"/>
            </w:tcBorders>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680" w:type="dxa"/>
            <w:vAlign w:val="bottom"/>
            <w:tcBorders>
              <w:right w:val="single" w:sz="8" w:color="auto"/>
            </w:tcBorders>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10"/>
        </w:trPr>
        <w:tc>
          <w:tcPr>
            <w:tcW w:w="4620" w:type="dxa"/>
            <w:vAlign w:val="bottom"/>
            <w:gridSpan w:val="5"/>
          </w:tcPr>
          <w:p>
            <w:pPr>
              <w:spacing w:after="0"/>
              <w:rPr>
                <w:sz w:val="20"/>
                <w:szCs w:val="20"/>
                <w:color w:val="auto"/>
              </w:rPr>
            </w:pPr>
            <w:r>
              <w:rPr>
                <w:rFonts w:ascii="Arial" w:cs="Arial" w:eastAsia="Arial" w:hAnsi="Arial"/>
                <w:sz w:val="18"/>
                <w:szCs w:val="18"/>
                <w:color w:val="auto"/>
              </w:rPr>
              <w:t>Net loss attributable to non-controlling interest</w:t>
            </w: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gridSpan w:val="3"/>
          </w:tcPr>
          <w:p>
            <w:pPr>
              <w:jc w:val="right"/>
              <w:spacing w:after="0"/>
              <w:rPr>
                <w:sz w:val="20"/>
                <w:szCs w:val="20"/>
                <w:color w:val="auto"/>
              </w:rPr>
            </w:pPr>
            <w:r>
              <w:rPr>
                <w:rFonts w:ascii="Arial" w:cs="Arial" w:eastAsia="Arial" w:hAnsi="Arial"/>
                <w:sz w:val="18"/>
                <w:szCs w:val="18"/>
                <w:color w:val="auto"/>
              </w:rPr>
              <w:t>(1,444)</w:t>
            </w: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gridSpan w:val="2"/>
          </w:tcPr>
          <w:p>
            <w:pPr>
              <w:jc w:val="right"/>
              <w:ind w:right="60"/>
              <w:spacing w:after="0"/>
              <w:rPr>
                <w:sz w:val="20"/>
                <w:szCs w:val="20"/>
                <w:color w:val="auto"/>
              </w:rPr>
            </w:pPr>
            <w:r>
              <w:rPr>
                <w:rFonts w:ascii="Arial" w:cs="Arial" w:eastAsia="Arial" w:hAnsi="Arial"/>
                <w:sz w:val="18"/>
                <w:szCs w:val="18"/>
                <w:color w:val="auto"/>
              </w:rPr>
              <w:t>(62)</w:t>
            </w: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r>
      <w:tr>
        <w:trPr>
          <w:trHeight w:val="216"/>
        </w:trPr>
        <w:tc>
          <w:tcPr>
            <w:tcW w:w="4620" w:type="dxa"/>
            <w:vAlign w:val="bottom"/>
            <w:gridSpan w:val="5"/>
            <w:shd w:val="clear" w:color="auto" w:fill="CFF0FC"/>
          </w:tcPr>
          <w:p>
            <w:pPr>
              <w:spacing w:after="0"/>
              <w:rPr>
                <w:sz w:val="20"/>
                <w:szCs w:val="20"/>
                <w:color w:val="auto"/>
              </w:rPr>
            </w:pPr>
            <w:r>
              <w:rPr>
                <w:rFonts w:ascii="Arial" w:cs="Arial" w:eastAsia="Arial" w:hAnsi="Arial"/>
                <w:sz w:val="18"/>
                <w:szCs w:val="18"/>
                <w:color w:val="auto"/>
              </w:rPr>
              <w:t>Adjustment attributable to non-controlling interest</w:t>
            </w:r>
          </w:p>
        </w:tc>
        <w:tc>
          <w:tcPr>
            <w:tcW w:w="16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720" w:type="dxa"/>
            <w:vAlign w:val="bottom"/>
            <w:tcBorders>
              <w:bottom w:val="single" w:sz="8" w:color="auto"/>
            </w:tcBorders>
            <w:shd w:val="clear" w:color="auto" w:fill="CFF0FC"/>
          </w:tcPr>
          <w:p>
            <w:pPr>
              <w:spacing w:after="0"/>
              <w:rPr>
                <w:sz w:val="18"/>
                <w:szCs w:val="18"/>
                <w:color w:val="auto"/>
              </w:rPr>
            </w:pPr>
          </w:p>
        </w:tc>
        <w:tc>
          <w:tcPr>
            <w:tcW w:w="180" w:type="dxa"/>
            <w:vAlign w:val="bottom"/>
            <w:tcBorders>
              <w:bottom w:val="single" w:sz="8" w:color="auto"/>
            </w:tcBorders>
            <w:shd w:val="clear" w:color="auto" w:fill="CFF0FC"/>
          </w:tcPr>
          <w:p>
            <w:pPr>
              <w:spacing w:after="0"/>
              <w:rPr>
                <w:sz w:val="18"/>
                <w:szCs w:val="18"/>
                <w:color w:val="auto"/>
              </w:rPr>
            </w:pPr>
          </w:p>
        </w:tc>
        <w:tc>
          <w:tcPr>
            <w:tcW w:w="720" w:type="dxa"/>
            <w:vAlign w:val="bottom"/>
            <w:tcBorders>
              <w:bottom w:val="single" w:sz="8" w:color="auto"/>
            </w:tcBorders>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1,833</w:t>
            </w:r>
          </w:p>
        </w:tc>
        <w:tc>
          <w:tcPr>
            <w:tcW w:w="1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620" w:type="dxa"/>
            <w:vAlign w:val="bottom"/>
            <w:tcBorders>
              <w:bottom w:val="single" w:sz="8" w:color="auto"/>
            </w:tcBorders>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spacing w:after="0"/>
              <w:rPr>
                <w:sz w:val="18"/>
                <w:szCs w:val="18"/>
                <w:color w:val="auto"/>
              </w:rPr>
            </w:pPr>
          </w:p>
        </w:tc>
        <w:tc>
          <w:tcPr>
            <w:tcW w:w="120" w:type="dxa"/>
            <w:vAlign w:val="bottom"/>
            <w:tcBorders>
              <w:bottom w:val="single" w:sz="8" w:color="auto"/>
            </w:tcBorders>
            <w:shd w:val="clear" w:color="auto" w:fill="CFF0FC"/>
          </w:tcPr>
          <w:p>
            <w:pPr>
              <w:spacing w:after="0"/>
              <w:rPr>
                <w:sz w:val="18"/>
                <w:szCs w:val="18"/>
                <w:color w:val="auto"/>
              </w:rPr>
            </w:pPr>
          </w:p>
        </w:tc>
        <w:tc>
          <w:tcPr>
            <w:tcW w:w="6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80" w:type="dxa"/>
            <w:vAlign w:val="bottom"/>
            <w:gridSpan w:val="2"/>
            <w:shd w:val="clear" w:color="auto" w:fill="CFF0FC"/>
          </w:tcPr>
          <w:p>
            <w:pPr>
              <w:spacing w:after="0"/>
              <w:rPr>
                <w:sz w:val="18"/>
                <w:szCs w:val="18"/>
                <w:color w:val="auto"/>
              </w:rPr>
            </w:pPr>
          </w:p>
        </w:tc>
        <w:tc>
          <w:tcPr>
            <w:tcW w:w="260" w:type="dxa"/>
            <w:vAlign w:val="bottom"/>
            <w:tcBorders>
              <w:left w:val="single" w:sz="8" w:color="CFF0FC"/>
              <w:bottom w:val="single" w:sz="8" w:color="auto"/>
            </w:tcBorders>
            <w:shd w:val="clear" w:color="auto" w:fill="CFF0FC"/>
          </w:tcPr>
          <w:p>
            <w:pPr>
              <w:spacing w:after="0"/>
              <w:rPr>
                <w:sz w:val="18"/>
                <w:szCs w:val="18"/>
                <w:color w:val="auto"/>
              </w:rPr>
            </w:pPr>
          </w:p>
        </w:tc>
        <w:tc>
          <w:tcPr>
            <w:tcW w:w="680" w:type="dxa"/>
            <w:vAlign w:val="bottom"/>
            <w:tcBorders>
              <w:bottom w:val="single" w:sz="8" w:color="auto"/>
            </w:tcBorders>
            <w:shd w:val="clear" w:color="auto" w:fill="CFF0FC"/>
          </w:tcPr>
          <w:p>
            <w:pPr>
              <w:spacing w:after="0"/>
              <w:rPr>
                <w:sz w:val="18"/>
                <w:szCs w:val="18"/>
                <w:color w:val="auto"/>
              </w:rPr>
            </w:pPr>
          </w:p>
        </w:tc>
        <w:tc>
          <w:tcPr>
            <w:tcW w:w="680" w:type="dxa"/>
            <w:vAlign w:val="bottom"/>
            <w:tcBorders>
              <w:bottom w:val="single" w:sz="8" w:color="auto"/>
              <w:right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8"/>
                <w:szCs w:val="18"/>
                <w:color w:val="auto"/>
              </w:rPr>
            </w:pPr>
          </w:p>
        </w:tc>
      </w:tr>
      <w:tr>
        <w:trPr>
          <w:trHeight w:val="210"/>
        </w:trPr>
        <w:tc>
          <w:tcPr>
            <w:tcW w:w="3300" w:type="dxa"/>
            <w:vAlign w:val="bottom"/>
          </w:tcPr>
          <w:p>
            <w:pPr>
              <w:spacing w:after="0"/>
              <w:rPr>
                <w:sz w:val="20"/>
                <w:szCs w:val="20"/>
                <w:color w:val="auto"/>
              </w:rPr>
            </w:pPr>
            <w:r>
              <w:rPr>
                <w:rFonts w:ascii="Arial" w:cs="Arial" w:eastAsia="Arial" w:hAnsi="Arial"/>
                <w:sz w:val="18"/>
                <w:szCs w:val="18"/>
                <w:color w:val="auto"/>
              </w:rPr>
              <w:t>Net loss attributable to BlackLine, Inc.</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jc w:val="right"/>
              <w:ind w:right="538"/>
              <w:spacing w:after="0"/>
              <w:rPr>
                <w:sz w:val="20"/>
                <w:szCs w:val="20"/>
                <w:color w:val="auto"/>
              </w:rPr>
            </w:pPr>
            <w:r>
              <w:rPr>
                <w:rFonts w:ascii="Arial" w:cs="Arial" w:eastAsia="Arial" w:hAnsi="Arial"/>
                <w:sz w:val="18"/>
                <w:szCs w:val="18"/>
                <w:color w:val="auto"/>
                <w:w w:val="79"/>
              </w:rPr>
              <w:t>$</w:t>
            </w:r>
          </w:p>
        </w:tc>
        <w:tc>
          <w:tcPr>
            <w:tcW w:w="180" w:type="dxa"/>
            <w:vAlign w:val="bottom"/>
          </w:tcPr>
          <w:p>
            <w:pPr>
              <w:spacing w:after="0"/>
              <w:rPr>
                <w:sz w:val="18"/>
                <w:szCs w:val="18"/>
                <w:color w:val="auto"/>
              </w:rPr>
            </w:pPr>
          </w:p>
        </w:tc>
        <w:tc>
          <w:tcPr>
            <w:tcW w:w="820" w:type="dxa"/>
            <w:vAlign w:val="bottom"/>
            <w:gridSpan w:val="3"/>
          </w:tcPr>
          <w:p>
            <w:pPr>
              <w:jc w:val="right"/>
              <w:spacing w:after="0"/>
              <w:rPr>
                <w:sz w:val="20"/>
                <w:szCs w:val="20"/>
                <w:color w:val="auto"/>
              </w:rPr>
            </w:pPr>
            <w:r>
              <w:rPr>
                <w:rFonts w:ascii="Arial" w:cs="Arial" w:eastAsia="Arial" w:hAnsi="Arial"/>
                <w:sz w:val="18"/>
                <w:szCs w:val="18"/>
                <w:color w:val="auto"/>
              </w:rPr>
              <w:t>(32,535)</w:t>
            </w:r>
          </w:p>
        </w:tc>
        <w:tc>
          <w:tcPr>
            <w:tcW w:w="780" w:type="dxa"/>
            <w:vAlign w:val="bottom"/>
            <w:gridSpan w:val="2"/>
          </w:tcPr>
          <w:p>
            <w:pPr>
              <w:ind w:left="16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gridSpan w:val="2"/>
          </w:tcPr>
          <w:p>
            <w:pPr>
              <w:jc w:val="right"/>
              <w:ind w:right="60"/>
              <w:spacing w:after="0"/>
              <w:rPr>
                <w:sz w:val="20"/>
                <w:szCs w:val="20"/>
                <w:color w:val="auto"/>
              </w:rPr>
            </w:pPr>
            <w:r>
              <w:rPr>
                <w:rFonts w:ascii="Arial" w:cs="Arial" w:eastAsia="Arial" w:hAnsi="Arial"/>
                <w:sz w:val="18"/>
                <w:szCs w:val="18"/>
                <w:color w:val="auto"/>
              </w:rPr>
              <w:t>(28,714)</w:t>
            </w:r>
          </w:p>
        </w:tc>
        <w:tc>
          <w:tcPr>
            <w:tcW w:w="160" w:type="dxa"/>
            <w:vAlign w:val="bottom"/>
          </w:tcPr>
          <w:p>
            <w:pPr>
              <w:spacing w:after="0"/>
              <w:rPr>
                <w:sz w:val="18"/>
                <w:szCs w:val="18"/>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680" w:type="dxa"/>
            <w:vAlign w:val="bottom"/>
          </w:tcPr>
          <w:p>
            <w:pPr>
              <w:spacing w:after="0"/>
              <w:rPr>
                <w:sz w:val="18"/>
                <w:szCs w:val="18"/>
                <w:color w:val="auto"/>
              </w:rPr>
            </w:pPr>
          </w:p>
        </w:tc>
        <w:tc>
          <w:tcPr>
            <w:tcW w:w="800" w:type="dxa"/>
            <w:vAlign w:val="bottom"/>
            <w:gridSpan w:val="2"/>
          </w:tcPr>
          <w:p>
            <w:pPr>
              <w:jc w:val="right"/>
              <w:ind w:right="60"/>
              <w:spacing w:after="0"/>
              <w:rPr>
                <w:sz w:val="20"/>
                <w:szCs w:val="20"/>
                <w:color w:val="auto"/>
              </w:rPr>
            </w:pPr>
            <w:r>
              <w:rPr>
                <w:rFonts w:ascii="Arial" w:cs="Arial" w:eastAsia="Arial" w:hAnsi="Arial"/>
                <w:sz w:val="18"/>
                <w:szCs w:val="18"/>
                <w:color w:val="auto"/>
              </w:rPr>
              <w:t>(33,408)</w:t>
            </w:r>
          </w:p>
        </w:tc>
      </w:tr>
      <w:tr>
        <w:trPr>
          <w:trHeight w:val="20"/>
        </w:trPr>
        <w:tc>
          <w:tcPr>
            <w:tcW w:w="3500" w:type="dxa"/>
            <w:vAlign w:val="bottom"/>
            <w:gridSpan w:val="2"/>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c>
          <w:tcPr>
            <w:tcW w:w="1320" w:type="dxa"/>
            <w:vAlign w:val="bottom"/>
            <w:gridSpan w:val="4"/>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gridSpan w:val="2"/>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413"/>
        </w:trPr>
        <w:tc>
          <w:tcPr>
            <w:tcW w:w="8620" w:type="dxa"/>
            <w:vAlign w:val="bottom"/>
            <w:gridSpan w:val="17"/>
          </w:tcPr>
          <w:p>
            <w:pPr>
              <w:ind w:left="3000"/>
              <w:spacing w:after="0"/>
              <w:rPr>
                <w:sz w:val="20"/>
                <w:szCs w:val="20"/>
                <w:color w:val="auto"/>
              </w:rPr>
            </w:pPr>
            <w:r>
              <w:rPr>
                <w:rFonts w:ascii="Arial" w:cs="Arial" w:eastAsia="Arial" w:hAnsi="Arial"/>
                <w:sz w:val="18"/>
                <w:szCs w:val="18"/>
                <w:b w:val="1"/>
                <w:bCs w:val="1"/>
                <w:i w:val="1"/>
                <w:iCs w:val="1"/>
                <w:color w:val="auto"/>
              </w:rPr>
              <w:t>Comparison of Years Ended December 31, 2019, 2018, and 2017</w:t>
            </w: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419"/>
        </w:trPr>
        <w:tc>
          <w:tcPr>
            <w:tcW w:w="3300" w:type="dxa"/>
            <w:vAlign w:val="bottom"/>
          </w:tcPr>
          <w:p>
            <w:pPr>
              <w:spacing w:after="0"/>
              <w:rPr>
                <w:sz w:val="20"/>
                <w:szCs w:val="20"/>
                <w:color w:val="auto"/>
              </w:rPr>
            </w:pPr>
            <w:r>
              <w:rPr>
                <w:rFonts w:ascii="Arial" w:cs="Arial" w:eastAsia="Arial" w:hAnsi="Arial"/>
                <w:sz w:val="18"/>
                <w:szCs w:val="18"/>
                <w:b w:val="1"/>
                <w:bCs w:val="1"/>
                <w:i w:val="1"/>
                <w:iCs w:val="1"/>
                <w:color w:val="auto"/>
              </w:rPr>
              <w:t>Revenues</w:t>
            </w: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405"/>
        </w:trPr>
        <w:tc>
          <w:tcPr>
            <w:tcW w:w="33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80" w:type="dxa"/>
            <w:vAlign w:val="bottom"/>
            <w:gridSpan w:val="4"/>
          </w:tcPr>
          <w:p>
            <w:pPr>
              <w:jc w:val="right"/>
              <w:ind w:right="34"/>
              <w:spacing w:after="0"/>
              <w:rPr>
                <w:sz w:val="20"/>
                <w:szCs w:val="20"/>
                <w:color w:val="auto"/>
              </w:rPr>
            </w:pPr>
            <w:r>
              <w:rPr>
                <w:rFonts w:ascii="Arial" w:cs="Arial" w:eastAsia="Arial" w:hAnsi="Arial"/>
                <w:sz w:val="14"/>
                <w:szCs w:val="14"/>
                <w:b w:val="1"/>
                <w:bCs w:val="1"/>
                <w:color w:val="auto"/>
              </w:rPr>
              <w:t>Year Ended December 31,</w:t>
            </w: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00" w:type="dxa"/>
            <w:vAlign w:val="bottom"/>
            <w:gridSpan w:val="2"/>
          </w:tcPr>
          <w:p>
            <w:pPr>
              <w:ind w:left="300"/>
              <w:spacing w:after="0"/>
              <w:rPr>
                <w:sz w:val="20"/>
                <w:szCs w:val="20"/>
                <w:color w:val="auto"/>
              </w:rPr>
            </w:pPr>
            <w:r>
              <w:rPr>
                <w:rFonts w:ascii="Arial" w:cs="Arial" w:eastAsia="Arial" w:hAnsi="Arial"/>
                <w:sz w:val="14"/>
                <w:szCs w:val="14"/>
                <w:b w:val="1"/>
                <w:bCs w:val="1"/>
                <w:color w:val="auto"/>
              </w:rPr>
              <w:t>Change</w:t>
            </w:r>
          </w:p>
        </w:tc>
        <w:tc>
          <w:tcPr>
            <w:tcW w:w="4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60" w:type="dxa"/>
            <w:vAlign w:val="bottom"/>
            <w:gridSpan w:val="7"/>
          </w:tcPr>
          <w:p>
            <w:pPr>
              <w:spacing w:after="0"/>
              <w:rPr>
                <w:sz w:val="20"/>
                <w:szCs w:val="20"/>
                <w:color w:val="auto"/>
              </w:rPr>
            </w:pPr>
            <w:r>
              <w:rPr>
                <w:rFonts w:ascii="Arial" w:cs="Arial" w:eastAsia="Arial" w:hAnsi="Arial"/>
                <w:sz w:val="14"/>
                <w:szCs w:val="14"/>
                <w:b w:val="1"/>
                <w:bCs w:val="1"/>
                <w:color w:val="auto"/>
              </w:rPr>
              <w:t>Year Ended December 31,</w:t>
            </w:r>
          </w:p>
        </w:tc>
        <w:tc>
          <w:tcPr>
            <w:tcW w:w="260" w:type="dxa"/>
            <w:vAlign w:val="bottom"/>
          </w:tcPr>
          <w:p>
            <w:pPr>
              <w:spacing w:after="0"/>
              <w:rPr>
                <w:sz w:val="24"/>
                <w:szCs w:val="24"/>
                <w:color w:val="auto"/>
              </w:rPr>
            </w:pPr>
          </w:p>
        </w:tc>
        <w:tc>
          <w:tcPr>
            <w:tcW w:w="1480" w:type="dxa"/>
            <w:vAlign w:val="bottom"/>
            <w:gridSpan w:val="3"/>
          </w:tcPr>
          <w:p>
            <w:pPr>
              <w:jc w:val="right"/>
              <w:ind w:right="680"/>
              <w:spacing w:after="0"/>
              <w:rPr>
                <w:sz w:val="20"/>
                <w:szCs w:val="20"/>
                <w:color w:val="auto"/>
              </w:rPr>
            </w:pPr>
            <w:r>
              <w:rPr>
                <w:rFonts w:ascii="Arial" w:cs="Arial" w:eastAsia="Arial" w:hAnsi="Arial"/>
                <w:sz w:val="14"/>
                <w:szCs w:val="14"/>
                <w:b w:val="1"/>
                <w:bCs w:val="1"/>
                <w:color w:val="auto"/>
              </w:rPr>
              <w:t>Change</w:t>
            </w:r>
          </w:p>
        </w:tc>
      </w:tr>
      <w:tr>
        <w:trPr>
          <w:trHeight w:val="210"/>
        </w:trPr>
        <w:tc>
          <w:tcPr>
            <w:tcW w:w="3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780" w:type="dxa"/>
            <w:vAlign w:val="bottom"/>
            <w:tcBorders>
              <w:top w:val="single" w:sz="8" w:color="auto"/>
              <w:bottom w:val="single" w:sz="8" w:color="auto"/>
            </w:tcBorders>
          </w:tcPr>
          <w:p>
            <w:pPr>
              <w:jc w:val="right"/>
              <w:ind w:right="217"/>
              <w:spacing w:after="0"/>
              <w:rPr>
                <w:sz w:val="20"/>
                <w:szCs w:val="20"/>
                <w:color w:val="auto"/>
              </w:rPr>
            </w:pPr>
            <w:r>
              <w:rPr>
                <w:rFonts w:ascii="Arial" w:cs="Arial" w:eastAsia="Arial" w:hAnsi="Arial"/>
                <w:sz w:val="14"/>
                <w:szCs w:val="14"/>
                <w:b w:val="1"/>
                <w:bCs w:val="1"/>
                <w:color w:val="auto"/>
              </w:rPr>
              <w:t>2019</w:t>
            </w:r>
          </w:p>
        </w:tc>
        <w:tc>
          <w:tcPr>
            <w:tcW w:w="220" w:type="dxa"/>
            <w:vAlign w:val="bottom"/>
            <w:tcBorders>
              <w:top w:val="single" w:sz="8" w:color="auto"/>
              <w:bottom w:val="single" w:sz="8" w:color="auto"/>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720" w:type="dxa"/>
            <w:vAlign w:val="bottom"/>
            <w:tcBorders>
              <w:top w:val="single" w:sz="8" w:color="auto"/>
              <w:bottom w:val="single" w:sz="8" w:color="auto"/>
            </w:tcBorders>
          </w:tcPr>
          <w:p>
            <w:pPr>
              <w:jc w:val="right"/>
              <w:ind w:right="194"/>
              <w:spacing w:after="0"/>
              <w:rPr>
                <w:sz w:val="20"/>
                <w:szCs w:val="20"/>
                <w:color w:val="auto"/>
              </w:rPr>
            </w:pPr>
            <w:r>
              <w:rPr>
                <w:rFonts w:ascii="Arial" w:cs="Arial" w:eastAsia="Arial" w:hAnsi="Arial"/>
                <w:sz w:val="14"/>
                <w:szCs w:val="14"/>
                <w:b w:val="1"/>
                <w:bCs w:val="1"/>
                <w:color w:val="auto"/>
              </w:rPr>
              <w:t>2018</w:t>
            </w:r>
          </w:p>
        </w:tc>
        <w:tc>
          <w:tcPr>
            <w:tcW w:w="220" w:type="dxa"/>
            <w:vAlign w:val="bottom"/>
            <w:tcBorders>
              <w:bottom w:val="single" w:sz="8" w:color="auto"/>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720" w:type="dxa"/>
            <w:vAlign w:val="bottom"/>
            <w:tcBorders>
              <w:top w:val="single" w:sz="8" w:color="auto"/>
              <w:bottom w:val="single" w:sz="8" w:color="auto"/>
            </w:tcBorders>
          </w:tcPr>
          <w:p>
            <w:pPr>
              <w:jc w:val="right"/>
              <w:ind w:right="338"/>
              <w:spacing w:after="0"/>
              <w:rPr>
                <w:sz w:val="20"/>
                <w:szCs w:val="20"/>
                <w:color w:val="auto"/>
              </w:rPr>
            </w:pPr>
            <w:r>
              <w:rPr>
                <w:rFonts w:ascii="Arial" w:cs="Arial" w:eastAsia="Arial" w:hAnsi="Arial"/>
                <w:sz w:val="14"/>
                <w:szCs w:val="14"/>
                <w:b w:val="1"/>
                <w:bCs w:val="1"/>
                <w:color w:val="auto"/>
              </w:rPr>
              <w:t>$</w:t>
            </w:r>
          </w:p>
        </w:tc>
        <w:tc>
          <w:tcPr>
            <w:tcW w:w="180" w:type="dxa"/>
            <w:vAlign w:val="bottom"/>
            <w:tcBorders>
              <w:top w:val="single" w:sz="8" w:color="auto"/>
              <w:bottom w:val="single" w:sz="8" w:color="auto"/>
            </w:tcBorders>
          </w:tcPr>
          <w:p>
            <w:pPr>
              <w:spacing w:after="0"/>
              <w:rPr>
                <w:sz w:val="18"/>
                <w:szCs w:val="18"/>
                <w:color w:val="auto"/>
              </w:rPr>
            </w:pPr>
          </w:p>
        </w:tc>
        <w:tc>
          <w:tcPr>
            <w:tcW w:w="440" w:type="dxa"/>
            <w:vAlign w:val="bottom"/>
            <w:tcBorders>
              <w:top w:val="single" w:sz="8" w:color="auto"/>
              <w:bottom w:val="single" w:sz="8" w:color="auto"/>
            </w:tcBorders>
          </w:tcPr>
          <w:p>
            <w:pPr>
              <w:jc w:val="right"/>
              <w:ind w:right="71"/>
              <w:spacing w:after="0"/>
              <w:rPr>
                <w:sz w:val="20"/>
                <w:szCs w:val="20"/>
                <w:color w:val="auto"/>
              </w:rPr>
            </w:pPr>
            <w:r>
              <w:rPr>
                <w:rFonts w:ascii="Arial" w:cs="Arial" w:eastAsia="Arial" w:hAnsi="Arial"/>
                <w:sz w:val="14"/>
                <w:szCs w:val="14"/>
                <w:b w:val="1"/>
                <w:bCs w:val="1"/>
                <w:color w:val="auto"/>
              </w:rPr>
              <w:t>%</w:t>
            </w:r>
          </w:p>
        </w:tc>
        <w:tc>
          <w:tcPr>
            <w:tcW w:w="280" w:type="dxa"/>
            <w:vAlign w:val="bottom"/>
            <w:tcBorders>
              <w:bottom w:val="single" w:sz="8" w:color="auto"/>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780" w:type="dxa"/>
            <w:vAlign w:val="bottom"/>
            <w:tcBorders>
              <w:top w:val="single" w:sz="8" w:color="auto"/>
              <w:bottom w:val="single" w:sz="8" w:color="auto"/>
            </w:tcBorders>
            <w:gridSpan w:val="2"/>
          </w:tcPr>
          <w:p>
            <w:pPr>
              <w:ind w:left="180"/>
              <w:spacing w:after="0"/>
              <w:rPr>
                <w:sz w:val="20"/>
                <w:szCs w:val="20"/>
                <w:color w:val="auto"/>
              </w:rPr>
            </w:pPr>
            <w:r>
              <w:rPr>
                <w:rFonts w:ascii="Arial" w:cs="Arial" w:eastAsia="Arial" w:hAnsi="Arial"/>
                <w:sz w:val="14"/>
                <w:szCs w:val="14"/>
                <w:b w:val="1"/>
                <w:bCs w:val="1"/>
                <w:color w:val="auto"/>
              </w:rPr>
              <w:t>2018</w:t>
            </w:r>
          </w:p>
        </w:tc>
        <w:tc>
          <w:tcPr>
            <w:tcW w:w="220" w:type="dxa"/>
            <w:vAlign w:val="bottom"/>
            <w:tcBorders>
              <w:top w:val="single" w:sz="8" w:color="auto"/>
              <w:bottom w:val="single" w:sz="8" w:color="auto"/>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660" w:type="dxa"/>
            <w:vAlign w:val="bottom"/>
            <w:tcBorders>
              <w:top w:val="single" w:sz="8" w:color="auto"/>
              <w:bottom w:val="single" w:sz="8" w:color="auto"/>
            </w:tcBorders>
          </w:tcPr>
          <w:p>
            <w:pPr>
              <w:jc w:val="right"/>
              <w:ind w:right="91"/>
              <w:spacing w:after="0"/>
              <w:rPr>
                <w:sz w:val="20"/>
                <w:szCs w:val="20"/>
                <w:color w:val="auto"/>
              </w:rPr>
            </w:pPr>
            <w:r>
              <w:rPr>
                <w:rFonts w:ascii="Arial" w:cs="Arial" w:eastAsia="Arial" w:hAnsi="Arial"/>
                <w:sz w:val="14"/>
                <w:szCs w:val="14"/>
                <w:b w:val="1"/>
                <w:bCs w:val="1"/>
                <w:color w:val="auto"/>
              </w:rPr>
              <w:t>2017</w:t>
            </w:r>
          </w:p>
        </w:tc>
        <w:tc>
          <w:tcPr>
            <w:tcW w:w="120" w:type="dxa"/>
            <w:vAlign w:val="bottom"/>
            <w:tcBorders>
              <w:top w:val="single" w:sz="8" w:color="auto"/>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680" w:type="dxa"/>
            <w:vAlign w:val="bottom"/>
            <w:tcBorders>
              <w:top w:val="single" w:sz="8" w:color="auto"/>
              <w:bottom w:val="single" w:sz="8" w:color="auto"/>
            </w:tcBorders>
          </w:tcPr>
          <w:p>
            <w:pPr>
              <w:jc w:val="right"/>
              <w:ind w:right="319"/>
              <w:spacing w:after="0"/>
              <w:rPr>
                <w:sz w:val="20"/>
                <w:szCs w:val="20"/>
                <w:color w:val="auto"/>
              </w:rPr>
            </w:pPr>
            <w:r>
              <w:rPr>
                <w:rFonts w:ascii="Arial" w:cs="Arial" w:eastAsia="Arial" w:hAnsi="Arial"/>
                <w:sz w:val="14"/>
                <w:szCs w:val="14"/>
                <w:b w:val="1"/>
                <w:bCs w:val="1"/>
                <w:color w:val="auto"/>
              </w:rPr>
              <w:t>$</w:t>
            </w:r>
          </w:p>
        </w:tc>
        <w:tc>
          <w:tcPr>
            <w:tcW w:w="680" w:type="dxa"/>
            <w:vAlign w:val="bottom"/>
            <w:tcBorders>
              <w:top w:val="single" w:sz="8" w:color="auto"/>
              <w:bottom w:val="single" w:sz="8" w:color="auto"/>
            </w:tcBorders>
          </w:tcPr>
          <w:p>
            <w:pPr>
              <w:jc w:val="right"/>
              <w:ind w:right="111"/>
              <w:spacing w:after="0"/>
              <w:rPr>
                <w:sz w:val="20"/>
                <w:szCs w:val="20"/>
                <w:color w:val="auto"/>
              </w:rPr>
            </w:pPr>
            <w:r>
              <w:rPr>
                <w:rFonts w:ascii="Arial" w:cs="Arial" w:eastAsia="Arial" w:hAnsi="Arial"/>
                <w:sz w:val="14"/>
                <w:szCs w:val="14"/>
                <w:b w:val="1"/>
                <w:bCs w:val="1"/>
                <w:color w:val="auto"/>
              </w:rPr>
              <w:t>%</w:t>
            </w:r>
          </w:p>
        </w:tc>
        <w:tc>
          <w:tcPr>
            <w:tcW w:w="120" w:type="dxa"/>
            <w:vAlign w:val="bottom"/>
          </w:tcPr>
          <w:p>
            <w:pPr>
              <w:spacing w:after="0"/>
              <w:rPr>
                <w:sz w:val="18"/>
                <w:szCs w:val="18"/>
                <w:color w:val="auto"/>
              </w:rPr>
            </w:pPr>
          </w:p>
        </w:tc>
      </w:tr>
      <w:tr>
        <w:trPr>
          <w:trHeight w:val="169"/>
        </w:trPr>
        <w:tc>
          <w:tcPr>
            <w:tcW w:w="33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720" w:type="dxa"/>
            <w:vAlign w:val="bottom"/>
            <w:gridSpan w:val="8"/>
          </w:tcPr>
          <w:p>
            <w:pPr>
              <w:ind w:left="260"/>
              <w:spacing w:after="0"/>
              <w:rPr>
                <w:sz w:val="20"/>
                <w:szCs w:val="20"/>
                <w:color w:val="auto"/>
              </w:rPr>
            </w:pPr>
            <w:r>
              <w:rPr>
                <w:rFonts w:ascii="Arial" w:cs="Arial" w:eastAsia="Arial" w:hAnsi="Arial"/>
                <w:sz w:val="14"/>
                <w:szCs w:val="14"/>
                <w:b w:val="1"/>
                <w:bCs w:val="1"/>
                <w:color w:val="auto"/>
              </w:rPr>
              <w:t>(in thousands, except percentages)</w:t>
            </w: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20" w:type="dxa"/>
            <w:vAlign w:val="bottom"/>
          </w:tcPr>
          <w:p>
            <w:pPr>
              <w:spacing w:after="0"/>
              <w:rPr>
                <w:sz w:val="14"/>
                <w:szCs w:val="14"/>
                <w:color w:val="auto"/>
              </w:rPr>
            </w:pPr>
          </w:p>
        </w:tc>
      </w:tr>
      <w:tr>
        <w:trPr>
          <w:trHeight w:val="216"/>
        </w:trPr>
        <w:tc>
          <w:tcPr>
            <w:tcW w:w="3300" w:type="dxa"/>
            <w:vAlign w:val="bottom"/>
            <w:shd w:val="clear" w:color="auto" w:fill="CFF0FC"/>
          </w:tcPr>
          <w:p>
            <w:pPr>
              <w:spacing w:after="0"/>
              <w:rPr>
                <w:sz w:val="20"/>
                <w:szCs w:val="20"/>
                <w:color w:val="auto"/>
              </w:rPr>
            </w:pPr>
            <w:r>
              <w:rPr>
                <w:rFonts w:ascii="Arial" w:cs="Arial" w:eastAsia="Arial" w:hAnsi="Arial"/>
                <w:sz w:val="18"/>
                <w:szCs w:val="18"/>
                <w:color w:val="auto"/>
              </w:rPr>
              <w:t>Subscription and support</w:t>
            </w:r>
          </w:p>
        </w:tc>
        <w:tc>
          <w:tcPr>
            <w:tcW w:w="32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272,447</w:t>
            </w:r>
          </w:p>
        </w:tc>
        <w:tc>
          <w:tcPr>
            <w:tcW w:w="220" w:type="dxa"/>
            <w:vAlign w:val="bottom"/>
            <w:shd w:val="clear" w:color="auto" w:fill="CFF0FC"/>
          </w:tcPr>
          <w:p>
            <w:pPr>
              <w:spacing w:after="0"/>
              <w:rPr>
                <w:sz w:val="18"/>
                <w:szCs w:val="18"/>
                <w:color w:val="auto"/>
              </w:rPr>
            </w:pPr>
          </w:p>
        </w:tc>
        <w:tc>
          <w:tcPr>
            <w:tcW w:w="1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217,406</w:t>
            </w:r>
          </w:p>
        </w:tc>
        <w:tc>
          <w:tcPr>
            <w:tcW w:w="40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w:t>
            </w: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55,041</w:t>
            </w:r>
          </w:p>
        </w:tc>
        <w:tc>
          <w:tcPr>
            <w:tcW w:w="180" w:type="dxa"/>
            <w:vAlign w:val="bottom"/>
            <w:shd w:val="clear" w:color="auto" w:fill="CFF0FC"/>
          </w:tcPr>
          <w:p>
            <w:pPr>
              <w:spacing w:after="0"/>
              <w:rPr>
                <w:sz w:val="18"/>
                <w:szCs w:val="18"/>
                <w:color w:val="auto"/>
              </w:rPr>
            </w:pPr>
          </w:p>
        </w:tc>
        <w:tc>
          <w:tcPr>
            <w:tcW w:w="72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25%</w:t>
            </w:r>
          </w:p>
        </w:tc>
        <w:tc>
          <w:tcPr>
            <w:tcW w:w="1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217,406</w:t>
            </w:r>
          </w:p>
        </w:tc>
        <w:tc>
          <w:tcPr>
            <w:tcW w:w="220" w:type="dxa"/>
            <w:vAlign w:val="bottom"/>
            <w:shd w:val="clear" w:color="auto" w:fill="CFF0FC"/>
          </w:tcPr>
          <w:p>
            <w:pPr>
              <w:spacing w:after="0"/>
              <w:rPr>
                <w:sz w:val="18"/>
                <w:szCs w:val="18"/>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167,081</w:t>
            </w:r>
          </w:p>
        </w:tc>
        <w:tc>
          <w:tcPr>
            <w:tcW w:w="160" w:type="dxa"/>
            <w:vAlign w:val="bottom"/>
            <w:shd w:val="clear" w:color="auto" w:fill="CFF0FC"/>
          </w:tcPr>
          <w:p>
            <w:pPr>
              <w:spacing w:after="0"/>
              <w:rPr>
                <w:sz w:val="18"/>
                <w:szCs w:val="18"/>
                <w:color w:val="auto"/>
              </w:rPr>
            </w:pPr>
          </w:p>
        </w:tc>
        <w:tc>
          <w:tcPr>
            <w:tcW w:w="260" w:type="dxa"/>
            <w:vAlign w:val="bottom"/>
            <w:tcBorders>
              <w:left w:val="single" w:sz="8" w:color="CFF0FC"/>
            </w:tcBorders>
            <w:shd w:val="clear" w:color="auto" w:fill="CFF0FC"/>
          </w:tcPr>
          <w:p>
            <w:pPr>
              <w:jc w:val="right"/>
              <w:ind w:right="10"/>
              <w:spacing w:after="0"/>
              <w:rPr>
                <w:sz w:val="20"/>
                <w:szCs w:val="20"/>
                <w:color w:val="auto"/>
              </w:rPr>
            </w:pPr>
            <w:r>
              <w:rPr>
                <w:rFonts w:ascii="Arial" w:cs="Arial" w:eastAsia="Arial" w:hAnsi="Arial"/>
                <w:sz w:val="18"/>
                <w:szCs w:val="18"/>
                <w:color w:val="auto"/>
              </w:rPr>
              <w:t>$</w:t>
            </w: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50,325</w:t>
            </w:r>
          </w:p>
        </w:tc>
        <w:tc>
          <w:tcPr>
            <w:tcW w:w="80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30%</w:t>
            </w:r>
          </w:p>
        </w:tc>
      </w:tr>
      <w:tr>
        <w:trPr>
          <w:trHeight w:val="216"/>
        </w:trPr>
        <w:tc>
          <w:tcPr>
            <w:tcW w:w="330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Professional services</w:t>
            </w:r>
          </w:p>
        </w:tc>
        <w:tc>
          <w:tcPr>
            <w:tcW w:w="200" w:type="dxa"/>
            <w:vAlign w:val="bottom"/>
            <w:tcBorders>
              <w:bottom w:val="single" w:sz="8" w:color="CFF0FC"/>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16,529</w:t>
            </w:r>
          </w:p>
        </w:tc>
        <w:tc>
          <w:tcPr>
            <w:tcW w:w="220" w:type="dxa"/>
            <w:vAlign w:val="bottom"/>
            <w:tcBorders>
              <w:bottom w:val="single" w:sz="8" w:color="CFF0FC"/>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10,382</w:t>
            </w:r>
          </w:p>
        </w:tc>
        <w:tc>
          <w:tcPr>
            <w:tcW w:w="220" w:type="dxa"/>
            <w:vAlign w:val="bottom"/>
            <w:tcBorders>
              <w:bottom w:val="single" w:sz="8" w:color="CFF0FC"/>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6,147</w:t>
            </w:r>
          </w:p>
        </w:tc>
        <w:tc>
          <w:tcPr>
            <w:tcW w:w="180" w:type="dxa"/>
            <w:vAlign w:val="bottom"/>
            <w:tcBorders>
              <w:bottom w:val="single" w:sz="8" w:color="CFF0FC"/>
            </w:tcBorders>
          </w:tcPr>
          <w:p>
            <w:pPr>
              <w:spacing w:after="0"/>
              <w:rPr>
                <w:sz w:val="18"/>
                <w:szCs w:val="18"/>
                <w:color w:val="auto"/>
              </w:rPr>
            </w:pPr>
          </w:p>
        </w:tc>
        <w:tc>
          <w:tcPr>
            <w:tcW w:w="720" w:type="dxa"/>
            <w:vAlign w:val="bottom"/>
            <w:tcBorders>
              <w:bottom w:val="single" w:sz="8" w:color="CFF0FC"/>
            </w:tcBorders>
            <w:gridSpan w:val="2"/>
          </w:tcPr>
          <w:p>
            <w:pPr>
              <w:jc w:val="right"/>
              <w:ind w:right="120"/>
              <w:spacing w:after="0"/>
              <w:rPr>
                <w:sz w:val="20"/>
                <w:szCs w:val="20"/>
                <w:color w:val="auto"/>
              </w:rPr>
            </w:pPr>
            <w:r>
              <w:rPr>
                <w:rFonts w:ascii="Arial" w:cs="Arial" w:eastAsia="Arial" w:hAnsi="Arial"/>
                <w:sz w:val="18"/>
                <w:szCs w:val="18"/>
                <w:color w:val="auto"/>
              </w:rPr>
              <w:t>59%</w:t>
            </w: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10,382</w:t>
            </w:r>
          </w:p>
        </w:tc>
        <w:tc>
          <w:tcPr>
            <w:tcW w:w="220" w:type="dxa"/>
            <w:vAlign w:val="bottom"/>
            <w:tcBorders>
              <w:bottom w:val="single" w:sz="8" w:color="CFF0FC"/>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8,522</w:t>
            </w:r>
          </w:p>
        </w:tc>
        <w:tc>
          <w:tcPr>
            <w:tcW w:w="160" w:type="dxa"/>
            <w:vAlign w:val="bottom"/>
            <w:tcBorders>
              <w:bottom w:val="single" w:sz="8" w:color="CFF0FC"/>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1,860</w:t>
            </w:r>
          </w:p>
        </w:tc>
        <w:tc>
          <w:tcPr>
            <w:tcW w:w="800" w:type="dxa"/>
            <w:vAlign w:val="bottom"/>
            <w:tcBorders>
              <w:bottom w:val="single" w:sz="8" w:color="CFF0FC"/>
            </w:tcBorders>
            <w:gridSpan w:val="2"/>
          </w:tcPr>
          <w:p>
            <w:pPr>
              <w:jc w:val="right"/>
              <w:ind w:right="20"/>
              <w:spacing w:after="0"/>
              <w:rPr>
                <w:sz w:val="20"/>
                <w:szCs w:val="20"/>
                <w:color w:val="auto"/>
              </w:rPr>
            </w:pPr>
            <w:r>
              <w:rPr>
                <w:rFonts w:ascii="Arial" w:cs="Arial" w:eastAsia="Arial" w:hAnsi="Arial"/>
                <w:sz w:val="18"/>
                <w:szCs w:val="18"/>
                <w:color w:val="auto"/>
              </w:rPr>
              <w:t>22%</w:t>
            </w:r>
          </w:p>
        </w:tc>
      </w:tr>
      <w:tr>
        <w:trPr>
          <w:trHeight w:val="210"/>
        </w:trPr>
        <w:tc>
          <w:tcPr>
            <w:tcW w:w="3300" w:type="dxa"/>
            <w:vAlign w:val="bottom"/>
            <w:shd w:val="clear" w:color="auto" w:fill="CFF0FC"/>
          </w:tcPr>
          <w:p>
            <w:pPr>
              <w:ind w:left="140"/>
              <w:spacing w:after="0"/>
              <w:rPr>
                <w:sz w:val="20"/>
                <w:szCs w:val="20"/>
                <w:color w:val="auto"/>
              </w:rPr>
            </w:pPr>
            <w:r>
              <w:rPr>
                <w:rFonts w:ascii="Arial" w:cs="Arial" w:eastAsia="Arial" w:hAnsi="Arial"/>
                <w:sz w:val="18"/>
                <w:szCs w:val="18"/>
                <w:color w:val="auto"/>
              </w:rPr>
              <w:t>Total revenues</w:t>
            </w:r>
          </w:p>
        </w:tc>
        <w:tc>
          <w:tcPr>
            <w:tcW w:w="32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288,976</w:t>
            </w:r>
          </w:p>
        </w:tc>
        <w:tc>
          <w:tcPr>
            <w:tcW w:w="220" w:type="dxa"/>
            <w:vAlign w:val="bottom"/>
            <w:shd w:val="clear" w:color="auto" w:fill="CFF0FC"/>
          </w:tcPr>
          <w:p>
            <w:pPr>
              <w:spacing w:after="0"/>
              <w:rPr>
                <w:sz w:val="18"/>
                <w:szCs w:val="18"/>
                <w:color w:val="auto"/>
              </w:rPr>
            </w:pPr>
          </w:p>
        </w:tc>
        <w:tc>
          <w:tcPr>
            <w:tcW w:w="1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227,788</w:t>
            </w:r>
          </w:p>
        </w:tc>
        <w:tc>
          <w:tcPr>
            <w:tcW w:w="40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w:t>
            </w: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61,188</w:t>
            </w:r>
          </w:p>
        </w:tc>
        <w:tc>
          <w:tcPr>
            <w:tcW w:w="180" w:type="dxa"/>
            <w:vAlign w:val="bottom"/>
            <w:shd w:val="clear" w:color="auto" w:fill="CFF0FC"/>
          </w:tcPr>
          <w:p>
            <w:pPr>
              <w:spacing w:after="0"/>
              <w:rPr>
                <w:sz w:val="18"/>
                <w:szCs w:val="18"/>
                <w:color w:val="auto"/>
              </w:rPr>
            </w:pPr>
          </w:p>
        </w:tc>
        <w:tc>
          <w:tcPr>
            <w:tcW w:w="72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27%</w:t>
            </w:r>
          </w:p>
        </w:tc>
        <w:tc>
          <w:tcPr>
            <w:tcW w:w="1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227,788</w:t>
            </w:r>
          </w:p>
        </w:tc>
        <w:tc>
          <w:tcPr>
            <w:tcW w:w="220" w:type="dxa"/>
            <w:vAlign w:val="bottom"/>
            <w:shd w:val="clear" w:color="auto" w:fill="CFF0FC"/>
          </w:tcPr>
          <w:p>
            <w:pPr>
              <w:spacing w:after="0"/>
              <w:rPr>
                <w:sz w:val="18"/>
                <w:szCs w:val="18"/>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175,603</w:t>
            </w:r>
          </w:p>
        </w:tc>
        <w:tc>
          <w:tcPr>
            <w:tcW w:w="160" w:type="dxa"/>
            <w:vAlign w:val="bottom"/>
            <w:shd w:val="clear" w:color="auto" w:fill="CFF0FC"/>
          </w:tcPr>
          <w:p>
            <w:pPr>
              <w:spacing w:after="0"/>
              <w:rPr>
                <w:sz w:val="18"/>
                <w:szCs w:val="18"/>
                <w:color w:val="auto"/>
              </w:rPr>
            </w:pPr>
          </w:p>
        </w:tc>
        <w:tc>
          <w:tcPr>
            <w:tcW w:w="260" w:type="dxa"/>
            <w:vAlign w:val="bottom"/>
            <w:tcBorders>
              <w:left w:val="single" w:sz="8" w:color="CFF0FC"/>
            </w:tcBorders>
            <w:shd w:val="clear" w:color="auto" w:fill="CFF0FC"/>
          </w:tcPr>
          <w:p>
            <w:pPr>
              <w:jc w:val="right"/>
              <w:ind w:right="10"/>
              <w:spacing w:after="0"/>
              <w:rPr>
                <w:sz w:val="20"/>
                <w:szCs w:val="20"/>
                <w:color w:val="auto"/>
              </w:rPr>
            </w:pPr>
            <w:r>
              <w:rPr>
                <w:rFonts w:ascii="Arial" w:cs="Arial" w:eastAsia="Arial" w:hAnsi="Arial"/>
                <w:sz w:val="18"/>
                <w:szCs w:val="18"/>
                <w:color w:val="auto"/>
              </w:rPr>
              <w:t>$</w:t>
            </w: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52,185</w:t>
            </w:r>
          </w:p>
        </w:tc>
        <w:tc>
          <w:tcPr>
            <w:tcW w:w="80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30%</w:t>
            </w:r>
          </w:p>
        </w:tc>
      </w:tr>
      <w:tr>
        <w:trPr>
          <w:trHeight w:val="20"/>
        </w:trPr>
        <w:tc>
          <w:tcPr>
            <w:tcW w:w="3300" w:type="dxa"/>
            <w:vAlign w:val="bottom"/>
            <w:tcBorders>
              <w:top w:val="single" w:sz="8" w:color="CFF0FC"/>
            </w:tcBorders>
          </w:tcPr>
          <w:p>
            <w:pPr>
              <w:spacing w:after="0" w:line="20" w:lineRule="exact"/>
              <w:rPr>
                <w:sz w:val="1"/>
                <w:szCs w:val="1"/>
                <w:color w:val="auto"/>
              </w:rPr>
            </w:pPr>
          </w:p>
        </w:tc>
        <w:tc>
          <w:tcPr>
            <w:tcW w:w="20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FF0FC"/>
            </w:tcBorders>
          </w:tcPr>
          <w:p>
            <w:pPr>
              <w:spacing w:after="0" w:line="20" w:lineRule="exact"/>
              <w:rPr>
                <w:sz w:val="1"/>
                <w:szCs w:val="1"/>
                <w:color w:val="auto"/>
              </w:rPr>
            </w:pPr>
          </w:p>
        </w:tc>
        <w:tc>
          <w:tcPr>
            <w:tcW w:w="440" w:type="dxa"/>
            <w:vAlign w:val="bottom"/>
            <w:tcBorders>
              <w:top w:val="single" w:sz="8" w:color="CFF0FC"/>
            </w:tcBorders>
          </w:tcPr>
          <w:p>
            <w:pPr>
              <w:spacing w:after="0" w:line="20" w:lineRule="exact"/>
              <w:rPr>
                <w:sz w:val="1"/>
                <w:szCs w:val="1"/>
                <w:color w:val="auto"/>
              </w:rPr>
            </w:pPr>
          </w:p>
        </w:tc>
        <w:tc>
          <w:tcPr>
            <w:tcW w:w="28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FF0FC"/>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r>
      <w:tr>
        <w:trPr>
          <w:trHeight w:val="413"/>
        </w:trPr>
        <w:tc>
          <w:tcPr>
            <w:tcW w:w="33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0" w:type="dxa"/>
            <w:vAlign w:val="bottom"/>
            <w:gridSpan w:val="2"/>
          </w:tcPr>
          <w:p>
            <w:pPr>
              <w:jc w:val="right"/>
              <w:ind w:right="80"/>
              <w:spacing w:after="0"/>
              <w:rPr>
                <w:sz w:val="20"/>
                <w:szCs w:val="20"/>
                <w:color w:val="auto"/>
              </w:rPr>
            </w:pPr>
            <w:r>
              <w:rPr>
                <w:rFonts w:ascii="Arial" w:cs="Arial" w:eastAsia="Arial" w:hAnsi="Arial"/>
                <w:sz w:val="18"/>
                <w:szCs w:val="18"/>
                <w:color w:val="auto"/>
              </w:rPr>
              <w:t>44</w:t>
            </w:r>
          </w:p>
        </w:tc>
        <w:tc>
          <w:tcPr>
            <w:tcW w:w="7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102"/>
        </w:trPr>
        <w:tc>
          <w:tcPr>
            <w:tcW w:w="3300" w:type="dxa"/>
            <w:vAlign w:val="bottom"/>
            <w:tcBorders>
              <w:bottom w:val="single" w:sz="8" w:color="9A9A9A"/>
            </w:tcBorders>
          </w:tcPr>
          <w:p>
            <w:pPr>
              <w:spacing w:after="0"/>
              <w:rPr>
                <w:sz w:val="8"/>
                <w:szCs w:val="8"/>
                <w:color w:val="auto"/>
              </w:rPr>
            </w:pPr>
          </w:p>
        </w:tc>
        <w:tc>
          <w:tcPr>
            <w:tcW w:w="200" w:type="dxa"/>
            <w:vAlign w:val="bottom"/>
            <w:tcBorders>
              <w:bottom w:val="single" w:sz="8" w:color="9A9A9A"/>
            </w:tcBorders>
          </w:tcPr>
          <w:p>
            <w:pPr>
              <w:spacing w:after="0"/>
              <w:rPr>
                <w:sz w:val="8"/>
                <w:szCs w:val="8"/>
                <w:color w:val="auto"/>
              </w:rPr>
            </w:pPr>
          </w:p>
        </w:tc>
        <w:tc>
          <w:tcPr>
            <w:tcW w:w="120" w:type="dxa"/>
            <w:vAlign w:val="bottom"/>
            <w:tcBorders>
              <w:bottom w:val="single" w:sz="8" w:color="9A9A9A"/>
            </w:tcBorders>
          </w:tcPr>
          <w:p>
            <w:pPr>
              <w:spacing w:after="0"/>
              <w:rPr>
                <w:sz w:val="8"/>
                <w:szCs w:val="8"/>
                <w:color w:val="auto"/>
              </w:rPr>
            </w:pPr>
          </w:p>
        </w:tc>
        <w:tc>
          <w:tcPr>
            <w:tcW w:w="780" w:type="dxa"/>
            <w:vAlign w:val="bottom"/>
            <w:tcBorders>
              <w:bottom w:val="single" w:sz="8" w:color="9A9A9A"/>
            </w:tcBorders>
          </w:tcPr>
          <w:p>
            <w:pPr>
              <w:spacing w:after="0"/>
              <w:rPr>
                <w:sz w:val="8"/>
                <w:szCs w:val="8"/>
                <w:color w:val="auto"/>
              </w:rPr>
            </w:pPr>
          </w:p>
        </w:tc>
        <w:tc>
          <w:tcPr>
            <w:tcW w:w="220" w:type="dxa"/>
            <w:vAlign w:val="bottom"/>
            <w:tcBorders>
              <w:bottom w:val="single" w:sz="8" w:color="9A9A9A"/>
            </w:tcBorders>
          </w:tcPr>
          <w:p>
            <w:pPr>
              <w:spacing w:after="0"/>
              <w:rPr>
                <w:sz w:val="8"/>
                <w:szCs w:val="8"/>
                <w:color w:val="auto"/>
              </w:rPr>
            </w:pPr>
          </w:p>
        </w:tc>
        <w:tc>
          <w:tcPr>
            <w:tcW w:w="160" w:type="dxa"/>
            <w:vAlign w:val="bottom"/>
            <w:tcBorders>
              <w:bottom w:val="single" w:sz="8" w:color="9A9A9A"/>
            </w:tcBorders>
          </w:tcPr>
          <w:p>
            <w:pPr>
              <w:spacing w:after="0"/>
              <w:rPr>
                <w:sz w:val="8"/>
                <w:szCs w:val="8"/>
                <w:color w:val="auto"/>
              </w:rPr>
            </w:pPr>
          </w:p>
        </w:tc>
        <w:tc>
          <w:tcPr>
            <w:tcW w:w="720" w:type="dxa"/>
            <w:vAlign w:val="bottom"/>
            <w:tcBorders>
              <w:bottom w:val="single" w:sz="8" w:color="9A9A9A"/>
            </w:tcBorders>
          </w:tcPr>
          <w:p>
            <w:pPr>
              <w:spacing w:after="0"/>
              <w:rPr>
                <w:sz w:val="8"/>
                <w:szCs w:val="8"/>
                <w:color w:val="auto"/>
              </w:rPr>
            </w:pPr>
          </w:p>
        </w:tc>
        <w:tc>
          <w:tcPr>
            <w:tcW w:w="220" w:type="dxa"/>
            <w:vAlign w:val="bottom"/>
            <w:tcBorders>
              <w:bottom w:val="single" w:sz="8" w:color="9A9A9A"/>
            </w:tcBorders>
          </w:tcPr>
          <w:p>
            <w:pPr>
              <w:spacing w:after="0"/>
              <w:rPr>
                <w:sz w:val="8"/>
                <w:szCs w:val="8"/>
                <w:color w:val="auto"/>
              </w:rPr>
            </w:pPr>
          </w:p>
        </w:tc>
        <w:tc>
          <w:tcPr>
            <w:tcW w:w="180" w:type="dxa"/>
            <w:vAlign w:val="bottom"/>
            <w:tcBorders>
              <w:bottom w:val="single" w:sz="8" w:color="9A9A9A"/>
            </w:tcBorders>
          </w:tcPr>
          <w:p>
            <w:pPr>
              <w:spacing w:after="0"/>
              <w:rPr>
                <w:sz w:val="8"/>
                <w:szCs w:val="8"/>
                <w:color w:val="auto"/>
              </w:rPr>
            </w:pPr>
          </w:p>
        </w:tc>
        <w:tc>
          <w:tcPr>
            <w:tcW w:w="720" w:type="dxa"/>
            <w:vAlign w:val="bottom"/>
            <w:tcBorders>
              <w:bottom w:val="single" w:sz="8" w:color="9A9A9A"/>
            </w:tcBorders>
          </w:tcPr>
          <w:p>
            <w:pPr>
              <w:spacing w:after="0"/>
              <w:rPr>
                <w:sz w:val="8"/>
                <w:szCs w:val="8"/>
                <w:color w:val="auto"/>
              </w:rPr>
            </w:pPr>
          </w:p>
        </w:tc>
        <w:tc>
          <w:tcPr>
            <w:tcW w:w="180" w:type="dxa"/>
            <w:vAlign w:val="bottom"/>
            <w:tcBorders>
              <w:bottom w:val="single" w:sz="8" w:color="9A9A9A"/>
            </w:tcBorders>
          </w:tcPr>
          <w:p>
            <w:pPr>
              <w:spacing w:after="0"/>
              <w:rPr>
                <w:sz w:val="8"/>
                <w:szCs w:val="8"/>
                <w:color w:val="auto"/>
              </w:rPr>
            </w:pPr>
          </w:p>
        </w:tc>
        <w:tc>
          <w:tcPr>
            <w:tcW w:w="440" w:type="dxa"/>
            <w:vAlign w:val="bottom"/>
            <w:tcBorders>
              <w:bottom w:val="single" w:sz="8" w:color="9A9A9A"/>
            </w:tcBorders>
          </w:tcPr>
          <w:p>
            <w:pPr>
              <w:spacing w:after="0"/>
              <w:rPr>
                <w:sz w:val="8"/>
                <w:szCs w:val="8"/>
                <w:color w:val="auto"/>
              </w:rPr>
            </w:pPr>
          </w:p>
        </w:tc>
        <w:tc>
          <w:tcPr>
            <w:tcW w:w="28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160" w:type="dxa"/>
            <w:vAlign w:val="bottom"/>
            <w:tcBorders>
              <w:bottom w:val="single" w:sz="8" w:color="9A9A9A"/>
            </w:tcBorders>
          </w:tcPr>
          <w:p>
            <w:pPr>
              <w:spacing w:after="0"/>
              <w:rPr>
                <w:sz w:val="8"/>
                <w:szCs w:val="8"/>
                <w:color w:val="auto"/>
              </w:rPr>
            </w:pPr>
          </w:p>
        </w:tc>
        <w:tc>
          <w:tcPr>
            <w:tcW w:w="620" w:type="dxa"/>
            <w:vAlign w:val="bottom"/>
            <w:tcBorders>
              <w:bottom w:val="single" w:sz="8" w:color="9A9A9A"/>
            </w:tcBorders>
          </w:tcPr>
          <w:p>
            <w:pPr>
              <w:spacing w:after="0"/>
              <w:rPr>
                <w:sz w:val="8"/>
                <w:szCs w:val="8"/>
                <w:color w:val="auto"/>
              </w:rPr>
            </w:pPr>
          </w:p>
        </w:tc>
        <w:tc>
          <w:tcPr>
            <w:tcW w:w="220" w:type="dxa"/>
            <w:vAlign w:val="bottom"/>
            <w:tcBorders>
              <w:bottom w:val="single" w:sz="8" w:color="9A9A9A"/>
            </w:tcBorders>
          </w:tcPr>
          <w:p>
            <w:pPr>
              <w:spacing w:after="0"/>
              <w:rPr>
                <w:sz w:val="8"/>
                <w:szCs w:val="8"/>
                <w:color w:val="auto"/>
              </w:rPr>
            </w:pPr>
          </w:p>
        </w:tc>
        <w:tc>
          <w:tcPr>
            <w:tcW w:w="120" w:type="dxa"/>
            <w:vAlign w:val="bottom"/>
            <w:tcBorders>
              <w:bottom w:val="single" w:sz="8" w:color="9A9A9A"/>
            </w:tcBorders>
          </w:tcPr>
          <w:p>
            <w:pPr>
              <w:spacing w:after="0"/>
              <w:rPr>
                <w:sz w:val="8"/>
                <w:szCs w:val="8"/>
                <w:color w:val="auto"/>
              </w:rPr>
            </w:pPr>
          </w:p>
        </w:tc>
        <w:tc>
          <w:tcPr>
            <w:tcW w:w="660" w:type="dxa"/>
            <w:vAlign w:val="bottom"/>
            <w:tcBorders>
              <w:bottom w:val="single" w:sz="8" w:color="9A9A9A"/>
            </w:tcBorders>
          </w:tcPr>
          <w:p>
            <w:pPr>
              <w:spacing w:after="0"/>
              <w:rPr>
                <w:sz w:val="8"/>
                <w:szCs w:val="8"/>
                <w:color w:val="auto"/>
              </w:rPr>
            </w:pPr>
          </w:p>
        </w:tc>
        <w:tc>
          <w:tcPr>
            <w:tcW w:w="120" w:type="dxa"/>
            <w:vAlign w:val="bottom"/>
            <w:tcBorders>
              <w:bottom w:val="single" w:sz="8" w:color="9A9A9A"/>
            </w:tcBorders>
          </w:tcPr>
          <w:p>
            <w:pPr>
              <w:spacing w:after="0"/>
              <w:rPr>
                <w:sz w:val="8"/>
                <w:szCs w:val="8"/>
                <w:color w:val="auto"/>
              </w:rPr>
            </w:pPr>
          </w:p>
        </w:tc>
        <w:tc>
          <w:tcPr>
            <w:tcW w:w="160" w:type="dxa"/>
            <w:vAlign w:val="bottom"/>
            <w:tcBorders>
              <w:bottom w:val="single" w:sz="8" w:color="9A9A9A"/>
            </w:tcBorders>
          </w:tcPr>
          <w:p>
            <w:pPr>
              <w:spacing w:after="0"/>
              <w:rPr>
                <w:sz w:val="8"/>
                <w:szCs w:val="8"/>
                <w:color w:val="auto"/>
              </w:rPr>
            </w:pPr>
          </w:p>
        </w:tc>
        <w:tc>
          <w:tcPr>
            <w:tcW w:w="260" w:type="dxa"/>
            <w:vAlign w:val="bottom"/>
            <w:tcBorders>
              <w:bottom w:val="single" w:sz="8" w:color="9A9A9A"/>
            </w:tcBorders>
          </w:tcPr>
          <w:p>
            <w:pPr>
              <w:spacing w:after="0"/>
              <w:rPr>
                <w:sz w:val="8"/>
                <w:szCs w:val="8"/>
                <w:color w:val="auto"/>
              </w:rPr>
            </w:pPr>
          </w:p>
        </w:tc>
        <w:tc>
          <w:tcPr>
            <w:tcW w:w="680" w:type="dxa"/>
            <w:vAlign w:val="bottom"/>
            <w:tcBorders>
              <w:bottom w:val="single" w:sz="8" w:color="9A9A9A"/>
            </w:tcBorders>
          </w:tcPr>
          <w:p>
            <w:pPr>
              <w:spacing w:after="0"/>
              <w:rPr>
                <w:sz w:val="8"/>
                <w:szCs w:val="8"/>
                <w:color w:val="auto"/>
              </w:rPr>
            </w:pPr>
          </w:p>
        </w:tc>
        <w:tc>
          <w:tcPr>
            <w:tcW w:w="680" w:type="dxa"/>
            <w:vAlign w:val="bottom"/>
            <w:tcBorders>
              <w:bottom w:val="single" w:sz="8" w:color="9A9A9A"/>
            </w:tcBorders>
          </w:tcPr>
          <w:p>
            <w:pPr>
              <w:spacing w:after="0"/>
              <w:rPr>
                <w:sz w:val="8"/>
                <w:szCs w:val="8"/>
                <w:color w:val="auto"/>
              </w:rPr>
            </w:pPr>
          </w:p>
        </w:tc>
        <w:tc>
          <w:tcPr>
            <w:tcW w:w="120" w:type="dxa"/>
            <w:vAlign w:val="bottom"/>
            <w:tcBorders>
              <w:bottom w:val="single" w:sz="8" w:color="9A9A9A"/>
            </w:tcBorders>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7230110</wp:posOffset>
            </wp:positionH>
            <wp:positionV relativeFrom="paragraph">
              <wp:posOffset>-29210</wp:posOffset>
            </wp:positionV>
            <wp:extent cx="3429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20"/>
          </w:cols>
          <w:pgMar w:left="240" w:top="481" w:right="239" w:bottom="1440" w:gutter="0" w:footer="0" w:header="0"/>
        </w:sectPr>
      </w:pPr>
    </w:p>
    <w:bookmarkStart w:id="44" w:name="page45"/>
    <w:bookmarkEnd w:id="44"/>
    <w:tbl>
      <w:tblPr>
        <w:tblLayout w:type="fixed"/>
        <w:tblInd w:w="0" w:type="dxa"/>
        <w:tblCellMar>
          <w:top w:w="0" w:type="dxa"/>
          <w:left w:w="0" w:type="dxa"/>
          <w:bottom w:w="0" w:type="dxa"/>
          <w:right w:w="0" w:type="dxa"/>
        </w:tblCellMar>
      </w:tblPr>
      <w:tr>
        <w:trPr>
          <w:trHeight w:val="190"/>
        </w:trPr>
        <w:tc>
          <w:tcPr>
            <w:tcW w:w="7700" w:type="dxa"/>
            <w:vAlign w:val="bottom"/>
          </w:tcPr>
          <w:p>
            <w:pPr>
              <w:spacing w:after="0"/>
              <w:rPr>
                <w:sz w:val="16"/>
                <w:szCs w:val="16"/>
                <w:color w:val="auto"/>
              </w:rPr>
            </w:pPr>
          </w:p>
        </w:tc>
        <w:tc>
          <w:tcPr>
            <w:tcW w:w="2700" w:type="dxa"/>
            <w:vAlign w:val="bottom"/>
            <w:gridSpan w:val="4"/>
          </w:tcPr>
          <w:p>
            <w:pPr>
              <w:jc w:val="right"/>
              <w:ind w:right="60"/>
              <w:spacing w:after="0"/>
              <w:rPr>
                <w:sz w:val="20"/>
                <w:szCs w:val="20"/>
                <w:color w:val="auto"/>
              </w:rPr>
            </w:pPr>
            <w:r>
              <w:rPr>
                <w:rFonts w:ascii="Arial" w:cs="Arial" w:eastAsia="Arial" w:hAnsi="Arial"/>
                <w:sz w:val="14"/>
                <w:szCs w:val="14"/>
                <w:b w:val="1"/>
                <w:bCs w:val="1"/>
                <w:color w:val="auto"/>
              </w:rPr>
              <w:t>Year Ended December 31,</w:t>
            </w:r>
          </w:p>
        </w:tc>
        <w:tc>
          <w:tcPr>
            <w:tcW w:w="840" w:type="dxa"/>
            <w:vAlign w:val="bottom"/>
          </w:tcPr>
          <w:p>
            <w:pPr>
              <w:spacing w:after="0"/>
              <w:rPr>
                <w:sz w:val="16"/>
                <w:szCs w:val="16"/>
                <w:color w:val="auto"/>
              </w:rPr>
            </w:pPr>
          </w:p>
        </w:tc>
        <w:tc>
          <w:tcPr>
            <w:tcW w:w="180" w:type="dxa"/>
            <w:vAlign w:val="bottom"/>
          </w:tcPr>
          <w:p>
            <w:pPr>
              <w:spacing w:after="0"/>
              <w:rPr>
                <w:sz w:val="16"/>
                <w:szCs w:val="16"/>
                <w:color w:val="auto"/>
              </w:rPr>
            </w:pPr>
          </w:p>
        </w:tc>
      </w:tr>
      <w:tr>
        <w:trPr>
          <w:trHeight w:val="201"/>
        </w:trPr>
        <w:tc>
          <w:tcPr>
            <w:tcW w:w="7700" w:type="dxa"/>
            <w:vAlign w:val="bottom"/>
            <w:tcBorders>
              <w:bottom w:val="single" w:sz="8" w:color="CFF0FC"/>
            </w:tcBorders>
          </w:tcPr>
          <w:p>
            <w:pPr>
              <w:spacing w:after="0"/>
              <w:rPr>
                <w:sz w:val="17"/>
                <w:szCs w:val="17"/>
                <w:color w:val="auto"/>
              </w:rPr>
            </w:pPr>
          </w:p>
        </w:tc>
        <w:tc>
          <w:tcPr>
            <w:tcW w:w="1000" w:type="dxa"/>
            <w:vAlign w:val="bottom"/>
            <w:tcBorders>
              <w:bottom w:val="single" w:sz="8" w:color="auto"/>
            </w:tcBorders>
          </w:tcPr>
          <w:p>
            <w:pPr>
              <w:jc w:val="right"/>
              <w:ind w:right="277"/>
              <w:spacing w:after="0"/>
              <w:rPr>
                <w:sz w:val="20"/>
                <w:szCs w:val="20"/>
                <w:color w:val="auto"/>
              </w:rPr>
            </w:pPr>
            <w:r>
              <w:rPr>
                <w:rFonts w:ascii="Arial" w:cs="Arial" w:eastAsia="Arial" w:hAnsi="Arial"/>
                <w:sz w:val="14"/>
                <w:szCs w:val="14"/>
                <w:b w:val="1"/>
                <w:bCs w:val="1"/>
                <w:color w:val="auto"/>
              </w:rPr>
              <w:t>2019</w:t>
            </w:r>
          </w:p>
        </w:tc>
        <w:tc>
          <w:tcPr>
            <w:tcW w:w="340" w:type="dxa"/>
            <w:vAlign w:val="bottom"/>
            <w:tcBorders>
              <w:bottom w:val="single" w:sz="8" w:color="CFF0FC"/>
            </w:tcBorders>
          </w:tcPr>
          <w:p>
            <w:pPr>
              <w:spacing w:after="0"/>
              <w:rPr>
                <w:sz w:val="17"/>
                <w:szCs w:val="17"/>
                <w:color w:val="auto"/>
              </w:rPr>
            </w:pPr>
          </w:p>
        </w:tc>
        <w:tc>
          <w:tcPr>
            <w:tcW w:w="1000" w:type="dxa"/>
            <w:vAlign w:val="bottom"/>
            <w:tcBorders>
              <w:bottom w:val="single" w:sz="8" w:color="auto"/>
            </w:tcBorders>
          </w:tcPr>
          <w:p>
            <w:pPr>
              <w:jc w:val="right"/>
              <w:ind w:right="254"/>
              <w:spacing w:after="0"/>
              <w:rPr>
                <w:sz w:val="20"/>
                <w:szCs w:val="20"/>
                <w:color w:val="auto"/>
              </w:rPr>
            </w:pPr>
            <w:r>
              <w:rPr>
                <w:rFonts w:ascii="Arial" w:cs="Arial" w:eastAsia="Arial" w:hAnsi="Arial"/>
                <w:sz w:val="14"/>
                <w:szCs w:val="14"/>
                <w:b w:val="1"/>
                <w:bCs w:val="1"/>
                <w:color w:val="auto"/>
              </w:rPr>
              <w:t>2018</w:t>
            </w:r>
          </w:p>
        </w:tc>
        <w:tc>
          <w:tcPr>
            <w:tcW w:w="360" w:type="dxa"/>
            <w:vAlign w:val="bottom"/>
            <w:tcBorders>
              <w:bottom w:val="single" w:sz="8" w:color="CFF0FC"/>
            </w:tcBorders>
          </w:tcPr>
          <w:p>
            <w:pPr>
              <w:spacing w:after="0"/>
              <w:rPr>
                <w:sz w:val="17"/>
                <w:szCs w:val="17"/>
                <w:color w:val="auto"/>
              </w:rPr>
            </w:pPr>
          </w:p>
        </w:tc>
        <w:tc>
          <w:tcPr>
            <w:tcW w:w="840" w:type="dxa"/>
            <w:vAlign w:val="bottom"/>
            <w:tcBorders>
              <w:bottom w:val="single" w:sz="8" w:color="auto"/>
            </w:tcBorders>
          </w:tcPr>
          <w:p>
            <w:pPr>
              <w:jc w:val="right"/>
              <w:ind w:right="174"/>
              <w:spacing w:after="0"/>
              <w:rPr>
                <w:sz w:val="20"/>
                <w:szCs w:val="20"/>
                <w:color w:val="auto"/>
              </w:rPr>
            </w:pPr>
            <w:r>
              <w:rPr>
                <w:rFonts w:ascii="Arial" w:cs="Arial" w:eastAsia="Arial" w:hAnsi="Arial"/>
                <w:sz w:val="14"/>
                <w:szCs w:val="14"/>
                <w:b w:val="1"/>
                <w:bCs w:val="1"/>
                <w:color w:val="auto"/>
              </w:rPr>
              <w:t>2017</w:t>
            </w:r>
          </w:p>
        </w:tc>
        <w:tc>
          <w:tcPr>
            <w:tcW w:w="180" w:type="dxa"/>
            <w:vAlign w:val="bottom"/>
            <w:tcBorders>
              <w:bottom w:val="single" w:sz="8" w:color="CFF0FC"/>
            </w:tcBorders>
          </w:tcPr>
          <w:p>
            <w:pPr>
              <w:spacing w:after="0"/>
              <w:rPr>
                <w:sz w:val="17"/>
                <w:szCs w:val="17"/>
                <w:color w:val="auto"/>
              </w:rPr>
            </w:pPr>
          </w:p>
        </w:tc>
      </w:tr>
      <w:tr>
        <w:trPr>
          <w:trHeight w:val="210"/>
        </w:trPr>
        <w:tc>
          <w:tcPr>
            <w:tcW w:w="7700" w:type="dxa"/>
            <w:vAlign w:val="bottom"/>
            <w:shd w:val="clear" w:color="auto" w:fill="CFF0FC"/>
          </w:tcPr>
          <w:p>
            <w:pPr>
              <w:spacing w:after="0"/>
              <w:rPr>
                <w:sz w:val="20"/>
                <w:szCs w:val="20"/>
                <w:color w:val="auto"/>
              </w:rPr>
            </w:pPr>
            <w:r>
              <w:rPr>
                <w:rFonts w:ascii="Arial" w:cs="Arial" w:eastAsia="Arial" w:hAnsi="Arial"/>
                <w:sz w:val="18"/>
                <w:szCs w:val="18"/>
                <w:color w:val="auto"/>
              </w:rPr>
              <w:t>Dollar-based net revenue retention rate*</w:t>
            </w:r>
          </w:p>
        </w:tc>
        <w:tc>
          <w:tcPr>
            <w:tcW w:w="134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110%</w:t>
            </w:r>
          </w:p>
        </w:tc>
        <w:tc>
          <w:tcPr>
            <w:tcW w:w="136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108%</w:t>
            </w:r>
          </w:p>
        </w:tc>
        <w:tc>
          <w:tcPr>
            <w:tcW w:w="102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112%</w:t>
            </w:r>
          </w:p>
        </w:tc>
      </w:tr>
      <w:tr>
        <w:trPr>
          <w:trHeight w:val="216"/>
        </w:trPr>
        <w:tc>
          <w:tcPr>
            <w:tcW w:w="7700" w:type="dxa"/>
            <w:vAlign w:val="bottom"/>
          </w:tcPr>
          <w:p>
            <w:pPr>
              <w:spacing w:after="0"/>
              <w:rPr>
                <w:sz w:val="20"/>
                <w:szCs w:val="20"/>
                <w:color w:val="auto"/>
              </w:rPr>
            </w:pPr>
            <w:r>
              <w:rPr>
                <w:rFonts w:ascii="Arial" w:cs="Arial" w:eastAsia="Arial" w:hAnsi="Arial"/>
                <w:sz w:val="18"/>
                <w:szCs w:val="18"/>
                <w:color w:val="auto"/>
              </w:rPr>
              <w:t>Number of customers*</w:t>
            </w:r>
          </w:p>
        </w:tc>
        <w:tc>
          <w:tcPr>
            <w:tcW w:w="1000" w:type="dxa"/>
            <w:vAlign w:val="bottom"/>
          </w:tcPr>
          <w:p>
            <w:pPr>
              <w:jc w:val="right"/>
              <w:spacing w:after="0"/>
              <w:rPr>
                <w:sz w:val="20"/>
                <w:szCs w:val="20"/>
                <w:color w:val="auto"/>
              </w:rPr>
            </w:pPr>
            <w:r>
              <w:rPr>
                <w:rFonts w:ascii="Arial" w:cs="Arial" w:eastAsia="Arial" w:hAnsi="Arial"/>
                <w:sz w:val="18"/>
                <w:szCs w:val="18"/>
                <w:color w:val="auto"/>
              </w:rPr>
              <w:t>3,024</w:t>
            </w:r>
          </w:p>
        </w:tc>
        <w:tc>
          <w:tcPr>
            <w:tcW w:w="3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2,631</w:t>
            </w:r>
          </w:p>
        </w:tc>
        <w:tc>
          <w:tcPr>
            <w:tcW w:w="3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2,208</w:t>
            </w:r>
          </w:p>
        </w:tc>
        <w:tc>
          <w:tcPr>
            <w:tcW w:w="180" w:type="dxa"/>
            <w:vAlign w:val="bottom"/>
          </w:tcPr>
          <w:p>
            <w:pPr>
              <w:spacing w:after="0"/>
              <w:rPr>
                <w:sz w:val="18"/>
                <w:szCs w:val="18"/>
                <w:color w:val="auto"/>
              </w:rPr>
            </w:pPr>
          </w:p>
        </w:tc>
      </w:tr>
      <w:tr>
        <w:trPr>
          <w:trHeight w:val="216"/>
        </w:trPr>
        <w:tc>
          <w:tcPr>
            <w:tcW w:w="7700" w:type="dxa"/>
            <w:vAlign w:val="bottom"/>
            <w:shd w:val="clear" w:color="auto" w:fill="CFF0FC"/>
          </w:tcPr>
          <w:p>
            <w:pPr>
              <w:spacing w:after="0"/>
              <w:rPr>
                <w:sz w:val="20"/>
                <w:szCs w:val="20"/>
                <w:color w:val="auto"/>
              </w:rPr>
            </w:pPr>
            <w:r>
              <w:rPr>
                <w:rFonts w:ascii="Arial" w:cs="Arial" w:eastAsia="Arial" w:hAnsi="Arial"/>
                <w:sz w:val="18"/>
                <w:szCs w:val="18"/>
                <w:color w:val="auto"/>
              </w:rPr>
              <w:t>Number of users*</w:t>
            </w: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267,621</w:t>
            </w:r>
          </w:p>
        </w:tc>
        <w:tc>
          <w:tcPr>
            <w:tcW w:w="340" w:type="dxa"/>
            <w:vAlign w:val="bottom"/>
            <w:shd w:val="clear" w:color="auto" w:fill="CFF0FC"/>
          </w:tcPr>
          <w:p>
            <w:pPr>
              <w:spacing w:after="0"/>
              <w:rPr>
                <w:sz w:val="18"/>
                <w:szCs w:val="18"/>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222,619</w:t>
            </w:r>
          </w:p>
        </w:tc>
        <w:tc>
          <w:tcPr>
            <w:tcW w:w="360" w:type="dxa"/>
            <w:vAlign w:val="bottom"/>
            <w:shd w:val="clear" w:color="auto" w:fill="CFF0FC"/>
          </w:tcPr>
          <w:p>
            <w:pPr>
              <w:spacing w:after="0"/>
              <w:rPr>
                <w:sz w:val="18"/>
                <w:szCs w:val="18"/>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196,612</w:t>
            </w:r>
          </w:p>
        </w:tc>
        <w:tc>
          <w:tcPr>
            <w:tcW w:w="180" w:type="dxa"/>
            <w:vAlign w:val="bottom"/>
            <w:shd w:val="clear" w:color="auto" w:fill="CFF0FC"/>
          </w:tcPr>
          <w:p>
            <w:pPr>
              <w:spacing w:after="0"/>
              <w:rPr>
                <w:sz w:val="18"/>
                <w:szCs w:val="18"/>
                <w:color w:val="auto"/>
              </w:rPr>
            </w:pPr>
          </w:p>
        </w:tc>
      </w:tr>
      <w:tr>
        <w:trPr>
          <w:trHeight w:val="230"/>
        </w:trPr>
        <w:tc>
          <w:tcPr>
            <w:tcW w:w="7700" w:type="dxa"/>
            <w:vAlign w:val="bottom"/>
          </w:tcPr>
          <w:p>
            <w:pPr>
              <w:spacing w:after="0"/>
              <w:rPr>
                <w:sz w:val="20"/>
                <w:szCs w:val="20"/>
                <w:color w:val="auto"/>
              </w:rPr>
            </w:pPr>
            <w:r>
              <w:rPr>
                <w:rFonts w:ascii="Arial" w:cs="Arial" w:eastAsia="Arial" w:hAnsi="Arial"/>
                <w:sz w:val="18"/>
                <w:szCs w:val="18"/>
                <w:color w:val="auto"/>
              </w:rPr>
              <w:t>*Exclusive of on-premise software</w:t>
            </w:r>
          </w:p>
        </w:tc>
        <w:tc>
          <w:tcPr>
            <w:tcW w:w="10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80" w:type="dxa"/>
            <w:vAlign w:val="bottom"/>
          </w:tcPr>
          <w:p>
            <w:pPr>
              <w:spacing w:after="0"/>
              <w:rPr>
                <w:sz w:val="19"/>
                <w:szCs w:val="19"/>
                <w:color w:val="auto"/>
              </w:rPr>
            </w:pPr>
          </w:p>
        </w:tc>
      </w:tr>
    </w:tbl>
    <w:p>
      <w:pPr>
        <w:spacing w:after="0" w:line="202" w:lineRule="exact"/>
        <w:rPr>
          <w:sz w:val="20"/>
          <w:szCs w:val="20"/>
          <w:color w:val="auto"/>
        </w:rPr>
      </w:pPr>
    </w:p>
    <w:p>
      <w:pPr>
        <w:ind w:right="40" w:firstLine="518"/>
        <w:spacing w:after="0" w:line="239" w:lineRule="auto"/>
        <w:rPr>
          <w:sz w:val="20"/>
          <w:szCs w:val="20"/>
          <w:color w:val="auto"/>
        </w:rPr>
      </w:pPr>
      <w:r>
        <w:rPr>
          <w:rFonts w:ascii="Arial" w:cs="Arial" w:eastAsia="Arial" w:hAnsi="Arial"/>
          <w:sz w:val="18"/>
          <w:szCs w:val="18"/>
          <w:color w:val="auto"/>
        </w:rPr>
        <w:t>The increase in revenues for the year ended December 31, 2019, compared to the year ended December 31, 2018, was primarily due to an increase in the number of customers, an increase in the number of users added by existing customers, an increase in the number of products purchased by existing customers in the period, and an increase in non-user based strategic product sales. The total number of customers and users increased by 15% and 20%, respectively, during the year ended December 31, 2019.</w:t>
      </w:r>
    </w:p>
    <w:p>
      <w:pPr>
        <w:spacing w:after="0" w:line="202" w:lineRule="exact"/>
        <w:rPr>
          <w:sz w:val="20"/>
          <w:szCs w:val="20"/>
          <w:color w:val="auto"/>
        </w:rPr>
      </w:pPr>
    </w:p>
    <w:p>
      <w:pPr>
        <w:ind w:right="40" w:firstLine="518"/>
        <w:spacing w:after="0" w:line="239" w:lineRule="auto"/>
        <w:rPr>
          <w:sz w:val="20"/>
          <w:szCs w:val="20"/>
          <w:color w:val="auto"/>
        </w:rPr>
      </w:pPr>
      <w:r>
        <w:rPr>
          <w:rFonts w:ascii="Arial" w:cs="Arial" w:eastAsia="Arial" w:hAnsi="Arial"/>
          <w:sz w:val="18"/>
          <w:szCs w:val="18"/>
          <w:color w:val="auto"/>
        </w:rPr>
        <w:t>The increase in revenues for the year ended December 31, 2018, compared to the year ended December 31, 2017, was primarily due to an increase in the number of customers, an increase in the number of users added by existing customers, an increase in the number of products purchased by existing customers in the period, and an increase in non-user based strategic product sales. The total number of customers and users increased by 19% and 13%, respectively, during the year ended December 31, 2018.</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Cost of revenues</w:t>
      </w:r>
    </w:p>
    <w:p>
      <w:pPr>
        <w:spacing w:after="0" w:line="316"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26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00" w:type="dxa"/>
            <w:vAlign w:val="bottom"/>
            <w:gridSpan w:val="6"/>
          </w:tcPr>
          <w:p>
            <w:pPr>
              <w:jc w:val="right"/>
              <w:ind w:right="420"/>
              <w:spacing w:after="0"/>
              <w:rPr>
                <w:sz w:val="20"/>
                <w:szCs w:val="20"/>
                <w:color w:val="auto"/>
              </w:rPr>
            </w:pPr>
            <w:r>
              <w:rPr>
                <w:rFonts w:ascii="Arial" w:cs="Arial" w:eastAsia="Arial" w:hAnsi="Arial"/>
                <w:sz w:val="14"/>
                <w:szCs w:val="14"/>
                <w:b w:val="1"/>
                <w:bCs w:val="1"/>
                <w:color w:val="auto"/>
              </w:rPr>
              <w:t>Year Ended December 31,</w:t>
            </w:r>
          </w:p>
        </w:tc>
        <w:tc>
          <w:tcPr>
            <w:tcW w:w="260" w:type="dxa"/>
            <w:vAlign w:val="bottom"/>
          </w:tcPr>
          <w:p>
            <w:pPr>
              <w:spacing w:after="0"/>
              <w:rPr>
                <w:sz w:val="15"/>
                <w:szCs w:val="15"/>
                <w:color w:val="auto"/>
              </w:rPr>
            </w:pPr>
          </w:p>
        </w:tc>
        <w:tc>
          <w:tcPr>
            <w:tcW w:w="860" w:type="dxa"/>
            <w:vAlign w:val="bottom"/>
            <w:gridSpan w:val="2"/>
          </w:tcPr>
          <w:p>
            <w:pPr>
              <w:ind w:left="220"/>
              <w:spacing w:after="0"/>
              <w:rPr>
                <w:sz w:val="20"/>
                <w:szCs w:val="20"/>
                <w:color w:val="auto"/>
              </w:rPr>
            </w:pPr>
            <w:r>
              <w:rPr>
                <w:rFonts w:ascii="Arial" w:cs="Arial" w:eastAsia="Arial" w:hAnsi="Arial"/>
                <w:sz w:val="14"/>
                <w:szCs w:val="14"/>
                <w:b w:val="1"/>
                <w:bCs w:val="1"/>
                <w:color w:val="auto"/>
              </w:rPr>
              <w:t>Change</w:t>
            </w:r>
          </w:p>
        </w:tc>
        <w:tc>
          <w:tcPr>
            <w:tcW w:w="3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00" w:type="dxa"/>
            <w:vAlign w:val="bottom"/>
            <w:gridSpan w:val="6"/>
          </w:tcPr>
          <w:p>
            <w:pPr>
              <w:jc w:val="right"/>
              <w:ind w:right="420"/>
              <w:spacing w:after="0"/>
              <w:rPr>
                <w:sz w:val="20"/>
                <w:szCs w:val="20"/>
                <w:color w:val="auto"/>
              </w:rPr>
            </w:pPr>
            <w:r>
              <w:rPr>
                <w:rFonts w:ascii="Arial" w:cs="Arial" w:eastAsia="Arial" w:hAnsi="Arial"/>
                <w:sz w:val="14"/>
                <w:szCs w:val="14"/>
                <w:b w:val="1"/>
                <w:bCs w:val="1"/>
                <w:color w:val="auto"/>
              </w:rPr>
              <w:t>Year Ended December 31,</w:t>
            </w:r>
          </w:p>
        </w:tc>
        <w:tc>
          <w:tcPr>
            <w:tcW w:w="260" w:type="dxa"/>
            <w:vAlign w:val="bottom"/>
          </w:tcPr>
          <w:p>
            <w:pPr>
              <w:spacing w:after="0"/>
              <w:rPr>
                <w:sz w:val="15"/>
                <w:szCs w:val="15"/>
                <w:color w:val="auto"/>
              </w:rPr>
            </w:pPr>
          </w:p>
        </w:tc>
        <w:tc>
          <w:tcPr>
            <w:tcW w:w="860" w:type="dxa"/>
            <w:vAlign w:val="bottom"/>
            <w:gridSpan w:val="2"/>
          </w:tcPr>
          <w:p>
            <w:pPr>
              <w:ind w:left="220"/>
              <w:spacing w:after="0"/>
              <w:rPr>
                <w:sz w:val="20"/>
                <w:szCs w:val="20"/>
                <w:color w:val="auto"/>
              </w:rPr>
            </w:pPr>
            <w:r>
              <w:rPr>
                <w:rFonts w:ascii="Arial" w:cs="Arial" w:eastAsia="Arial" w:hAnsi="Arial"/>
                <w:sz w:val="14"/>
                <w:szCs w:val="14"/>
                <w:b w:val="1"/>
                <w:bCs w:val="1"/>
                <w:color w:val="auto"/>
              </w:rPr>
              <w:t>Change</w:t>
            </w:r>
          </w:p>
        </w:tc>
        <w:tc>
          <w:tcPr>
            <w:tcW w:w="380" w:type="dxa"/>
            <w:vAlign w:val="bottom"/>
          </w:tcPr>
          <w:p>
            <w:pPr>
              <w:spacing w:after="0"/>
              <w:rPr>
                <w:sz w:val="15"/>
                <w:szCs w:val="15"/>
                <w:color w:val="auto"/>
              </w:rPr>
            </w:pPr>
          </w:p>
        </w:tc>
        <w:tc>
          <w:tcPr>
            <w:tcW w:w="180" w:type="dxa"/>
            <w:vAlign w:val="bottom"/>
          </w:tcPr>
          <w:p>
            <w:pPr>
              <w:spacing w:after="0"/>
              <w:rPr>
                <w:sz w:val="15"/>
                <w:szCs w:val="15"/>
                <w:color w:val="auto"/>
              </w:rPr>
            </w:pPr>
          </w:p>
        </w:tc>
      </w:tr>
      <w:tr>
        <w:trPr>
          <w:trHeight w:val="210"/>
        </w:trPr>
        <w:tc>
          <w:tcPr>
            <w:tcW w:w="26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780" w:type="dxa"/>
            <w:vAlign w:val="bottom"/>
            <w:tcBorders>
              <w:top w:val="single" w:sz="8" w:color="auto"/>
              <w:bottom w:val="single" w:sz="8" w:color="auto"/>
            </w:tcBorders>
          </w:tcPr>
          <w:p>
            <w:pPr>
              <w:jc w:val="right"/>
              <w:ind w:right="216"/>
              <w:spacing w:after="0"/>
              <w:rPr>
                <w:sz w:val="20"/>
                <w:szCs w:val="20"/>
                <w:color w:val="auto"/>
              </w:rPr>
            </w:pPr>
            <w:r>
              <w:rPr>
                <w:rFonts w:ascii="Arial" w:cs="Arial" w:eastAsia="Arial" w:hAnsi="Arial"/>
                <w:sz w:val="14"/>
                <w:szCs w:val="14"/>
                <w:b w:val="1"/>
                <w:bCs w:val="1"/>
                <w:color w:val="auto"/>
              </w:rPr>
              <w:t>2019</w:t>
            </w:r>
          </w:p>
        </w:tc>
        <w:tc>
          <w:tcPr>
            <w:tcW w:w="220" w:type="dxa"/>
            <w:vAlign w:val="bottom"/>
            <w:tcBorders>
              <w:top w:val="single" w:sz="8" w:color="auto"/>
              <w:bottom w:val="single" w:sz="8" w:color="auto"/>
            </w:tcBorders>
          </w:tcPr>
          <w:p>
            <w:pPr>
              <w:spacing w:after="0"/>
              <w:rPr>
                <w:sz w:val="18"/>
                <w:szCs w:val="18"/>
                <w:color w:val="auto"/>
              </w:rPr>
            </w:pPr>
          </w:p>
        </w:tc>
        <w:tc>
          <w:tcPr>
            <w:tcW w:w="40" w:type="dxa"/>
            <w:vAlign w:val="bottom"/>
            <w:tcBorders>
              <w:top w:val="single" w:sz="8" w:color="auto"/>
              <w:bottom w:val="single" w:sz="8" w:color="auto"/>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700" w:type="dxa"/>
            <w:vAlign w:val="bottom"/>
            <w:tcBorders>
              <w:top w:val="single" w:sz="8" w:color="auto"/>
              <w:bottom w:val="single" w:sz="8" w:color="auto"/>
            </w:tcBorders>
          </w:tcPr>
          <w:p>
            <w:pPr>
              <w:jc w:val="right"/>
              <w:ind w:right="214"/>
              <w:spacing w:after="0"/>
              <w:rPr>
                <w:sz w:val="20"/>
                <w:szCs w:val="20"/>
                <w:color w:val="auto"/>
              </w:rPr>
            </w:pPr>
            <w:r>
              <w:rPr>
                <w:rFonts w:ascii="Arial" w:cs="Arial" w:eastAsia="Arial" w:hAnsi="Arial"/>
                <w:sz w:val="14"/>
                <w:szCs w:val="14"/>
                <w:b w:val="1"/>
                <w:bCs w:val="1"/>
                <w:color w:val="auto"/>
              </w:rPr>
              <w:t>2018</w:t>
            </w:r>
          </w:p>
        </w:tc>
        <w:tc>
          <w:tcPr>
            <w:tcW w:w="260" w:type="dxa"/>
            <w:vAlign w:val="bottom"/>
            <w:tcBorders>
              <w:bottom w:val="single" w:sz="8" w:color="auto"/>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620" w:type="dxa"/>
            <w:vAlign w:val="bottom"/>
            <w:tcBorders>
              <w:top w:val="single" w:sz="8" w:color="auto"/>
              <w:bottom w:val="single" w:sz="8" w:color="auto"/>
            </w:tcBorders>
          </w:tcPr>
          <w:p>
            <w:pPr>
              <w:ind w:left="140"/>
              <w:spacing w:after="0"/>
              <w:rPr>
                <w:sz w:val="20"/>
                <w:szCs w:val="20"/>
                <w:color w:val="auto"/>
              </w:rPr>
            </w:pPr>
            <w:r>
              <w:rPr>
                <w:rFonts w:ascii="Arial" w:cs="Arial" w:eastAsia="Arial" w:hAnsi="Arial"/>
                <w:sz w:val="14"/>
                <w:szCs w:val="14"/>
                <w:b w:val="1"/>
                <w:bCs w:val="1"/>
                <w:color w:val="auto"/>
              </w:rPr>
              <w:t>$</w:t>
            </w:r>
          </w:p>
        </w:tc>
        <w:tc>
          <w:tcPr>
            <w:tcW w:w="240" w:type="dxa"/>
            <w:vAlign w:val="bottom"/>
            <w:tcBorders>
              <w:top w:val="single" w:sz="8" w:color="auto"/>
              <w:bottom w:val="single" w:sz="8" w:color="auto"/>
            </w:tcBorders>
          </w:tcPr>
          <w:p>
            <w:pPr>
              <w:spacing w:after="0"/>
              <w:rPr>
                <w:sz w:val="18"/>
                <w:szCs w:val="18"/>
                <w:color w:val="auto"/>
              </w:rPr>
            </w:pPr>
          </w:p>
        </w:tc>
        <w:tc>
          <w:tcPr>
            <w:tcW w:w="380" w:type="dxa"/>
            <w:vAlign w:val="bottom"/>
            <w:tcBorders>
              <w:top w:val="single" w:sz="8" w:color="auto"/>
              <w:bottom w:val="single" w:sz="8" w:color="auto"/>
            </w:tcBorders>
          </w:tcPr>
          <w:p>
            <w:pPr>
              <w:jc w:val="right"/>
              <w:ind w:right="74"/>
              <w:spacing w:after="0"/>
              <w:rPr>
                <w:sz w:val="20"/>
                <w:szCs w:val="20"/>
                <w:color w:val="auto"/>
              </w:rPr>
            </w:pPr>
            <w:r>
              <w:rPr>
                <w:rFonts w:ascii="Arial" w:cs="Arial" w:eastAsia="Arial" w:hAnsi="Arial"/>
                <w:sz w:val="14"/>
                <w:szCs w:val="14"/>
                <w:b w:val="1"/>
                <w:bCs w:val="1"/>
                <w:color w:val="auto"/>
              </w:rPr>
              <w:t>%</w:t>
            </w:r>
          </w:p>
        </w:tc>
        <w:tc>
          <w:tcPr>
            <w:tcW w:w="20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780" w:type="dxa"/>
            <w:vAlign w:val="bottom"/>
            <w:tcBorders>
              <w:top w:val="single" w:sz="8" w:color="auto"/>
              <w:bottom w:val="single" w:sz="8" w:color="auto"/>
            </w:tcBorders>
          </w:tcPr>
          <w:p>
            <w:pPr>
              <w:jc w:val="right"/>
              <w:ind w:right="216"/>
              <w:spacing w:after="0"/>
              <w:rPr>
                <w:sz w:val="20"/>
                <w:szCs w:val="20"/>
                <w:color w:val="auto"/>
              </w:rPr>
            </w:pPr>
            <w:r>
              <w:rPr>
                <w:rFonts w:ascii="Arial" w:cs="Arial" w:eastAsia="Arial" w:hAnsi="Arial"/>
                <w:sz w:val="14"/>
                <w:szCs w:val="14"/>
                <w:b w:val="1"/>
                <w:bCs w:val="1"/>
                <w:color w:val="auto"/>
              </w:rPr>
              <w:t>2018</w:t>
            </w:r>
          </w:p>
        </w:tc>
        <w:tc>
          <w:tcPr>
            <w:tcW w:w="220" w:type="dxa"/>
            <w:vAlign w:val="bottom"/>
            <w:tcBorders>
              <w:top w:val="single" w:sz="8" w:color="auto"/>
              <w:bottom w:val="single" w:sz="8" w:color="auto"/>
            </w:tcBorders>
          </w:tcPr>
          <w:p>
            <w:pPr>
              <w:spacing w:after="0"/>
              <w:rPr>
                <w:sz w:val="18"/>
                <w:szCs w:val="18"/>
                <w:color w:val="auto"/>
              </w:rPr>
            </w:pPr>
          </w:p>
        </w:tc>
        <w:tc>
          <w:tcPr>
            <w:tcW w:w="40" w:type="dxa"/>
            <w:vAlign w:val="bottom"/>
            <w:tcBorders>
              <w:top w:val="single" w:sz="8" w:color="auto"/>
              <w:bottom w:val="single" w:sz="8" w:color="auto"/>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700" w:type="dxa"/>
            <w:vAlign w:val="bottom"/>
            <w:tcBorders>
              <w:top w:val="single" w:sz="8" w:color="auto"/>
              <w:bottom w:val="single" w:sz="8" w:color="auto"/>
            </w:tcBorders>
          </w:tcPr>
          <w:p>
            <w:pPr>
              <w:jc w:val="right"/>
              <w:ind w:right="214"/>
              <w:spacing w:after="0"/>
              <w:rPr>
                <w:sz w:val="20"/>
                <w:szCs w:val="20"/>
                <w:color w:val="auto"/>
              </w:rPr>
            </w:pPr>
            <w:r>
              <w:rPr>
                <w:rFonts w:ascii="Arial" w:cs="Arial" w:eastAsia="Arial" w:hAnsi="Arial"/>
                <w:sz w:val="14"/>
                <w:szCs w:val="14"/>
                <w:b w:val="1"/>
                <w:bCs w:val="1"/>
                <w:color w:val="auto"/>
              </w:rPr>
              <w:t>2017</w:t>
            </w:r>
          </w:p>
        </w:tc>
        <w:tc>
          <w:tcPr>
            <w:tcW w:w="260" w:type="dxa"/>
            <w:vAlign w:val="bottom"/>
            <w:tcBorders>
              <w:bottom w:val="single" w:sz="8" w:color="auto"/>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640" w:type="dxa"/>
            <w:vAlign w:val="bottom"/>
            <w:tcBorders>
              <w:top w:val="single" w:sz="8" w:color="auto"/>
              <w:bottom w:val="single" w:sz="8" w:color="auto"/>
            </w:tcBorders>
          </w:tcPr>
          <w:p>
            <w:pPr>
              <w:jc w:val="right"/>
              <w:ind w:right="337"/>
              <w:spacing w:after="0"/>
              <w:rPr>
                <w:sz w:val="20"/>
                <w:szCs w:val="20"/>
                <w:color w:val="auto"/>
              </w:rPr>
            </w:pPr>
            <w:r>
              <w:rPr>
                <w:rFonts w:ascii="Arial" w:cs="Arial" w:eastAsia="Arial" w:hAnsi="Arial"/>
                <w:sz w:val="14"/>
                <w:szCs w:val="14"/>
                <w:b w:val="1"/>
                <w:bCs w:val="1"/>
                <w:color w:val="auto"/>
              </w:rPr>
              <w:t>$</w:t>
            </w:r>
          </w:p>
        </w:tc>
        <w:tc>
          <w:tcPr>
            <w:tcW w:w="220" w:type="dxa"/>
            <w:vAlign w:val="bottom"/>
            <w:tcBorders>
              <w:top w:val="single" w:sz="8" w:color="auto"/>
              <w:bottom w:val="single" w:sz="8" w:color="auto"/>
            </w:tcBorders>
          </w:tcPr>
          <w:p>
            <w:pPr>
              <w:spacing w:after="0"/>
              <w:rPr>
                <w:sz w:val="18"/>
                <w:szCs w:val="18"/>
                <w:color w:val="auto"/>
              </w:rPr>
            </w:pPr>
          </w:p>
        </w:tc>
        <w:tc>
          <w:tcPr>
            <w:tcW w:w="380" w:type="dxa"/>
            <w:vAlign w:val="bottom"/>
            <w:tcBorders>
              <w:top w:val="single" w:sz="8" w:color="auto"/>
              <w:bottom w:val="single" w:sz="8" w:color="auto"/>
            </w:tcBorders>
          </w:tcPr>
          <w:p>
            <w:pPr>
              <w:jc w:val="right"/>
              <w:ind w:right="54"/>
              <w:spacing w:after="0"/>
              <w:rPr>
                <w:sz w:val="20"/>
                <w:szCs w:val="20"/>
                <w:color w:val="auto"/>
              </w:rPr>
            </w:pPr>
            <w:r>
              <w:rPr>
                <w:rFonts w:ascii="Arial" w:cs="Arial" w:eastAsia="Arial" w:hAnsi="Arial"/>
                <w:sz w:val="14"/>
                <w:szCs w:val="14"/>
                <w:b w:val="1"/>
                <w:bCs w:val="1"/>
                <w:color w:val="auto"/>
              </w:rPr>
              <w:t>%</w:t>
            </w:r>
          </w:p>
        </w:tc>
        <w:tc>
          <w:tcPr>
            <w:tcW w:w="180" w:type="dxa"/>
            <w:vAlign w:val="bottom"/>
          </w:tcPr>
          <w:p>
            <w:pPr>
              <w:spacing w:after="0"/>
              <w:rPr>
                <w:sz w:val="18"/>
                <w:szCs w:val="18"/>
                <w:color w:val="auto"/>
              </w:rPr>
            </w:pPr>
          </w:p>
        </w:tc>
      </w:tr>
      <w:tr>
        <w:trPr>
          <w:trHeight w:val="182"/>
        </w:trPr>
        <w:tc>
          <w:tcPr>
            <w:tcW w:w="26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620" w:type="dxa"/>
            <w:vAlign w:val="bottom"/>
            <w:gridSpan w:val="8"/>
          </w:tcPr>
          <w:p>
            <w:pPr>
              <w:ind w:left="160"/>
              <w:spacing w:after="0"/>
              <w:rPr>
                <w:sz w:val="20"/>
                <w:szCs w:val="20"/>
                <w:color w:val="auto"/>
              </w:rPr>
            </w:pPr>
            <w:r>
              <w:rPr>
                <w:rFonts w:ascii="Arial" w:cs="Arial" w:eastAsia="Arial" w:hAnsi="Arial"/>
                <w:sz w:val="14"/>
                <w:szCs w:val="14"/>
                <w:b w:val="1"/>
                <w:bCs w:val="1"/>
                <w:color w:val="auto"/>
              </w:rPr>
              <w:t>(in thousands, except percentages)</w:t>
            </w:r>
          </w:p>
        </w:tc>
        <w:tc>
          <w:tcPr>
            <w:tcW w:w="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80" w:type="dxa"/>
            <w:vAlign w:val="bottom"/>
          </w:tcPr>
          <w:p>
            <w:pPr>
              <w:spacing w:after="0"/>
              <w:rPr>
                <w:sz w:val="15"/>
                <w:szCs w:val="15"/>
                <w:color w:val="auto"/>
              </w:rPr>
            </w:pPr>
          </w:p>
        </w:tc>
      </w:tr>
      <w:tr>
        <w:trPr>
          <w:trHeight w:val="203"/>
        </w:trPr>
        <w:tc>
          <w:tcPr>
            <w:tcW w:w="2680" w:type="dxa"/>
            <w:vAlign w:val="bottom"/>
          </w:tcPr>
          <w:p>
            <w:pPr>
              <w:spacing w:after="0" w:line="203" w:lineRule="exact"/>
              <w:rPr>
                <w:sz w:val="20"/>
                <w:szCs w:val="20"/>
                <w:color w:val="auto"/>
              </w:rPr>
            </w:pPr>
            <w:r>
              <w:rPr>
                <w:rFonts w:ascii="Arial" w:cs="Arial" w:eastAsia="Arial" w:hAnsi="Arial"/>
                <w:sz w:val="18"/>
                <w:szCs w:val="18"/>
                <w:color w:val="auto"/>
              </w:rPr>
              <w:t>Subscription and support</w:t>
            </w:r>
          </w:p>
        </w:tc>
        <w:tc>
          <w:tcPr>
            <w:tcW w:w="780" w:type="dxa"/>
            <w:vAlign w:val="bottom"/>
            <w:gridSpan w:val="2"/>
          </w:tcPr>
          <w:p>
            <w:pPr>
              <w:jc w:val="right"/>
              <w:spacing w:after="0" w:line="203" w:lineRule="exact"/>
              <w:rPr>
                <w:sz w:val="20"/>
                <w:szCs w:val="20"/>
                <w:color w:val="auto"/>
              </w:rPr>
            </w:pPr>
            <w:r>
              <w:rPr>
                <w:rFonts w:ascii="Arial" w:cs="Arial" w:eastAsia="Arial" w:hAnsi="Arial"/>
                <w:sz w:val="18"/>
                <w:szCs w:val="18"/>
                <w:color w:val="auto"/>
              </w:rPr>
              <w:t>$</w:t>
            </w:r>
          </w:p>
        </w:tc>
        <w:tc>
          <w:tcPr>
            <w:tcW w:w="780" w:type="dxa"/>
            <w:vAlign w:val="bottom"/>
          </w:tcPr>
          <w:p>
            <w:pPr>
              <w:jc w:val="right"/>
              <w:spacing w:after="0" w:line="203" w:lineRule="exact"/>
              <w:rPr>
                <w:sz w:val="20"/>
                <w:szCs w:val="20"/>
                <w:color w:val="auto"/>
              </w:rPr>
            </w:pPr>
            <w:r>
              <w:rPr>
                <w:rFonts w:ascii="Arial" w:cs="Arial" w:eastAsia="Arial" w:hAnsi="Arial"/>
                <w:sz w:val="18"/>
                <w:szCs w:val="18"/>
                <w:color w:val="auto"/>
              </w:rPr>
              <w:t>44,968</w:t>
            </w:r>
          </w:p>
        </w:tc>
        <w:tc>
          <w:tcPr>
            <w:tcW w:w="220" w:type="dxa"/>
            <w:vAlign w:val="bottom"/>
          </w:tcPr>
          <w:p>
            <w:pPr>
              <w:spacing w:after="0"/>
              <w:rPr>
                <w:sz w:val="17"/>
                <w:szCs w:val="17"/>
                <w:color w:val="auto"/>
              </w:rPr>
            </w:pPr>
          </w:p>
        </w:tc>
        <w:tc>
          <w:tcPr>
            <w:tcW w:w="240" w:type="dxa"/>
            <w:vAlign w:val="bottom"/>
            <w:gridSpan w:val="2"/>
          </w:tcPr>
          <w:p>
            <w:pPr>
              <w:jc w:val="right"/>
              <w:ind w:right="10"/>
              <w:spacing w:after="0" w:line="203" w:lineRule="exact"/>
              <w:rPr>
                <w:sz w:val="20"/>
                <w:szCs w:val="20"/>
                <w:color w:val="auto"/>
              </w:rPr>
            </w:pPr>
            <w:r>
              <w:rPr>
                <w:rFonts w:ascii="Arial" w:cs="Arial" w:eastAsia="Arial" w:hAnsi="Arial"/>
                <w:sz w:val="18"/>
                <w:szCs w:val="18"/>
                <w:color w:val="auto"/>
              </w:rPr>
              <w:t>$</w:t>
            </w:r>
          </w:p>
        </w:tc>
        <w:tc>
          <w:tcPr>
            <w:tcW w:w="700" w:type="dxa"/>
            <w:vAlign w:val="bottom"/>
          </w:tcPr>
          <w:p>
            <w:pPr>
              <w:jc w:val="right"/>
              <w:spacing w:after="0" w:line="203" w:lineRule="exact"/>
              <w:rPr>
                <w:sz w:val="20"/>
                <w:szCs w:val="20"/>
                <w:color w:val="auto"/>
              </w:rPr>
            </w:pPr>
            <w:r>
              <w:rPr>
                <w:rFonts w:ascii="Arial" w:cs="Arial" w:eastAsia="Arial" w:hAnsi="Arial"/>
                <w:sz w:val="18"/>
                <w:szCs w:val="18"/>
                <w:color w:val="auto"/>
              </w:rPr>
              <w:t>41,428</w:t>
            </w:r>
          </w:p>
        </w:tc>
        <w:tc>
          <w:tcPr>
            <w:tcW w:w="260" w:type="dxa"/>
            <w:vAlign w:val="bottom"/>
          </w:tcPr>
          <w:p>
            <w:pPr>
              <w:spacing w:after="0"/>
              <w:rPr>
                <w:sz w:val="17"/>
                <w:szCs w:val="17"/>
                <w:color w:val="auto"/>
              </w:rPr>
            </w:pPr>
          </w:p>
        </w:tc>
        <w:tc>
          <w:tcPr>
            <w:tcW w:w="260" w:type="dxa"/>
            <w:vAlign w:val="bottom"/>
          </w:tcPr>
          <w:p>
            <w:pPr>
              <w:jc w:val="right"/>
              <w:ind w:right="70"/>
              <w:spacing w:after="0" w:line="203" w:lineRule="exact"/>
              <w:rPr>
                <w:sz w:val="20"/>
                <w:szCs w:val="20"/>
                <w:color w:val="auto"/>
              </w:rPr>
            </w:pPr>
            <w:r>
              <w:rPr>
                <w:rFonts w:ascii="Arial" w:cs="Arial" w:eastAsia="Arial" w:hAnsi="Arial"/>
                <w:sz w:val="18"/>
                <w:szCs w:val="18"/>
                <w:color w:val="auto"/>
                <w:w w:val="79"/>
              </w:rPr>
              <w:t>$</w:t>
            </w:r>
          </w:p>
        </w:tc>
        <w:tc>
          <w:tcPr>
            <w:tcW w:w="620" w:type="dxa"/>
            <w:vAlign w:val="bottom"/>
          </w:tcPr>
          <w:p>
            <w:pPr>
              <w:ind w:left="160"/>
              <w:spacing w:after="0" w:line="203" w:lineRule="exact"/>
              <w:rPr>
                <w:sz w:val="20"/>
                <w:szCs w:val="20"/>
                <w:color w:val="auto"/>
              </w:rPr>
            </w:pPr>
            <w:r>
              <w:rPr>
                <w:rFonts w:ascii="Arial" w:cs="Arial" w:eastAsia="Arial" w:hAnsi="Arial"/>
                <w:sz w:val="18"/>
                <w:szCs w:val="18"/>
                <w:color w:val="auto"/>
                <w:w w:val="97"/>
              </w:rPr>
              <w:t>3,540</w:t>
            </w:r>
          </w:p>
        </w:tc>
        <w:tc>
          <w:tcPr>
            <w:tcW w:w="240" w:type="dxa"/>
            <w:vAlign w:val="bottom"/>
          </w:tcPr>
          <w:p>
            <w:pPr>
              <w:spacing w:after="0"/>
              <w:rPr>
                <w:sz w:val="17"/>
                <w:szCs w:val="17"/>
                <w:color w:val="auto"/>
              </w:rPr>
            </w:pPr>
          </w:p>
        </w:tc>
        <w:tc>
          <w:tcPr>
            <w:tcW w:w="580" w:type="dxa"/>
            <w:vAlign w:val="bottom"/>
            <w:gridSpan w:val="2"/>
          </w:tcPr>
          <w:p>
            <w:pPr>
              <w:jc w:val="right"/>
              <w:ind w:right="40"/>
              <w:spacing w:after="0" w:line="203" w:lineRule="exact"/>
              <w:rPr>
                <w:sz w:val="20"/>
                <w:szCs w:val="20"/>
                <w:color w:val="auto"/>
              </w:rPr>
            </w:pPr>
            <w:r>
              <w:rPr>
                <w:rFonts w:ascii="Arial" w:cs="Arial" w:eastAsia="Arial" w:hAnsi="Arial"/>
                <w:sz w:val="18"/>
                <w:szCs w:val="18"/>
                <w:color w:val="auto"/>
              </w:rPr>
              <w:t>9%</w:t>
            </w:r>
          </w:p>
        </w:tc>
        <w:tc>
          <w:tcPr>
            <w:tcW w:w="180" w:type="dxa"/>
            <w:vAlign w:val="bottom"/>
            <w:gridSpan w:val="2"/>
          </w:tcPr>
          <w:p>
            <w:pPr>
              <w:jc w:val="right"/>
              <w:spacing w:after="0" w:line="203" w:lineRule="exact"/>
              <w:rPr>
                <w:sz w:val="20"/>
                <w:szCs w:val="20"/>
                <w:color w:val="auto"/>
              </w:rPr>
            </w:pPr>
            <w:r>
              <w:rPr>
                <w:rFonts w:ascii="Arial" w:cs="Arial" w:eastAsia="Arial" w:hAnsi="Arial"/>
                <w:sz w:val="18"/>
                <w:szCs w:val="18"/>
                <w:color w:val="auto"/>
              </w:rPr>
              <w:t>$</w:t>
            </w:r>
          </w:p>
        </w:tc>
        <w:tc>
          <w:tcPr>
            <w:tcW w:w="780" w:type="dxa"/>
            <w:vAlign w:val="bottom"/>
          </w:tcPr>
          <w:p>
            <w:pPr>
              <w:jc w:val="right"/>
              <w:spacing w:after="0" w:line="203" w:lineRule="exact"/>
              <w:rPr>
                <w:sz w:val="20"/>
                <w:szCs w:val="20"/>
                <w:color w:val="auto"/>
              </w:rPr>
            </w:pPr>
            <w:r>
              <w:rPr>
                <w:rFonts w:ascii="Arial" w:cs="Arial" w:eastAsia="Arial" w:hAnsi="Arial"/>
                <w:sz w:val="18"/>
                <w:szCs w:val="18"/>
                <w:color w:val="auto"/>
              </w:rPr>
              <w:t>41,428</w:t>
            </w:r>
          </w:p>
        </w:tc>
        <w:tc>
          <w:tcPr>
            <w:tcW w:w="220" w:type="dxa"/>
            <w:vAlign w:val="bottom"/>
          </w:tcPr>
          <w:p>
            <w:pPr>
              <w:spacing w:after="0"/>
              <w:rPr>
                <w:sz w:val="17"/>
                <w:szCs w:val="17"/>
                <w:color w:val="auto"/>
              </w:rPr>
            </w:pPr>
          </w:p>
        </w:tc>
        <w:tc>
          <w:tcPr>
            <w:tcW w:w="240" w:type="dxa"/>
            <w:vAlign w:val="bottom"/>
            <w:gridSpan w:val="2"/>
          </w:tcPr>
          <w:p>
            <w:pPr>
              <w:jc w:val="right"/>
              <w:ind w:right="10"/>
              <w:spacing w:after="0" w:line="203" w:lineRule="exact"/>
              <w:rPr>
                <w:sz w:val="20"/>
                <w:szCs w:val="20"/>
                <w:color w:val="auto"/>
              </w:rPr>
            </w:pPr>
            <w:r>
              <w:rPr>
                <w:rFonts w:ascii="Arial" w:cs="Arial" w:eastAsia="Arial" w:hAnsi="Arial"/>
                <w:sz w:val="18"/>
                <w:szCs w:val="18"/>
                <w:color w:val="auto"/>
              </w:rPr>
              <w:t>$</w:t>
            </w:r>
          </w:p>
        </w:tc>
        <w:tc>
          <w:tcPr>
            <w:tcW w:w="700" w:type="dxa"/>
            <w:vAlign w:val="bottom"/>
          </w:tcPr>
          <w:p>
            <w:pPr>
              <w:jc w:val="right"/>
              <w:spacing w:after="0" w:line="203" w:lineRule="exact"/>
              <w:rPr>
                <w:sz w:val="20"/>
                <w:szCs w:val="20"/>
                <w:color w:val="auto"/>
              </w:rPr>
            </w:pPr>
            <w:r>
              <w:rPr>
                <w:rFonts w:ascii="Arial" w:cs="Arial" w:eastAsia="Arial" w:hAnsi="Arial"/>
                <w:sz w:val="18"/>
                <w:szCs w:val="18"/>
                <w:color w:val="auto"/>
              </w:rPr>
              <w:t>33,530</w:t>
            </w:r>
          </w:p>
        </w:tc>
        <w:tc>
          <w:tcPr>
            <w:tcW w:w="260" w:type="dxa"/>
            <w:vAlign w:val="bottom"/>
          </w:tcPr>
          <w:p>
            <w:pPr>
              <w:spacing w:after="0"/>
              <w:rPr>
                <w:sz w:val="17"/>
                <w:szCs w:val="17"/>
                <w:color w:val="auto"/>
              </w:rPr>
            </w:pPr>
          </w:p>
        </w:tc>
        <w:tc>
          <w:tcPr>
            <w:tcW w:w="260" w:type="dxa"/>
            <w:vAlign w:val="bottom"/>
          </w:tcPr>
          <w:p>
            <w:pPr>
              <w:jc w:val="right"/>
              <w:ind w:right="70"/>
              <w:spacing w:after="0" w:line="203" w:lineRule="exact"/>
              <w:rPr>
                <w:sz w:val="20"/>
                <w:szCs w:val="20"/>
                <w:color w:val="auto"/>
              </w:rPr>
            </w:pPr>
            <w:r>
              <w:rPr>
                <w:rFonts w:ascii="Arial" w:cs="Arial" w:eastAsia="Arial" w:hAnsi="Arial"/>
                <w:sz w:val="18"/>
                <w:szCs w:val="18"/>
                <w:color w:val="auto"/>
                <w:w w:val="79"/>
              </w:rPr>
              <w:t>$</w:t>
            </w:r>
          </w:p>
        </w:tc>
        <w:tc>
          <w:tcPr>
            <w:tcW w:w="640" w:type="dxa"/>
            <w:vAlign w:val="bottom"/>
          </w:tcPr>
          <w:p>
            <w:pPr>
              <w:jc w:val="right"/>
              <w:spacing w:after="0" w:line="203" w:lineRule="exact"/>
              <w:rPr>
                <w:sz w:val="20"/>
                <w:szCs w:val="20"/>
                <w:color w:val="auto"/>
              </w:rPr>
            </w:pPr>
            <w:r>
              <w:rPr>
                <w:rFonts w:ascii="Arial" w:cs="Arial" w:eastAsia="Arial" w:hAnsi="Arial"/>
                <w:sz w:val="18"/>
                <w:szCs w:val="18"/>
                <w:color w:val="auto"/>
              </w:rPr>
              <w:t>7,898</w:t>
            </w:r>
          </w:p>
        </w:tc>
        <w:tc>
          <w:tcPr>
            <w:tcW w:w="220" w:type="dxa"/>
            <w:vAlign w:val="bottom"/>
          </w:tcPr>
          <w:p>
            <w:pPr>
              <w:spacing w:after="0"/>
              <w:rPr>
                <w:sz w:val="17"/>
                <w:szCs w:val="17"/>
                <w:color w:val="auto"/>
              </w:rPr>
            </w:pPr>
          </w:p>
        </w:tc>
        <w:tc>
          <w:tcPr>
            <w:tcW w:w="560" w:type="dxa"/>
            <w:vAlign w:val="bottom"/>
            <w:gridSpan w:val="2"/>
          </w:tcPr>
          <w:p>
            <w:pPr>
              <w:jc w:val="right"/>
              <w:ind w:right="20"/>
              <w:spacing w:after="0" w:line="203" w:lineRule="exact"/>
              <w:rPr>
                <w:sz w:val="20"/>
                <w:szCs w:val="20"/>
                <w:color w:val="auto"/>
              </w:rPr>
            </w:pPr>
            <w:r>
              <w:rPr>
                <w:rFonts w:ascii="Arial" w:cs="Arial" w:eastAsia="Arial" w:hAnsi="Arial"/>
                <w:sz w:val="18"/>
                <w:szCs w:val="18"/>
                <w:color w:val="auto"/>
              </w:rPr>
              <w:t>24%</w:t>
            </w:r>
          </w:p>
        </w:tc>
      </w:tr>
      <w:tr>
        <w:trPr>
          <w:trHeight w:val="216"/>
        </w:trPr>
        <w:tc>
          <w:tcPr>
            <w:tcW w:w="2680" w:type="dxa"/>
            <w:vAlign w:val="bottom"/>
            <w:shd w:val="clear" w:color="auto" w:fill="CFF0FC"/>
          </w:tcPr>
          <w:p>
            <w:pPr>
              <w:spacing w:after="0"/>
              <w:rPr>
                <w:sz w:val="20"/>
                <w:szCs w:val="20"/>
                <w:color w:val="auto"/>
              </w:rPr>
            </w:pPr>
            <w:r>
              <w:rPr>
                <w:rFonts w:ascii="Arial" w:cs="Arial" w:eastAsia="Arial" w:hAnsi="Arial"/>
                <w:sz w:val="18"/>
                <w:szCs w:val="18"/>
                <w:color w:val="auto"/>
              </w:rPr>
              <w:t>Professional services</w:t>
            </w:r>
          </w:p>
        </w:tc>
        <w:tc>
          <w:tcPr>
            <w:tcW w:w="660" w:type="dxa"/>
            <w:vAlign w:val="bottom"/>
            <w:shd w:val="clear" w:color="auto" w:fill="CFF0FC"/>
          </w:tcPr>
          <w:p>
            <w:pPr>
              <w:spacing w:after="0"/>
              <w:rPr>
                <w:sz w:val="18"/>
                <w:szCs w:val="18"/>
                <w:color w:val="auto"/>
              </w:rPr>
            </w:pPr>
          </w:p>
        </w:tc>
        <w:tc>
          <w:tcPr>
            <w:tcW w:w="120" w:type="dxa"/>
            <w:vAlign w:val="bottom"/>
            <w:tcBorders>
              <w:bottom w:val="single" w:sz="8" w:color="auto"/>
            </w:tcBorders>
            <w:shd w:val="clear" w:color="auto" w:fill="CFF0FC"/>
          </w:tcPr>
          <w:p>
            <w:pPr>
              <w:spacing w:after="0"/>
              <w:rPr>
                <w:sz w:val="18"/>
                <w:szCs w:val="18"/>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14,007</w:t>
            </w:r>
          </w:p>
        </w:tc>
        <w:tc>
          <w:tcPr>
            <w:tcW w:w="22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200" w:type="dxa"/>
            <w:vAlign w:val="bottom"/>
            <w:tcBorders>
              <w:bottom w:val="single" w:sz="8" w:color="auto"/>
            </w:tcBorders>
            <w:shd w:val="clear" w:color="auto" w:fill="CFF0FC"/>
          </w:tcPr>
          <w:p>
            <w:pPr>
              <w:spacing w:after="0"/>
              <w:rPr>
                <w:sz w:val="18"/>
                <w:szCs w:val="18"/>
                <w:color w:val="auto"/>
              </w:rPr>
            </w:pPr>
          </w:p>
        </w:tc>
        <w:tc>
          <w:tcPr>
            <w:tcW w:w="7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9,446</w:t>
            </w:r>
          </w:p>
        </w:tc>
        <w:tc>
          <w:tcPr>
            <w:tcW w:w="260" w:type="dxa"/>
            <w:vAlign w:val="bottom"/>
            <w:shd w:val="clear" w:color="auto" w:fill="CFF0FC"/>
          </w:tcPr>
          <w:p>
            <w:pPr>
              <w:spacing w:after="0"/>
              <w:rPr>
                <w:sz w:val="18"/>
                <w:szCs w:val="18"/>
                <w:color w:val="auto"/>
              </w:rPr>
            </w:pPr>
          </w:p>
        </w:tc>
        <w:tc>
          <w:tcPr>
            <w:tcW w:w="260" w:type="dxa"/>
            <w:vAlign w:val="bottom"/>
            <w:tcBorders>
              <w:bottom w:val="single" w:sz="8" w:color="auto"/>
            </w:tcBorders>
            <w:shd w:val="clear" w:color="auto" w:fill="CFF0FC"/>
          </w:tcPr>
          <w:p>
            <w:pPr>
              <w:spacing w:after="0"/>
              <w:rPr>
                <w:sz w:val="18"/>
                <w:szCs w:val="18"/>
                <w:color w:val="auto"/>
              </w:rPr>
            </w:pPr>
          </w:p>
        </w:tc>
        <w:tc>
          <w:tcPr>
            <w:tcW w:w="620" w:type="dxa"/>
            <w:vAlign w:val="bottom"/>
            <w:tcBorders>
              <w:bottom w:val="single" w:sz="8" w:color="auto"/>
            </w:tcBorders>
            <w:shd w:val="clear" w:color="auto" w:fill="CFF0FC"/>
          </w:tcPr>
          <w:p>
            <w:pPr>
              <w:ind w:left="160"/>
              <w:spacing w:after="0"/>
              <w:rPr>
                <w:sz w:val="20"/>
                <w:szCs w:val="20"/>
                <w:color w:val="auto"/>
              </w:rPr>
            </w:pPr>
            <w:r>
              <w:rPr>
                <w:rFonts w:ascii="Arial" w:cs="Arial" w:eastAsia="Arial" w:hAnsi="Arial"/>
                <w:sz w:val="18"/>
                <w:szCs w:val="18"/>
                <w:color w:val="auto"/>
                <w:w w:val="97"/>
              </w:rPr>
              <w:t>4,561</w:t>
            </w:r>
          </w:p>
        </w:tc>
        <w:tc>
          <w:tcPr>
            <w:tcW w:w="240" w:type="dxa"/>
            <w:vAlign w:val="bottom"/>
            <w:shd w:val="clear" w:color="auto" w:fill="CFF0FC"/>
          </w:tcPr>
          <w:p>
            <w:pPr>
              <w:spacing w:after="0"/>
              <w:rPr>
                <w:sz w:val="18"/>
                <w:szCs w:val="18"/>
                <w:color w:val="auto"/>
              </w:rPr>
            </w:pPr>
          </w:p>
        </w:tc>
        <w:tc>
          <w:tcPr>
            <w:tcW w:w="58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48%</w:t>
            </w:r>
          </w:p>
        </w:tc>
        <w:tc>
          <w:tcPr>
            <w:tcW w:w="60" w:type="dxa"/>
            <w:vAlign w:val="bottom"/>
            <w:shd w:val="clear" w:color="auto" w:fill="CFF0FC"/>
          </w:tcPr>
          <w:p>
            <w:pPr>
              <w:spacing w:after="0"/>
              <w:rPr>
                <w:sz w:val="18"/>
                <w:szCs w:val="18"/>
                <w:color w:val="auto"/>
              </w:rPr>
            </w:pPr>
          </w:p>
        </w:tc>
        <w:tc>
          <w:tcPr>
            <w:tcW w:w="120" w:type="dxa"/>
            <w:vAlign w:val="bottom"/>
            <w:tcBorders>
              <w:bottom w:val="single" w:sz="8" w:color="auto"/>
            </w:tcBorders>
            <w:shd w:val="clear" w:color="auto" w:fill="CFF0FC"/>
          </w:tcPr>
          <w:p>
            <w:pPr>
              <w:spacing w:after="0"/>
              <w:rPr>
                <w:sz w:val="18"/>
                <w:szCs w:val="18"/>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9,446</w:t>
            </w:r>
          </w:p>
        </w:tc>
        <w:tc>
          <w:tcPr>
            <w:tcW w:w="22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200" w:type="dxa"/>
            <w:vAlign w:val="bottom"/>
            <w:tcBorders>
              <w:bottom w:val="single" w:sz="8" w:color="auto"/>
            </w:tcBorders>
            <w:shd w:val="clear" w:color="auto" w:fill="CFF0FC"/>
          </w:tcPr>
          <w:p>
            <w:pPr>
              <w:spacing w:after="0"/>
              <w:rPr>
                <w:sz w:val="18"/>
                <w:szCs w:val="18"/>
                <w:color w:val="auto"/>
              </w:rPr>
            </w:pPr>
          </w:p>
        </w:tc>
        <w:tc>
          <w:tcPr>
            <w:tcW w:w="7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7,855</w:t>
            </w:r>
          </w:p>
        </w:tc>
        <w:tc>
          <w:tcPr>
            <w:tcW w:w="260" w:type="dxa"/>
            <w:vAlign w:val="bottom"/>
            <w:shd w:val="clear" w:color="auto" w:fill="CFF0FC"/>
          </w:tcPr>
          <w:p>
            <w:pPr>
              <w:spacing w:after="0"/>
              <w:rPr>
                <w:sz w:val="18"/>
                <w:szCs w:val="18"/>
                <w:color w:val="auto"/>
              </w:rPr>
            </w:pPr>
          </w:p>
        </w:tc>
        <w:tc>
          <w:tcPr>
            <w:tcW w:w="260" w:type="dxa"/>
            <w:vAlign w:val="bottom"/>
            <w:tcBorders>
              <w:bottom w:val="single" w:sz="8" w:color="auto"/>
            </w:tcBorders>
            <w:shd w:val="clear" w:color="auto" w:fill="CFF0FC"/>
          </w:tcPr>
          <w:p>
            <w:pPr>
              <w:spacing w:after="0"/>
              <w:rPr>
                <w:sz w:val="18"/>
                <w:szCs w:val="18"/>
                <w:color w:val="auto"/>
              </w:rPr>
            </w:pPr>
          </w:p>
        </w:tc>
        <w:tc>
          <w:tcPr>
            <w:tcW w:w="6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1,591</w:t>
            </w:r>
          </w:p>
        </w:tc>
        <w:tc>
          <w:tcPr>
            <w:tcW w:w="220" w:type="dxa"/>
            <w:vAlign w:val="bottom"/>
            <w:shd w:val="clear" w:color="auto" w:fill="CFF0FC"/>
          </w:tcPr>
          <w:p>
            <w:pPr>
              <w:spacing w:after="0"/>
              <w:rPr>
                <w:sz w:val="18"/>
                <w:szCs w:val="18"/>
                <w:color w:val="auto"/>
              </w:rPr>
            </w:pPr>
          </w:p>
        </w:tc>
        <w:tc>
          <w:tcPr>
            <w:tcW w:w="56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20%</w:t>
            </w:r>
          </w:p>
        </w:tc>
      </w:tr>
      <w:tr>
        <w:trPr>
          <w:trHeight w:val="250"/>
        </w:trPr>
        <w:tc>
          <w:tcPr>
            <w:tcW w:w="2680" w:type="dxa"/>
            <w:vAlign w:val="bottom"/>
            <w:tcBorders>
              <w:bottom w:val="single" w:sz="8" w:color="CFF0FC"/>
            </w:tcBorders>
          </w:tcPr>
          <w:p>
            <w:pPr>
              <w:ind w:left="140"/>
              <w:spacing w:after="0"/>
              <w:rPr>
                <w:sz w:val="20"/>
                <w:szCs w:val="20"/>
                <w:color w:val="auto"/>
              </w:rPr>
            </w:pPr>
            <w:r>
              <w:rPr>
                <w:rFonts w:ascii="Arial" w:cs="Arial" w:eastAsia="Arial" w:hAnsi="Arial"/>
                <w:sz w:val="18"/>
                <w:szCs w:val="18"/>
                <w:color w:val="auto"/>
              </w:rPr>
              <w:t>Total cost of revenues</w:t>
            </w:r>
          </w:p>
        </w:tc>
        <w:tc>
          <w:tcPr>
            <w:tcW w:w="660" w:type="dxa"/>
            <w:vAlign w:val="bottom"/>
            <w:tcBorders>
              <w:bottom w:val="single" w:sz="8" w:color="CFF0FC"/>
            </w:tcBorders>
          </w:tcPr>
          <w:p>
            <w:pPr>
              <w:spacing w:after="0"/>
              <w:rPr>
                <w:sz w:val="21"/>
                <w:szCs w:val="21"/>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58,975</w:t>
            </w:r>
          </w:p>
        </w:tc>
        <w:tc>
          <w:tcPr>
            <w:tcW w:w="220" w:type="dxa"/>
            <w:vAlign w:val="bottom"/>
            <w:tcBorders>
              <w:bottom w:val="single" w:sz="8" w:color="CFF0FC"/>
            </w:tcBorders>
          </w:tcPr>
          <w:p>
            <w:pPr>
              <w:spacing w:after="0"/>
              <w:rPr>
                <w:sz w:val="21"/>
                <w:szCs w:val="21"/>
                <w:color w:val="auto"/>
              </w:rPr>
            </w:pPr>
          </w:p>
        </w:tc>
        <w:tc>
          <w:tcPr>
            <w:tcW w:w="40" w:type="dxa"/>
            <w:vAlign w:val="bottom"/>
            <w:tcBorders>
              <w:bottom w:val="single" w:sz="8" w:color="CFF0FC"/>
            </w:tcBorders>
          </w:tcPr>
          <w:p>
            <w:pPr>
              <w:spacing w:after="0"/>
              <w:rPr>
                <w:sz w:val="21"/>
                <w:szCs w:val="21"/>
                <w:color w:val="auto"/>
              </w:rPr>
            </w:pP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50,874</w:t>
            </w:r>
          </w:p>
        </w:tc>
        <w:tc>
          <w:tcPr>
            <w:tcW w:w="260" w:type="dxa"/>
            <w:vAlign w:val="bottom"/>
            <w:tcBorders>
              <w:bottom w:val="single" w:sz="8" w:color="CFF0FC"/>
            </w:tcBorders>
          </w:tcPr>
          <w:p>
            <w:pPr>
              <w:spacing w:after="0"/>
              <w:rPr>
                <w:sz w:val="21"/>
                <w:szCs w:val="21"/>
                <w:color w:val="auto"/>
              </w:rPr>
            </w:pPr>
          </w:p>
        </w:tc>
        <w:tc>
          <w:tcPr>
            <w:tcW w:w="2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620" w:type="dxa"/>
            <w:vAlign w:val="bottom"/>
            <w:tcBorders>
              <w:bottom w:val="single" w:sz="8" w:color="auto"/>
            </w:tcBorders>
          </w:tcPr>
          <w:p>
            <w:pPr>
              <w:ind w:left="160"/>
              <w:spacing w:after="0"/>
              <w:rPr>
                <w:sz w:val="20"/>
                <w:szCs w:val="20"/>
                <w:color w:val="auto"/>
              </w:rPr>
            </w:pPr>
            <w:r>
              <w:rPr>
                <w:rFonts w:ascii="Arial" w:cs="Arial" w:eastAsia="Arial" w:hAnsi="Arial"/>
                <w:sz w:val="18"/>
                <w:szCs w:val="18"/>
                <w:color w:val="auto"/>
                <w:w w:val="97"/>
              </w:rPr>
              <w:t>8,101</w:t>
            </w:r>
          </w:p>
        </w:tc>
        <w:tc>
          <w:tcPr>
            <w:tcW w:w="240" w:type="dxa"/>
            <w:vAlign w:val="bottom"/>
            <w:tcBorders>
              <w:bottom w:val="single" w:sz="8" w:color="CFF0FC"/>
            </w:tcBorders>
          </w:tcPr>
          <w:p>
            <w:pPr>
              <w:spacing w:after="0"/>
              <w:rPr>
                <w:sz w:val="21"/>
                <w:szCs w:val="21"/>
                <w:color w:val="auto"/>
              </w:rPr>
            </w:pPr>
          </w:p>
        </w:tc>
        <w:tc>
          <w:tcPr>
            <w:tcW w:w="580" w:type="dxa"/>
            <w:vAlign w:val="bottom"/>
            <w:tcBorders>
              <w:bottom w:val="single" w:sz="8" w:color="CFF0FC"/>
            </w:tcBorders>
            <w:gridSpan w:val="2"/>
          </w:tcPr>
          <w:p>
            <w:pPr>
              <w:jc w:val="right"/>
              <w:ind w:right="40"/>
              <w:spacing w:after="0"/>
              <w:rPr>
                <w:sz w:val="20"/>
                <w:szCs w:val="20"/>
                <w:color w:val="auto"/>
              </w:rPr>
            </w:pPr>
            <w:r>
              <w:rPr>
                <w:rFonts w:ascii="Arial" w:cs="Arial" w:eastAsia="Arial" w:hAnsi="Arial"/>
                <w:sz w:val="18"/>
                <w:szCs w:val="18"/>
                <w:color w:val="auto"/>
              </w:rPr>
              <w:t>16%</w:t>
            </w:r>
          </w:p>
        </w:tc>
        <w:tc>
          <w:tcPr>
            <w:tcW w:w="60" w:type="dxa"/>
            <w:vAlign w:val="bottom"/>
            <w:tcBorders>
              <w:bottom w:val="single" w:sz="8" w:color="CFF0FC"/>
            </w:tcBorders>
          </w:tcPr>
          <w:p>
            <w:pPr>
              <w:spacing w:after="0"/>
              <w:rPr>
                <w:sz w:val="21"/>
                <w:szCs w:val="21"/>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50,874</w:t>
            </w:r>
          </w:p>
        </w:tc>
        <w:tc>
          <w:tcPr>
            <w:tcW w:w="220" w:type="dxa"/>
            <w:vAlign w:val="bottom"/>
            <w:tcBorders>
              <w:bottom w:val="single" w:sz="8" w:color="CFF0FC"/>
            </w:tcBorders>
          </w:tcPr>
          <w:p>
            <w:pPr>
              <w:spacing w:after="0"/>
              <w:rPr>
                <w:sz w:val="21"/>
                <w:szCs w:val="21"/>
                <w:color w:val="auto"/>
              </w:rPr>
            </w:pPr>
          </w:p>
        </w:tc>
        <w:tc>
          <w:tcPr>
            <w:tcW w:w="40" w:type="dxa"/>
            <w:vAlign w:val="bottom"/>
            <w:tcBorders>
              <w:bottom w:val="single" w:sz="8" w:color="CFF0FC"/>
            </w:tcBorders>
          </w:tcPr>
          <w:p>
            <w:pPr>
              <w:spacing w:after="0"/>
              <w:rPr>
                <w:sz w:val="21"/>
                <w:szCs w:val="21"/>
                <w:color w:val="auto"/>
              </w:rPr>
            </w:pP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41,385</w:t>
            </w:r>
          </w:p>
        </w:tc>
        <w:tc>
          <w:tcPr>
            <w:tcW w:w="260" w:type="dxa"/>
            <w:vAlign w:val="bottom"/>
            <w:tcBorders>
              <w:bottom w:val="single" w:sz="8" w:color="CFF0FC"/>
            </w:tcBorders>
          </w:tcPr>
          <w:p>
            <w:pPr>
              <w:spacing w:after="0"/>
              <w:rPr>
                <w:sz w:val="21"/>
                <w:szCs w:val="21"/>
                <w:color w:val="auto"/>
              </w:rPr>
            </w:pPr>
          </w:p>
        </w:tc>
        <w:tc>
          <w:tcPr>
            <w:tcW w:w="2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9,489</w:t>
            </w:r>
          </w:p>
        </w:tc>
        <w:tc>
          <w:tcPr>
            <w:tcW w:w="220" w:type="dxa"/>
            <w:vAlign w:val="bottom"/>
            <w:tcBorders>
              <w:bottom w:val="single" w:sz="8" w:color="CFF0FC"/>
            </w:tcBorders>
          </w:tcPr>
          <w:p>
            <w:pPr>
              <w:spacing w:after="0"/>
              <w:rPr>
                <w:sz w:val="21"/>
                <w:szCs w:val="21"/>
                <w:color w:val="auto"/>
              </w:rPr>
            </w:pPr>
          </w:p>
        </w:tc>
        <w:tc>
          <w:tcPr>
            <w:tcW w:w="560" w:type="dxa"/>
            <w:vAlign w:val="bottom"/>
            <w:tcBorders>
              <w:bottom w:val="single" w:sz="8" w:color="CFF0FC"/>
            </w:tcBorders>
            <w:gridSpan w:val="2"/>
          </w:tcPr>
          <w:p>
            <w:pPr>
              <w:jc w:val="right"/>
              <w:ind w:right="20"/>
              <w:spacing w:after="0"/>
              <w:rPr>
                <w:sz w:val="20"/>
                <w:szCs w:val="20"/>
                <w:color w:val="auto"/>
              </w:rPr>
            </w:pPr>
            <w:r>
              <w:rPr>
                <w:rFonts w:ascii="Arial" w:cs="Arial" w:eastAsia="Arial" w:hAnsi="Arial"/>
                <w:sz w:val="18"/>
                <w:szCs w:val="18"/>
                <w:color w:val="auto"/>
              </w:rPr>
              <w:t>23%</w:t>
            </w:r>
          </w:p>
        </w:tc>
      </w:tr>
      <w:tr>
        <w:trPr>
          <w:trHeight w:val="197"/>
        </w:trPr>
        <w:tc>
          <w:tcPr>
            <w:tcW w:w="2680" w:type="dxa"/>
            <w:vAlign w:val="bottom"/>
            <w:shd w:val="clear" w:color="auto" w:fill="CFF0FC"/>
          </w:tcPr>
          <w:p>
            <w:pPr>
              <w:ind w:left="140"/>
              <w:spacing w:after="0" w:line="196" w:lineRule="exact"/>
              <w:rPr>
                <w:sz w:val="20"/>
                <w:szCs w:val="20"/>
                <w:color w:val="auto"/>
              </w:rPr>
            </w:pPr>
            <w:r>
              <w:rPr>
                <w:rFonts w:ascii="Arial" w:cs="Arial" w:eastAsia="Arial" w:hAnsi="Arial"/>
                <w:sz w:val="18"/>
                <w:szCs w:val="18"/>
                <w:color w:val="auto"/>
              </w:rPr>
              <w:t>Gross margin</w:t>
            </w:r>
          </w:p>
        </w:tc>
        <w:tc>
          <w:tcPr>
            <w:tcW w:w="6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000" w:type="dxa"/>
            <w:vAlign w:val="bottom"/>
            <w:gridSpan w:val="2"/>
            <w:shd w:val="clear" w:color="auto" w:fill="CFF0FC"/>
          </w:tcPr>
          <w:p>
            <w:pPr>
              <w:jc w:val="right"/>
              <w:ind w:right="60"/>
              <w:spacing w:after="0" w:line="196" w:lineRule="exact"/>
              <w:rPr>
                <w:sz w:val="20"/>
                <w:szCs w:val="20"/>
                <w:color w:val="auto"/>
              </w:rPr>
            </w:pPr>
            <w:r>
              <w:rPr>
                <w:rFonts w:ascii="Arial" w:cs="Arial" w:eastAsia="Arial" w:hAnsi="Arial"/>
                <w:sz w:val="18"/>
                <w:szCs w:val="18"/>
                <w:color w:val="auto"/>
              </w:rPr>
              <w:t>79.6%</w:t>
            </w:r>
          </w:p>
        </w:tc>
        <w:tc>
          <w:tcPr>
            <w:tcW w:w="4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960" w:type="dxa"/>
            <w:vAlign w:val="bottom"/>
            <w:gridSpan w:val="2"/>
            <w:shd w:val="clear" w:color="auto" w:fill="CFF0FC"/>
          </w:tcPr>
          <w:p>
            <w:pPr>
              <w:jc w:val="right"/>
              <w:ind w:right="100"/>
              <w:spacing w:after="0" w:line="196" w:lineRule="exact"/>
              <w:rPr>
                <w:sz w:val="20"/>
                <w:szCs w:val="20"/>
                <w:color w:val="auto"/>
              </w:rPr>
            </w:pPr>
            <w:r>
              <w:rPr>
                <w:rFonts w:ascii="Arial" w:cs="Arial" w:eastAsia="Arial" w:hAnsi="Arial"/>
                <w:sz w:val="18"/>
                <w:szCs w:val="18"/>
                <w:color w:val="auto"/>
              </w:rPr>
              <w:t>77.7%</w:t>
            </w:r>
          </w:p>
        </w:tc>
        <w:tc>
          <w:tcPr>
            <w:tcW w:w="260" w:type="dxa"/>
            <w:vAlign w:val="bottom"/>
            <w:shd w:val="clear" w:color="auto" w:fill="CFF0FC"/>
          </w:tcPr>
          <w:p>
            <w:pPr>
              <w:spacing w:after="0"/>
              <w:rPr>
                <w:sz w:val="17"/>
                <w:szCs w:val="17"/>
                <w:color w:val="auto"/>
              </w:rPr>
            </w:pPr>
          </w:p>
        </w:tc>
        <w:tc>
          <w:tcPr>
            <w:tcW w:w="62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38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000" w:type="dxa"/>
            <w:vAlign w:val="bottom"/>
            <w:gridSpan w:val="2"/>
            <w:shd w:val="clear" w:color="auto" w:fill="CFF0FC"/>
          </w:tcPr>
          <w:p>
            <w:pPr>
              <w:jc w:val="right"/>
              <w:ind w:right="60"/>
              <w:spacing w:after="0" w:line="196" w:lineRule="exact"/>
              <w:rPr>
                <w:sz w:val="20"/>
                <w:szCs w:val="20"/>
                <w:color w:val="auto"/>
              </w:rPr>
            </w:pPr>
            <w:r>
              <w:rPr>
                <w:rFonts w:ascii="Arial" w:cs="Arial" w:eastAsia="Arial" w:hAnsi="Arial"/>
                <w:sz w:val="18"/>
                <w:szCs w:val="18"/>
                <w:color w:val="auto"/>
              </w:rPr>
              <w:t>77.7%</w:t>
            </w:r>
          </w:p>
        </w:tc>
        <w:tc>
          <w:tcPr>
            <w:tcW w:w="4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960" w:type="dxa"/>
            <w:vAlign w:val="bottom"/>
            <w:gridSpan w:val="2"/>
            <w:shd w:val="clear" w:color="auto" w:fill="CFF0FC"/>
          </w:tcPr>
          <w:p>
            <w:pPr>
              <w:jc w:val="right"/>
              <w:ind w:right="100"/>
              <w:spacing w:after="0" w:line="196" w:lineRule="exact"/>
              <w:rPr>
                <w:sz w:val="20"/>
                <w:szCs w:val="20"/>
                <w:color w:val="auto"/>
              </w:rPr>
            </w:pPr>
            <w:r>
              <w:rPr>
                <w:rFonts w:ascii="Arial" w:cs="Arial" w:eastAsia="Arial" w:hAnsi="Arial"/>
                <w:sz w:val="18"/>
                <w:szCs w:val="18"/>
                <w:color w:val="auto"/>
              </w:rPr>
              <w:t>76.4%</w:t>
            </w:r>
          </w:p>
        </w:tc>
        <w:tc>
          <w:tcPr>
            <w:tcW w:w="260" w:type="dxa"/>
            <w:vAlign w:val="bottom"/>
            <w:shd w:val="clear" w:color="auto" w:fill="CFF0FC"/>
          </w:tcPr>
          <w:p>
            <w:pPr>
              <w:spacing w:after="0"/>
              <w:rPr>
                <w:sz w:val="17"/>
                <w:szCs w:val="17"/>
                <w:color w:val="auto"/>
              </w:rPr>
            </w:pPr>
          </w:p>
        </w:tc>
        <w:tc>
          <w:tcPr>
            <w:tcW w:w="64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38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r>
    </w:tbl>
    <w:p>
      <w:pPr>
        <w:spacing w:after="0" w:line="215" w:lineRule="exact"/>
        <w:rPr>
          <w:sz w:val="20"/>
          <w:szCs w:val="20"/>
          <w:color w:val="auto"/>
        </w:rPr>
      </w:pPr>
    </w:p>
    <w:p>
      <w:pPr>
        <w:ind w:right="20" w:firstLine="518"/>
        <w:spacing w:after="0" w:line="236" w:lineRule="auto"/>
        <w:rPr>
          <w:sz w:val="20"/>
          <w:szCs w:val="20"/>
          <w:color w:val="auto"/>
        </w:rPr>
      </w:pPr>
      <w:r>
        <w:rPr>
          <w:rFonts w:ascii="Arial" w:cs="Arial" w:eastAsia="Arial" w:hAnsi="Arial"/>
          <w:sz w:val="18"/>
          <w:szCs w:val="18"/>
          <w:color w:val="auto"/>
        </w:rPr>
        <w:t>The increase in cost of revenues for the year ended December 31, 2019, compared to the year ended December 31, 2018, was primarily due to a $4.3 million increase in salaries, benefits, and stock-based compensation; a $2.4 million increase in computer software expenses; a $0.8 million increase in amortization of developed technology; a $0.6 million increase in professional services expense; and a $0.6 million increase in travel-related costs. These increases were partially offset by a $1.0 million decrease in depreciation and amortization. The increase in salaries, benefits, and stock-based compensation was primarily driven by a 24% increase in average cost of revenues-related headcount from the year ended December 31, 2018 to the year ended December 31, 2019. Computer software expenses increased due to expanded technology infrastructure to support sales growth. Amortization of our capitalized software development costs increased due to larger total capitalized costs as we expanded the functionality of our solutions. Travel-related costs increased due to increased customer implementations associated with customer growth. Depreciation and amortization expense decreased primarily due to a decrease of amortization relating to developed technology from the 2013 Acquisition, which became fully amortized in the quarter ended September 30, 2019.</w:t>
      </w:r>
    </w:p>
    <w:p>
      <w:pPr>
        <w:spacing w:after="0" w:line="207" w:lineRule="exact"/>
        <w:rPr>
          <w:sz w:val="20"/>
          <w:szCs w:val="20"/>
          <w:color w:val="auto"/>
        </w:rPr>
      </w:pPr>
    </w:p>
    <w:p>
      <w:pPr>
        <w:ind w:firstLine="518"/>
        <w:spacing w:after="0" w:line="236" w:lineRule="auto"/>
        <w:rPr>
          <w:sz w:val="20"/>
          <w:szCs w:val="20"/>
          <w:color w:val="auto"/>
        </w:rPr>
      </w:pPr>
      <w:r>
        <w:rPr>
          <w:rFonts w:ascii="Arial" w:cs="Arial" w:eastAsia="Arial" w:hAnsi="Arial"/>
          <w:sz w:val="18"/>
          <w:szCs w:val="18"/>
          <w:color w:val="auto"/>
        </w:rPr>
        <w:t>The increase in cost of revenues for the year ended December 31, 2018, compared to the year ended December 31, 2017, was primarily due to a $4.6 million increase in salaries, benefits, and stock-based compensation; a $1.2 million increase in amortization of developed technology; a $1.1 million increase in computer software expenses; a $1.0 million increase in depreciation and amortization; a $0.5 million increase in travel-related costs; a $0.4 million increase in overhead-related expenses; a $0.3 million increase in data center-related costs; and a $0.3 million increase in professional services expense. The increase in salaries, benefits, and stock-based compensation was primarily driven by a 13% increase in average cost of revenues-related headcount from the year ended December 31, 2017 to the year ended December 31, 2018. Amortization of our capitalized software development costs increased due to larger total capitalized costs as we expanded the functionality of our solutions. Computer software expenses increased due to expanded technology infrastructure to support sales growth. Depreciation and amortization expense increased due to an increase in capital expenditures related to improving customer application performance and to improve customer support levels. Travel-related costs increased due to increased customer implementations due to customer growth.</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2720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599" w:right="239" w:bottom="1440" w:gutter="0" w:footer="0" w:header="0"/>
        </w:sectPr>
      </w:pPr>
    </w:p>
    <w:bookmarkStart w:id="45" w:name="page46"/>
    <w:bookmarkEnd w:id="45"/>
    <w:p>
      <w:pPr>
        <w:spacing w:after="0"/>
        <w:rPr>
          <w:sz w:val="20"/>
          <w:szCs w:val="20"/>
          <w:color w:val="auto"/>
        </w:rPr>
      </w:pPr>
      <w:r>
        <w:rPr>
          <w:rFonts w:ascii="Arial" w:cs="Arial" w:eastAsia="Arial" w:hAnsi="Arial"/>
          <w:sz w:val="18"/>
          <w:szCs w:val="18"/>
          <w:b w:val="1"/>
          <w:bCs w:val="1"/>
          <w:i w:val="1"/>
          <w:iCs w:val="1"/>
          <w:color w:val="auto"/>
        </w:rPr>
        <w:t>Sales and marketing</w:t>
      </w:r>
    </w:p>
    <w:p>
      <w:pPr>
        <w:spacing w:after="0" w:line="262"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27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2060" w:type="dxa"/>
            <w:vAlign w:val="bottom"/>
            <w:tcBorders>
              <w:bottom w:val="single" w:sz="8" w:color="auto"/>
            </w:tcBorders>
            <w:gridSpan w:val="2"/>
          </w:tcPr>
          <w:p>
            <w:pPr>
              <w:jc w:val="right"/>
              <w:ind w:right="76"/>
              <w:spacing w:after="0"/>
              <w:rPr>
                <w:sz w:val="20"/>
                <w:szCs w:val="20"/>
                <w:color w:val="auto"/>
              </w:rPr>
            </w:pPr>
            <w:r>
              <w:rPr>
                <w:rFonts w:ascii="Arial" w:cs="Arial" w:eastAsia="Arial" w:hAnsi="Arial"/>
                <w:sz w:val="14"/>
                <w:szCs w:val="14"/>
                <w:b w:val="1"/>
                <w:bCs w:val="1"/>
                <w:color w:val="auto"/>
              </w:rPr>
              <w:t>Year Ended December 31,</w:t>
            </w:r>
          </w:p>
        </w:tc>
        <w:tc>
          <w:tcPr>
            <w:tcW w:w="30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ind w:right="24"/>
              <w:spacing w:after="0"/>
              <w:rPr>
                <w:sz w:val="20"/>
                <w:szCs w:val="20"/>
                <w:color w:val="auto"/>
              </w:rPr>
            </w:pPr>
            <w:r>
              <w:rPr>
                <w:rFonts w:ascii="Arial" w:cs="Arial" w:eastAsia="Arial" w:hAnsi="Arial"/>
                <w:sz w:val="14"/>
                <w:szCs w:val="14"/>
                <w:b w:val="1"/>
                <w:bCs w:val="1"/>
                <w:color w:val="auto"/>
              </w:rPr>
              <w:t>Change</w:t>
            </w:r>
          </w:p>
        </w:tc>
        <w:tc>
          <w:tcPr>
            <w:tcW w:w="400" w:type="dxa"/>
            <w:vAlign w:val="bottom"/>
            <w:tcBorders>
              <w:bottom w:val="single" w:sz="8" w:color="auto"/>
            </w:tcBorders>
          </w:tcPr>
          <w:p>
            <w:pPr>
              <w:spacing w:after="0"/>
              <w:rPr>
                <w:sz w:val="15"/>
                <w:szCs w:val="15"/>
                <w:color w:val="auto"/>
              </w:rPr>
            </w:pPr>
          </w:p>
        </w:tc>
        <w:tc>
          <w:tcPr>
            <w:tcW w:w="28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940" w:type="dxa"/>
            <w:vAlign w:val="bottom"/>
            <w:tcBorders>
              <w:bottom w:val="single" w:sz="8" w:color="auto"/>
            </w:tcBorders>
            <w:gridSpan w:val="2"/>
          </w:tcPr>
          <w:p>
            <w:pPr>
              <w:jc w:val="right"/>
              <w:ind w:right="76"/>
              <w:spacing w:after="0"/>
              <w:rPr>
                <w:sz w:val="20"/>
                <w:szCs w:val="20"/>
                <w:color w:val="auto"/>
              </w:rPr>
            </w:pPr>
            <w:r>
              <w:rPr>
                <w:rFonts w:ascii="Arial" w:cs="Arial" w:eastAsia="Arial" w:hAnsi="Arial"/>
                <w:sz w:val="14"/>
                <w:szCs w:val="14"/>
                <w:b w:val="1"/>
                <w:bCs w:val="1"/>
                <w:color w:val="auto"/>
              </w:rPr>
              <w:t>Year Ended December 31,</w:t>
            </w:r>
          </w:p>
        </w:tc>
        <w:tc>
          <w:tcPr>
            <w:tcW w:w="28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ind w:right="22"/>
              <w:spacing w:after="0"/>
              <w:rPr>
                <w:sz w:val="20"/>
                <w:szCs w:val="20"/>
                <w:color w:val="auto"/>
              </w:rPr>
            </w:pPr>
            <w:r>
              <w:rPr>
                <w:rFonts w:ascii="Arial" w:cs="Arial" w:eastAsia="Arial" w:hAnsi="Arial"/>
                <w:sz w:val="14"/>
                <w:szCs w:val="14"/>
                <w:b w:val="1"/>
                <w:bCs w:val="1"/>
                <w:color w:val="auto"/>
              </w:rPr>
              <w:t>Change</w:t>
            </w:r>
          </w:p>
        </w:tc>
        <w:tc>
          <w:tcPr>
            <w:tcW w:w="380" w:type="dxa"/>
            <w:vAlign w:val="bottom"/>
            <w:tcBorders>
              <w:bottom w:val="single" w:sz="8" w:color="auto"/>
            </w:tcBorders>
          </w:tcPr>
          <w:p>
            <w:pPr>
              <w:spacing w:after="0"/>
              <w:rPr>
                <w:sz w:val="15"/>
                <w:szCs w:val="15"/>
                <w:color w:val="auto"/>
              </w:rPr>
            </w:pPr>
          </w:p>
        </w:tc>
        <w:tc>
          <w:tcPr>
            <w:tcW w:w="180" w:type="dxa"/>
            <w:vAlign w:val="bottom"/>
          </w:tcPr>
          <w:p>
            <w:pPr>
              <w:spacing w:after="0"/>
              <w:rPr>
                <w:sz w:val="15"/>
                <w:szCs w:val="15"/>
                <w:color w:val="auto"/>
              </w:rPr>
            </w:pPr>
          </w:p>
        </w:tc>
      </w:tr>
      <w:tr>
        <w:trPr>
          <w:trHeight w:val="210"/>
        </w:trPr>
        <w:tc>
          <w:tcPr>
            <w:tcW w:w="2780" w:type="dxa"/>
            <w:vAlign w:val="bottom"/>
          </w:tcPr>
          <w:p>
            <w:pPr>
              <w:spacing w:after="0"/>
              <w:rPr>
                <w:sz w:val="18"/>
                <w:szCs w:val="18"/>
                <w:color w:val="auto"/>
              </w:rPr>
            </w:pPr>
          </w:p>
        </w:tc>
        <w:tc>
          <w:tcPr>
            <w:tcW w:w="1600" w:type="dxa"/>
            <w:vAlign w:val="bottom"/>
            <w:gridSpan w:val="2"/>
          </w:tcPr>
          <w:p>
            <w:pPr>
              <w:jc w:val="right"/>
              <w:ind w:right="448"/>
              <w:spacing w:after="0"/>
              <w:rPr>
                <w:sz w:val="20"/>
                <w:szCs w:val="20"/>
                <w:color w:val="auto"/>
              </w:rPr>
            </w:pPr>
            <w:r>
              <w:rPr>
                <w:rFonts w:ascii="Arial" w:cs="Arial" w:eastAsia="Arial" w:hAnsi="Arial"/>
                <w:sz w:val="14"/>
                <w:szCs w:val="14"/>
                <w:b w:val="1"/>
                <w:bCs w:val="1"/>
                <w:color w:val="auto"/>
              </w:rPr>
              <w:t>2019</w:t>
            </w:r>
          </w:p>
        </w:tc>
        <w:tc>
          <w:tcPr>
            <w:tcW w:w="940" w:type="dxa"/>
            <w:vAlign w:val="bottom"/>
          </w:tcPr>
          <w:p>
            <w:pPr>
              <w:jc w:val="right"/>
              <w:ind w:right="196"/>
              <w:spacing w:after="0"/>
              <w:rPr>
                <w:sz w:val="20"/>
                <w:szCs w:val="20"/>
                <w:color w:val="auto"/>
              </w:rPr>
            </w:pPr>
            <w:r>
              <w:rPr>
                <w:rFonts w:ascii="Arial" w:cs="Arial" w:eastAsia="Arial" w:hAnsi="Arial"/>
                <w:sz w:val="14"/>
                <w:szCs w:val="14"/>
                <w:b w:val="1"/>
                <w:bCs w:val="1"/>
                <w:color w:val="auto"/>
              </w:rPr>
              <w:t>2018</w:t>
            </w: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jc w:val="right"/>
              <w:ind w:right="564"/>
              <w:spacing w:after="0"/>
              <w:rPr>
                <w:sz w:val="20"/>
                <w:szCs w:val="20"/>
                <w:color w:val="auto"/>
              </w:rPr>
            </w:pPr>
            <w:r>
              <w:rPr>
                <w:rFonts w:ascii="Arial" w:cs="Arial" w:eastAsia="Arial" w:hAnsi="Arial"/>
                <w:sz w:val="14"/>
                <w:szCs w:val="14"/>
                <w:b w:val="1"/>
                <w:bCs w:val="1"/>
                <w:color w:val="auto"/>
              </w:rPr>
              <w:t>$</w:t>
            </w:r>
          </w:p>
        </w:tc>
        <w:tc>
          <w:tcPr>
            <w:tcW w:w="400" w:type="dxa"/>
            <w:vAlign w:val="bottom"/>
          </w:tcPr>
          <w:p>
            <w:pPr>
              <w:jc w:val="right"/>
              <w:ind w:right="79"/>
              <w:spacing w:after="0"/>
              <w:rPr>
                <w:sz w:val="20"/>
                <w:szCs w:val="20"/>
                <w:color w:val="auto"/>
              </w:rPr>
            </w:pPr>
            <w:r>
              <w:rPr>
                <w:rFonts w:ascii="Arial" w:cs="Arial" w:eastAsia="Arial" w:hAnsi="Arial"/>
                <w:sz w:val="14"/>
                <w:szCs w:val="14"/>
                <w:b w:val="1"/>
                <w:bCs w:val="1"/>
                <w:color w:val="auto"/>
              </w:rPr>
              <w:t>%</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jc w:val="right"/>
              <w:ind w:right="439"/>
              <w:spacing w:after="0"/>
              <w:rPr>
                <w:sz w:val="20"/>
                <w:szCs w:val="20"/>
                <w:color w:val="auto"/>
              </w:rPr>
            </w:pPr>
            <w:r>
              <w:rPr>
                <w:rFonts w:ascii="Arial" w:cs="Arial" w:eastAsia="Arial" w:hAnsi="Arial"/>
                <w:sz w:val="14"/>
                <w:szCs w:val="14"/>
                <w:b w:val="1"/>
                <w:bCs w:val="1"/>
                <w:color w:val="auto"/>
              </w:rPr>
              <w:t>2018</w:t>
            </w:r>
          </w:p>
        </w:tc>
        <w:tc>
          <w:tcPr>
            <w:tcW w:w="940" w:type="dxa"/>
            <w:vAlign w:val="bottom"/>
          </w:tcPr>
          <w:p>
            <w:pPr>
              <w:jc w:val="right"/>
              <w:ind w:right="216"/>
              <w:spacing w:after="0"/>
              <w:rPr>
                <w:sz w:val="20"/>
                <w:szCs w:val="20"/>
                <w:color w:val="auto"/>
              </w:rPr>
            </w:pPr>
            <w:r>
              <w:rPr>
                <w:rFonts w:ascii="Arial" w:cs="Arial" w:eastAsia="Arial" w:hAnsi="Arial"/>
                <w:sz w:val="14"/>
                <w:szCs w:val="14"/>
                <w:b w:val="1"/>
                <w:bCs w:val="1"/>
                <w:color w:val="auto"/>
              </w:rPr>
              <w:t>2017</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jc w:val="right"/>
              <w:ind w:right="562"/>
              <w:spacing w:after="0"/>
              <w:rPr>
                <w:sz w:val="20"/>
                <w:szCs w:val="20"/>
                <w:color w:val="auto"/>
              </w:rPr>
            </w:pPr>
            <w:r>
              <w:rPr>
                <w:rFonts w:ascii="Arial" w:cs="Arial" w:eastAsia="Arial" w:hAnsi="Arial"/>
                <w:sz w:val="14"/>
                <w:szCs w:val="14"/>
                <w:b w:val="1"/>
                <w:bCs w:val="1"/>
                <w:color w:val="auto"/>
              </w:rPr>
              <w:t>$</w:t>
            </w:r>
          </w:p>
        </w:tc>
        <w:tc>
          <w:tcPr>
            <w:tcW w:w="380" w:type="dxa"/>
            <w:vAlign w:val="bottom"/>
          </w:tcPr>
          <w:p>
            <w:pPr>
              <w:jc w:val="right"/>
              <w:ind w:right="59"/>
              <w:spacing w:after="0"/>
              <w:rPr>
                <w:sz w:val="20"/>
                <w:szCs w:val="20"/>
                <w:color w:val="auto"/>
              </w:rPr>
            </w:pPr>
            <w:r>
              <w:rPr>
                <w:rFonts w:ascii="Arial" w:cs="Arial" w:eastAsia="Arial" w:hAnsi="Arial"/>
                <w:sz w:val="14"/>
                <w:szCs w:val="14"/>
                <w:b w:val="1"/>
                <w:bCs w:val="1"/>
                <w:color w:val="auto"/>
              </w:rPr>
              <w:t>%</w:t>
            </w:r>
          </w:p>
        </w:tc>
        <w:tc>
          <w:tcPr>
            <w:tcW w:w="180" w:type="dxa"/>
            <w:vAlign w:val="bottom"/>
          </w:tcPr>
          <w:p>
            <w:pPr>
              <w:spacing w:after="0"/>
              <w:rPr>
                <w:sz w:val="18"/>
                <w:szCs w:val="18"/>
                <w:color w:val="auto"/>
              </w:rPr>
            </w:pPr>
          </w:p>
        </w:tc>
      </w:tr>
      <w:tr>
        <w:trPr>
          <w:trHeight w:val="169"/>
        </w:trPr>
        <w:tc>
          <w:tcPr>
            <w:tcW w:w="27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120" w:type="dxa"/>
            <w:vAlign w:val="bottom"/>
            <w:tcBorders>
              <w:top w:val="single" w:sz="8" w:color="auto"/>
            </w:tcBorders>
          </w:tcPr>
          <w:p>
            <w:pPr>
              <w:spacing w:after="0"/>
              <w:rPr>
                <w:sz w:val="14"/>
                <w:szCs w:val="14"/>
                <w:color w:val="auto"/>
              </w:rPr>
            </w:pPr>
          </w:p>
        </w:tc>
        <w:tc>
          <w:tcPr>
            <w:tcW w:w="940" w:type="dxa"/>
            <w:vAlign w:val="bottom"/>
            <w:tcBorders>
              <w:top w:val="single" w:sz="8" w:color="auto"/>
            </w:tcBorders>
          </w:tcPr>
          <w:p>
            <w:pPr>
              <w:spacing w:after="0"/>
              <w:rPr>
                <w:sz w:val="14"/>
                <w:szCs w:val="14"/>
                <w:color w:val="auto"/>
              </w:rPr>
            </w:pPr>
          </w:p>
        </w:tc>
        <w:tc>
          <w:tcPr>
            <w:tcW w:w="300" w:type="dxa"/>
            <w:vAlign w:val="bottom"/>
            <w:tcBorders>
              <w:top w:val="single" w:sz="8" w:color="auto"/>
            </w:tcBorders>
          </w:tcPr>
          <w:p>
            <w:pPr>
              <w:spacing w:after="0"/>
              <w:rPr>
                <w:sz w:val="14"/>
                <w:szCs w:val="14"/>
                <w:color w:val="auto"/>
              </w:rPr>
            </w:pPr>
          </w:p>
        </w:tc>
        <w:tc>
          <w:tcPr>
            <w:tcW w:w="200" w:type="dxa"/>
            <w:vAlign w:val="bottom"/>
            <w:tcBorders>
              <w:top w:val="single" w:sz="8" w:color="auto"/>
            </w:tcBorders>
          </w:tcPr>
          <w:p>
            <w:pPr>
              <w:spacing w:after="0"/>
              <w:rPr>
                <w:sz w:val="14"/>
                <w:szCs w:val="14"/>
                <w:color w:val="auto"/>
              </w:rPr>
            </w:pPr>
          </w:p>
        </w:tc>
        <w:tc>
          <w:tcPr>
            <w:tcW w:w="2700" w:type="dxa"/>
            <w:vAlign w:val="bottom"/>
            <w:tcBorders>
              <w:top w:val="single" w:sz="8" w:color="auto"/>
            </w:tcBorders>
            <w:gridSpan w:val="5"/>
          </w:tcPr>
          <w:p>
            <w:pPr>
              <w:jc w:val="right"/>
              <w:spacing w:after="0"/>
              <w:rPr>
                <w:sz w:val="20"/>
                <w:szCs w:val="20"/>
                <w:color w:val="auto"/>
              </w:rPr>
            </w:pPr>
            <w:r>
              <w:rPr>
                <w:rFonts w:ascii="Arial" w:cs="Arial" w:eastAsia="Arial" w:hAnsi="Arial"/>
                <w:sz w:val="14"/>
                <w:szCs w:val="14"/>
                <w:b w:val="1"/>
                <w:bCs w:val="1"/>
                <w:color w:val="auto"/>
              </w:rPr>
              <w:t>(in thousands, except percentages)</w:t>
            </w:r>
          </w:p>
        </w:tc>
        <w:tc>
          <w:tcPr>
            <w:tcW w:w="940" w:type="dxa"/>
            <w:vAlign w:val="bottom"/>
            <w:tcBorders>
              <w:top w:val="single" w:sz="8" w:color="auto"/>
            </w:tcBorders>
          </w:tcPr>
          <w:p>
            <w:pPr>
              <w:spacing w:after="0"/>
              <w:rPr>
                <w:sz w:val="14"/>
                <w:szCs w:val="14"/>
                <w:color w:val="auto"/>
              </w:rPr>
            </w:pPr>
          </w:p>
        </w:tc>
        <w:tc>
          <w:tcPr>
            <w:tcW w:w="280" w:type="dxa"/>
            <w:vAlign w:val="bottom"/>
            <w:tcBorders>
              <w:top w:val="single" w:sz="8" w:color="auto"/>
            </w:tcBorders>
          </w:tcPr>
          <w:p>
            <w:pPr>
              <w:spacing w:after="0"/>
              <w:rPr>
                <w:sz w:val="14"/>
                <w:szCs w:val="14"/>
                <w:color w:val="auto"/>
              </w:rPr>
            </w:pPr>
          </w:p>
        </w:tc>
        <w:tc>
          <w:tcPr>
            <w:tcW w:w="220" w:type="dxa"/>
            <w:vAlign w:val="bottom"/>
            <w:tcBorders>
              <w:top w:val="single" w:sz="8" w:color="auto"/>
            </w:tcBorders>
          </w:tcPr>
          <w:p>
            <w:pPr>
              <w:spacing w:after="0"/>
              <w:rPr>
                <w:sz w:val="14"/>
                <w:szCs w:val="14"/>
                <w:color w:val="auto"/>
              </w:rPr>
            </w:pPr>
          </w:p>
        </w:tc>
        <w:tc>
          <w:tcPr>
            <w:tcW w:w="900" w:type="dxa"/>
            <w:vAlign w:val="bottom"/>
            <w:tcBorders>
              <w:top w:val="single" w:sz="8" w:color="auto"/>
            </w:tcBorders>
          </w:tcPr>
          <w:p>
            <w:pPr>
              <w:spacing w:after="0"/>
              <w:rPr>
                <w:sz w:val="14"/>
                <w:szCs w:val="14"/>
                <w:color w:val="auto"/>
              </w:rPr>
            </w:pPr>
          </w:p>
        </w:tc>
        <w:tc>
          <w:tcPr>
            <w:tcW w:w="380" w:type="dxa"/>
            <w:vAlign w:val="bottom"/>
            <w:tcBorders>
              <w:top w:val="single" w:sz="8" w:color="auto"/>
            </w:tcBorders>
          </w:tcPr>
          <w:p>
            <w:pPr>
              <w:spacing w:after="0"/>
              <w:rPr>
                <w:sz w:val="14"/>
                <w:szCs w:val="14"/>
                <w:color w:val="auto"/>
              </w:rPr>
            </w:pPr>
          </w:p>
        </w:tc>
        <w:tc>
          <w:tcPr>
            <w:tcW w:w="180" w:type="dxa"/>
            <w:vAlign w:val="bottom"/>
          </w:tcPr>
          <w:p>
            <w:pPr>
              <w:spacing w:after="0"/>
              <w:rPr>
                <w:sz w:val="14"/>
                <w:szCs w:val="14"/>
                <w:color w:val="auto"/>
              </w:rPr>
            </w:pPr>
          </w:p>
        </w:tc>
      </w:tr>
      <w:tr>
        <w:trPr>
          <w:trHeight w:val="216"/>
        </w:trPr>
        <w:tc>
          <w:tcPr>
            <w:tcW w:w="2780" w:type="dxa"/>
            <w:vAlign w:val="bottom"/>
            <w:shd w:val="clear" w:color="auto" w:fill="CFF0FC"/>
          </w:tcPr>
          <w:p>
            <w:pPr>
              <w:spacing w:after="0"/>
              <w:rPr>
                <w:sz w:val="20"/>
                <w:szCs w:val="20"/>
                <w:color w:val="auto"/>
              </w:rPr>
            </w:pPr>
            <w:r>
              <w:rPr>
                <w:rFonts w:ascii="Arial" w:cs="Arial" w:eastAsia="Arial" w:hAnsi="Arial"/>
                <w:sz w:val="18"/>
                <w:szCs w:val="18"/>
                <w:color w:val="auto"/>
              </w:rPr>
              <w:t>Sales and marketing</w:t>
            </w:r>
          </w:p>
        </w:tc>
        <w:tc>
          <w:tcPr>
            <w:tcW w:w="1600" w:type="dxa"/>
            <w:vAlign w:val="bottom"/>
            <w:gridSpan w:val="2"/>
            <w:shd w:val="clear" w:color="auto" w:fill="CFF0FC"/>
          </w:tcPr>
          <w:p>
            <w:pPr>
              <w:jc w:val="right"/>
              <w:ind w:right="168"/>
              <w:spacing w:after="0"/>
              <w:rPr>
                <w:sz w:val="20"/>
                <w:szCs w:val="20"/>
                <w:color w:val="auto"/>
              </w:rPr>
            </w:pPr>
            <w:r>
              <w:rPr>
                <w:rFonts w:ascii="Arial" w:cs="Arial" w:eastAsia="Arial" w:hAnsi="Arial"/>
                <w:sz w:val="18"/>
                <w:szCs w:val="18"/>
                <w:color w:val="auto"/>
              </w:rPr>
              <w:t>$  158,837</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  128,808</w:t>
            </w:r>
          </w:p>
        </w:tc>
        <w:tc>
          <w:tcPr>
            <w:tcW w:w="300" w:type="dxa"/>
            <w:vAlign w:val="bottom"/>
            <w:shd w:val="clear" w:color="auto" w:fill="CFF0FC"/>
          </w:tcPr>
          <w:p>
            <w:pPr>
              <w:spacing w:after="0"/>
              <w:rPr>
                <w:sz w:val="18"/>
                <w:szCs w:val="18"/>
                <w:color w:val="auto"/>
              </w:rPr>
            </w:pPr>
          </w:p>
        </w:tc>
        <w:tc>
          <w:tcPr>
            <w:tcW w:w="20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FF0FC"/>
          </w:tcPr>
          <w:p>
            <w:pPr>
              <w:jc w:val="right"/>
              <w:ind w:right="164"/>
              <w:spacing w:after="0"/>
              <w:rPr>
                <w:sz w:val="20"/>
                <w:szCs w:val="20"/>
                <w:color w:val="auto"/>
              </w:rPr>
            </w:pPr>
            <w:r>
              <w:rPr>
                <w:rFonts w:ascii="Arial" w:cs="Arial" w:eastAsia="Arial" w:hAnsi="Arial"/>
                <w:sz w:val="18"/>
                <w:szCs w:val="18"/>
                <w:color w:val="auto"/>
              </w:rPr>
              <w:t>30,029</w:t>
            </w:r>
          </w:p>
        </w:tc>
        <w:tc>
          <w:tcPr>
            <w:tcW w:w="800" w:type="dxa"/>
            <w:vAlign w:val="bottom"/>
            <w:gridSpan w:val="3"/>
            <w:shd w:val="clear" w:color="auto" w:fill="CFF0FC"/>
          </w:tcPr>
          <w:p>
            <w:pPr>
              <w:jc w:val="right"/>
              <w:ind w:right="20"/>
              <w:spacing w:after="0"/>
              <w:rPr>
                <w:sz w:val="20"/>
                <w:szCs w:val="20"/>
                <w:color w:val="auto"/>
              </w:rPr>
            </w:pPr>
            <w:r>
              <w:rPr>
                <w:rFonts w:ascii="Arial" w:cs="Arial" w:eastAsia="Arial" w:hAnsi="Arial"/>
                <w:sz w:val="18"/>
                <w:szCs w:val="18"/>
                <w:color w:val="auto"/>
              </w:rPr>
              <w:t>23% $</w:t>
            </w:r>
          </w:p>
        </w:tc>
        <w:tc>
          <w:tcPr>
            <w:tcW w:w="1000" w:type="dxa"/>
            <w:vAlign w:val="bottom"/>
            <w:shd w:val="clear" w:color="auto" w:fill="CFF0FC"/>
          </w:tcPr>
          <w:p>
            <w:pPr>
              <w:jc w:val="right"/>
              <w:ind w:right="159"/>
              <w:spacing w:after="0"/>
              <w:rPr>
                <w:sz w:val="20"/>
                <w:szCs w:val="20"/>
                <w:color w:val="auto"/>
              </w:rPr>
            </w:pPr>
            <w:r>
              <w:rPr>
                <w:rFonts w:ascii="Arial" w:cs="Arial" w:eastAsia="Arial" w:hAnsi="Arial"/>
                <w:sz w:val="18"/>
                <w:szCs w:val="18"/>
                <w:color w:val="auto"/>
              </w:rPr>
              <w:t>128,808</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  103,967</w:t>
            </w:r>
          </w:p>
        </w:tc>
        <w:tc>
          <w:tcPr>
            <w:tcW w:w="280" w:type="dxa"/>
            <w:vAlign w:val="bottom"/>
            <w:shd w:val="clear" w:color="auto" w:fill="CFF0FC"/>
          </w:tcPr>
          <w:p>
            <w:pPr>
              <w:spacing w:after="0"/>
              <w:rPr>
                <w:sz w:val="18"/>
                <w:szCs w:val="18"/>
                <w:color w:val="auto"/>
              </w:rPr>
            </w:pPr>
          </w:p>
        </w:tc>
        <w:tc>
          <w:tcPr>
            <w:tcW w:w="2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FF0FC"/>
          </w:tcPr>
          <w:p>
            <w:pPr>
              <w:jc w:val="right"/>
              <w:ind w:right="182"/>
              <w:spacing w:after="0"/>
              <w:rPr>
                <w:sz w:val="20"/>
                <w:szCs w:val="20"/>
                <w:color w:val="auto"/>
              </w:rPr>
            </w:pPr>
            <w:r>
              <w:rPr>
                <w:rFonts w:ascii="Arial" w:cs="Arial" w:eastAsia="Arial" w:hAnsi="Arial"/>
                <w:sz w:val="18"/>
                <w:szCs w:val="18"/>
                <w:color w:val="auto"/>
              </w:rPr>
              <w:t>24,841</w:t>
            </w:r>
          </w:p>
        </w:tc>
        <w:tc>
          <w:tcPr>
            <w:tcW w:w="56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24%</w:t>
            </w:r>
          </w:p>
        </w:tc>
      </w:tr>
      <w:tr>
        <w:trPr>
          <w:trHeight w:val="230"/>
        </w:trPr>
        <w:tc>
          <w:tcPr>
            <w:tcW w:w="2780" w:type="dxa"/>
            <w:vAlign w:val="bottom"/>
          </w:tcPr>
          <w:p>
            <w:pPr>
              <w:spacing w:after="0"/>
              <w:rPr>
                <w:sz w:val="20"/>
                <w:szCs w:val="20"/>
                <w:color w:val="auto"/>
              </w:rPr>
            </w:pPr>
            <w:r>
              <w:rPr>
                <w:rFonts w:ascii="Arial" w:cs="Arial" w:eastAsia="Arial" w:hAnsi="Arial"/>
                <w:sz w:val="18"/>
                <w:szCs w:val="18"/>
                <w:color w:val="auto"/>
              </w:rPr>
              <w:t>Percentage of total revenues</w:t>
            </w:r>
          </w:p>
        </w:tc>
        <w:tc>
          <w:tcPr>
            <w:tcW w:w="1600" w:type="dxa"/>
            <w:vAlign w:val="bottom"/>
            <w:gridSpan w:val="2"/>
          </w:tcPr>
          <w:p>
            <w:pPr>
              <w:jc w:val="right"/>
              <w:spacing w:after="0"/>
              <w:rPr>
                <w:sz w:val="20"/>
                <w:szCs w:val="20"/>
                <w:color w:val="auto"/>
              </w:rPr>
            </w:pPr>
            <w:r>
              <w:rPr>
                <w:rFonts w:ascii="Arial" w:cs="Arial" w:eastAsia="Arial" w:hAnsi="Arial"/>
                <w:sz w:val="18"/>
                <w:szCs w:val="18"/>
                <w:color w:val="auto"/>
              </w:rPr>
              <w:t>55.0%</w:t>
            </w:r>
          </w:p>
        </w:tc>
        <w:tc>
          <w:tcPr>
            <w:tcW w:w="1240" w:type="dxa"/>
            <w:vAlign w:val="bottom"/>
            <w:gridSpan w:val="2"/>
          </w:tcPr>
          <w:p>
            <w:pPr>
              <w:jc w:val="right"/>
              <w:ind w:right="140"/>
              <w:spacing w:after="0"/>
              <w:rPr>
                <w:sz w:val="20"/>
                <w:szCs w:val="20"/>
                <w:color w:val="auto"/>
              </w:rPr>
            </w:pPr>
            <w:r>
              <w:rPr>
                <w:rFonts w:ascii="Arial" w:cs="Arial" w:eastAsia="Arial" w:hAnsi="Arial"/>
                <w:sz w:val="18"/>
                <w:szCs w:val="18"/>
                <w:color w:val="auto"/>
              </w:rPr>
              <w:t>56.5%</w:t>
            </w:r>
          </w:p>
        </w:tc>
        <w:tc>
          <w:tcPr>
            <w:tcW w:w="2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56.5%</w:t>
            </w:r>
          </w:p>
        </w:tc>
        <w:tc>
          <w:tcPr>
            <w:tcW w:w="1220" w:type="dxa"/>
            <w:vAlign w:val="bottom"/>
            <w:gridSpan w:val="2"/>
          </w:tcPr>
          <w:p>
            <w:pPr>
              <w:jc w:val="right"/>
              <w:ind w:right="120"/>
              <w:spacing w:after="0"/>
              <w:rPr>
                <w:sz w:val="20"/>
                <w:szCs w:val="20"/>
                <w:color w:val="auto"/>
              </w:rPr>
            </w:pPr>
            <w:r>
              <w:rPr>
                <w:rFonts w:ascii="Arial" w:cs="Arial" w:eastAsia="Arial" w:hAnsi="Arial"/>
                <w:sz w:val="18"/>
                <w:szCs w:val="18"/>
                <w:color w:val="auto"/>
              </w:rPr>
              <w:t>59.2%</w:t>
            </w:r>
          </w:p>
        </w:tc>
        <w:tc>
          <w:tcPr>
            <w:tcW w:w="2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80" w:type="dxa"/>
            <w:vAlign w:val="bottom"/>
          </w:tcPr>
          <w:p>
            <w:pPr>
              <w:spacing w:after="0"/>
              <w:rPr>
                <w:sz w:val="19"/>
                <w:szCs w:val="19"/>
                <w:color w:val="auto"/>
              </w:rPr>
            </w:pPr>
          </w:p>
        </w:tc>
      </w:tr>
    </w:tbl>
    <w:p>
      <w:pPr>
        <w:spacing w:after="0" w:line="202" w:lineRule="exact"/>
        <w:rPr>
          <w:sz w:val="20"/>
          <w:szCs w:val="20"/>
          <w:color w:val="auto"/>
        </w:rPr>
      </w:pPr>
    </w:p>
    <w:p>
      <w:pPr>
        <w:ind w:firstLine="518"/>
        <w:spacing w:after="0" w:line="236" w:lineRule="auto"/>
        <w:rPr>
          <w:sz w:val="20"/>
          <w:szCs w:val="20"/>
          <w:color w:val="auto"/>
        </w:rPr>
      </w:pPr>
      <w:r>
        <w:rPr>
          <w:rFonts w:ascii="Arial" w:cs="Arial" w:eastAsia="Arial" w:hAnsi="Arial"/>
          <w:sz w:val="18"/>
          <w:szCs w:val="18"/>
          <w:color w:val="auto"/>
        </w:rPr>
        <w:t>The increase in sales and marketing expenses for the year ended December 31, 2019, compared to the year ended December 31, 2018, was primarily due to a $ 30.1 million increase in salaries, sales commissions, stock-based compensation, and incentives; a $5.1 million increase in advertising and trade show expenses; a $1.9 million increase in travel-related costs; a $1.3 million increase in computer software expenses; and a $0.6 million increase in professional services expense. These increases were partially offset by a $9.7 million decrease in partner referral fees. The increase in salaries, sales commissions, and incentives was primarily driven by an increase in headcount and revenue growth. Our sales and marketing average headcount increased 19% from the year ended December 31, 2018 to the year ended December 31, 2019. The increase in advertising and trade shows was primarily due to an increase in our marketing efforts. Travel-related costs increased due to the expansion of our sales organization. Computer software expenses increased due to the additional software licenses driven by an increase in average sales and marketing headcount. The increase in professional services expense was primarily due to growth in our program spend and higher user conference-related expenses. The decrease in partner referral fees was primarily driven by the amendment of the previous SAP agreement in the fourth quarter of 2018 and the addition of SAP to our channel of resellers.</w:t>
      </w:r>
    </w:p>
    <w:p>
      <w:pPr>
        <w:spacing w:after="0" w:line="206" w:lineRule="exact"/>
        <w:rPr>
          <w:sz w:val="20"/>
          <w:szCs w:val="20"/>
          <w:color w:val="auto"/>
        </w:rPr>
      </w:pPr>
    </w:p>
    <w:p>
      <w:pPr>
        <w:ind w:firstLine="518"/>
        <w:spacing w:after="0" w:line="236" w:lineRule="auto"/>
        <w:rPr>
          <w:sz w:val="20"/>
          <w:szCs w:val="20"/>
          <w:color w:val="auto"/>
        </w:rPr>
      </w:pPr>
      <w:r>
        <w:rPr>
          <w:rFonts w:ascii="Arial" w:cs="Arial" w:eastAsia="Arial" w:hAnsi="Arial"/>
          <w:sz w:val="18"/>
          <w:szCs w:val="18"/>
          <w:color w:val="auto"/>
        </w:rPr>
        <w:t>The increase in sales and marketing expenses for the year ended December 31, 2018, compared to the year ended December 31, 2017, was primarily due to a $16.8 million increase in salaries, sales commissions, and incentives; a $5.3 million increase in partner referral fees; a $1.8 million increase in travel-related costs; a $1.3 million increase in advertising and trade show expenses; a $ 0.7 million increase in overhead-related expenses; a $0.5 million increase in professional services expense; a $0.4 million increase in computer software expenses; and a $0.2 million increase in depreciation and amortization. These increases were partially offset by a $2.1 million decrease in stock-based compensation, which was primarily related to modifications made to Australian stock option awards in the quarter ended September 30, 2017, which increased stock-based compensation for the year ended December 31, 2017. The increase in salaries, sales commissions, and incentives was primarily driven by an increase in headcount and revenue growth. Our sales and marketing average headcount increased 15% from the year ended December 31, 2017 to the year ended December 31, 2018. The increases in partner referral fees was primarily driven by the expansion of our relationships with technology vendors, including SAP. Travel-related costs increased due to the expansion of our sales organization. Overhead-related costs increased primarily due to the opening of new sales offices in Paris and Singapore in 2018. The increase in advertising and trade shows was primarily due to an increase in our marketing efforts. The increase in professional services expense was primarily due to growth in our program spend and higher user conference-related expenses.</w:t>
      </w:r>
    </w:p>
    <w:p>
      <w:pPr>
        <w:spacing w:after="0" w:line="29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Research and development</w:t>
      </w:r>
    </w:p>
    <w:p>
      <w:pPr>
        <w:spacing w:after="0" w:line="262"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30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20" w:type="dxa"/>
            <w:vAlign w:val="bottom"/>
            <w:gridSpan w:val="5"/>
          </w:tcPr>
          <w:p>
            <w:pPr>
              <w:jc w:val="right"/>
              <w:ind w:right="440"/>
              <w:spacing w:after="0"/>
              <w:rPr>
                <w:sz w:val="20"/>
                <w:szCs w:val="20"/>
                <w:color w:val="auto"/>
              </w:rPr>
            </w:pPr>
            <w:r>
              <w:rPr>
                <w:rFonts w:ascii="Arial" w:cs="Arial" w:eastAsia="Arial" w:hAnsi="Arial"/>
                <w:sz w:val="14"/>
                <w:szCs w:val="14"/>
                <w:b w:val="1"/>
                <w:bCs w:val="1"/>
                <w:color w:val="auto"/>
              </w:rPr>
              <w:t>Year Ended December 31,</w:t>
            </w:r>
          </w:p>
        </w:tc>
        <w:tc>
          <w:tcPr>
            <w:tcW w:w="200" w:type="dxa"/>
            <w:vAlign w:val="bottom"/>
          </w:tcPr>
          <w:p>
            <w:pPr>
              <w:spacing w:after="0"/>
              <w:rPr>
                <w:sz w:val="15"/>
                <w:szCs w:val="15"/>
                <w:color w:val="auto"/>
              </w:rPr>
            </w:pPr>
          </w:p>
        </w:tc>
        <w:tc>
          <w:tcPr>
            <w:tcW w:w="880" w:type="dxa"/>
            <w:vAlign w:val="bottom"/>
            <w:gridSpan w:val="2"/>
          </w:tcPr>
          <w:p>
            <w:pPr>
              <w:ind w:left="280"/>
              <w:spacing w:after="0"/>
              <w:rPr>
                <w:sz w:val="20"/>
                <w:szCs w:val="20"/>
                <w:color w:val="auto"/>
              </w:rPr>
            </w:pPr>
            <w:r>
              <w:rPr>
                <w:rFonts w:ascii="Arial" w:cs="Arial" w:eastAsia="Arial" w:hAnsi="Arial"/>
                <w:sz w:val="14"/>
                <w:szCs w:val="14"/>
                <w:b w:val="1"/>
                <w:bCs w:val="1"/>
                <w:color w:val="auto"/>
              </w:rPr>
              <w:t>Change</w:t>
            </w:r>
          </w:p>
        </w:tc>
        <w:tc>
          <w:tcPr>
            <w:tcW w:w="4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00" w:type="dxa"/>
            <w:vAlign w:val="bottom"/>
            <w:gridSpan w:val="6"/>
          </w:tcPr>
          <w:p>
            <w:pPr>
              <w:jc w:val="right"/>
              <w:ind w:right="420"/>
              <w:spacing w:after="0"/>
              <w:rPr>
                <w:sz w:val="20"/>
                <w:szCs w:val="20"/>
                <w:color w:val="auto"/>
              </w:rPr>
            </w:pPr>
            <w:r>
              <w:rPr>
                <w:rFonts w:ascii="Arial" w:cs="Arial" w:eastAsia="Arial" w:hAnsi="Arial"/>
                <w:sz w:val="14"/>
                <w:szCs w:val="14"/>
                <w:b w:val="1"/>
                <w:bCs w:val="1"/>
                <w:color w:val="auto"/>
              </w:rPr>
              <w:t>Year Ended December 31,</w:t>
            </w:r>
          </w:p>
        </w:tc>
        <w:tc>
          <w:tcPr>
            <w:tcW w:w="260" w:type="dxa"/>
            <w:vAlign w:val="bottom"/>
          </w:tcPr>
          <w:p>
            <w:pPr>
              <w:spacing w:after="0"/>
              <w:rPr>
                <w:sz w:val="15"/>
                <w:szCs w:val="15"/>
                <w:color w:val="auto"/>
              </w:rPr>
            </w:pPr>
          </w:p>
        </w:tc>
        <w:tc>
          <w:tcPr>
            <w:tcW w:w="840" w:type="dxa"/>
            <w:vAlign w:val="bottom"/>
            <w:gridSpan w:val="2"/>
          </w:tcPr>
          <w:p>
            <w:pPr>
              <w:jc w:val="right"/>
              <w:ind w:right="80"/>
              <w:spacing w:after="0"/>
              <w:rPr>
                <w:sz w:val="20"/>
                <w:szCs w:val="20"/>
                <w:color w:val="auto"/>
              </w:rPr>
            </w:pPr>
            <w:r>
              <w:rPr>
                <w:rFonts w:ascii="Arial" w:cs="Arial" w:eastAsia="Arial" w:hAnsi="Arial"/>
                <w:sz w:val="14"/>
                <w:szCs w:val="14"/>
                <w:b w:val="1"/>
                <w:bCs w:val="1"/>
                <w:color w:val="auto"/>
              </w:rPr>
              <w:t>Change</w:t>
            </w:r>
          </w:p>
        </w:tc>
        <w:tc>
          <w:tcPr>
            <w:tcW w:w="4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30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760" w:type="dxa"/>
            <w:vAlign w:val="bottom"/>
            <w:tcBorders>
              <w:top w:val="single" w:sz="8" w:color="auto"/>
              <w:bottom w:val="single" w:sz="8" w:color="auto"/>
            </w:tcBorders>
          </w:tcPr>
          <w:p>
            <w:pPr>
              <w:jc w:val="right"/>
              <w:ind w:right="196"/>
              <w:spacing w:after="0"/>
              <w:rPr>
                <w:sz w:val="20"/>
                <w:szCs w:val="20"/>
                <w:color w:val="auto"/>
              </w:rPr>
            </w:pPr>
            <w:r>
              <w:rPr>
                <w:rFonts w:ascii="Arial" w:cs="Arial" w:eastAsia="Arial" w:hAnsi="Arial"/>
                <w:sz w:val="14"/>
                <w:szCs w:val="14"/>
                <w:b w:val="1"/>
                <w:bCs w:val="1"/>
                <w:color w:val="auto"/>
              </w:rPr>
              <w:t>2019</w:t>
            </w:r>
          </w:p>
        </w:tc>
        <w:tc>
          <w:tcPr>
            <w:tcW w:w="300" w:type="dxa"/>
            <w:vAlign w:val="bottom"/>
            <w:tcBorders>
              <w:top w:val="single" w:sz="8" w:color="auto"/>
              <w:bottom w:val="single" w:sz="8" w:color="auto"/>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680" w:type="dxa"/>
            <w:vAlign w:val="bottom"/>
            <w:tcBorders>
              <w:top w:val="single" w:sz="8" w:color="auto"/>
              <w:bottom w:val="single" w:sz="8" w:color="auto"/>
            </w:tcBorders>
          </w:tcPr>
          <w:p>
            <w:pPr>
              <w:jc w:val="right"/>
              <w:ind w:right="194"/>
              <w:spacing w:after="0"/>
              <w:rPr>
                <w:sz w:val="20"/>
                <w:szCs w:val="20"/>
                <w:color w:val="auto"/>
              </w:rPr>
            </w:pPr>
            <w:r>
              <w:rPr>
                <w:rFonts w:ascii="Arial" w:cs="Arial" w:eastAsia="Arial" w:hAnsi="Arial"/>
                <w:sz w:val="14"/>
                <w:szCs w:val="14"/>
                <w:b w:val="1"/>
                <w:bCs w:val="1"/>
                <w:color w:val="auto"/>
              </w:rPr>
              <w:t>2018</w:t>
            </w:r>
          </w:p>
        </w:tc>
        <w:tc>
          <w:tcPr>
            <w:tcW w:w="300" w:type="dxa"/>
            <w:vAlign w:val="bottom"/>
            <w:tcBorders>
              <w:bottom w:val="single" w:sz="8" w:color="auto"/>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680" w:type="dxa"/>
            <w:vAlign w:val="bottom"/>
            <w:tcBorders>
              <w:top w:val="single" w:sz="8" w:color="auto"/>
              <w:bottom w:val="single" w:sz="8" w:color="auto"/>
            </w:tcBorders>
          </w:tcPr>
          <w:p>
            <w:pPr>
              <w:jc w:val="right"/>
              <w:ind w:right="339"/>
              <w:spacing w:after="0"/>
              <w:rPr>
                <w:sz w:val="20"/>
                <w:szCs w:val="20"/>
                <w:color w:val="auto"/>
              </w:rPr>
            </w:pPr>
            <w:r>
              <w:rPr>
                <w:rFonts w:ascii="Arial" w:cs="Arial" w:eastAsia="Arial" w:hAnsi="Arial"/>
                <w:sz w:val="14"/>
                <w:szCs w:val="14"/>
                <w:b w:val="1"/>
                <w:bCs w:val="1"/>
                <w:color w:val="auto"/>
              </w:rPr>
              <w:t>$</w:t>
            </w:r>
          </w:p>
        </w:tc>
        <w:tc>
          <w:tcPr>
            <w:tcW w:w="200" w:type="dxa"/>
            <w:vAlign w:val="bottom"/>
            <w:tcBorders>
              <w:top w:val="single" w:sz="8" w:color="auto"/>
              <w:bottom w:val="single" w:sz="8" w:color="auto"/>
            </w:tcBorders>
          </w:tcPr>
          <w:p>
            <w:pPr>
              <w:spacing w:after="0"/>
              <w:rPr>
                <w:sz w:val="18"/>
                <w:szCs w:val="18"/>
                <w:color w:val="auto"/>
              </w:rPr>
            </w:pPr>
          </w:p>
        </w:tc>
        <w:tc>
          <w:tcPr>
            <w:tcW w:w="420" w:type="dxa"/>
            <w:vAlign w:val="bottom"/>
            <w:tcBorders>
              <w:top w:val="single" w:sz="8" w:color="auto"/>
              <w:bottom w:val="single" w:sz="8" w:color="auto"/>
            </w:tcBorders>
          </w:tcPr>
          <w:p>
            <w:pPr>
              <w:jc w:val="right"/>
              <w:ind w:right="74"/>
              <w:spacing w:after="0"/>
              <w:rPr>
                <w:sz w:val="20"/>
                <w:szCs w:val="20"/>
                <w:color w:val="auto"/>
              </w:rPr>
            </w:pPr>
            <w:r>
              <w:rPr>
                <w:rFonts w:ascii="Arial" w:cs="Arial" w:eastAsia="Arial" w:hAnsi="Arial"/>
                <w:sz w:val="14"/>
                <w:szCs w:val="14"/>
                <w:b w:val="1"/>
                <w:bCs w:val="1"/>
                <w:color w:val="auto"/>
              </w:rPr>
              <w:t>%</w:t>
            </w:r>
          </w:p>
        </w:tc>
        <w:tc>
          <w:tcPr>
            <w:tcW w:w="28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760" w:type="dxa"/>
            <w:vAlign w:val="bottom"/>
            <w:tcBorders>
              <w:top w:val="single" w:sz="8" w:color="auto"/>
              <w:bottom w:val="single" w:sz="8" w:color="auto"/>
            </w:tcBorders>
          </w:tcPr>
          <w:p>
            <w:pPr>
              <w:jc w:val="right"/>
              <w:ind w:right="196"/>
              <w:spacing w:after="0"/>
              <w:rPr>
                <w:sz w:val="20"/>
                <w:szCs w:val="20"/>
                <w:color w:val="auto"/>
              </w:rPr>
            </w:pPr>
            <w:r>
              <w:rPr>
                <w:rFonts w:ascii="Arial" w:cs="Arial" w:eastAsia="Arial" w:hAnsi="Arial"/>
                <w:sz w:val="14"/>
                <w:szCs w:val="14"/>
                <w:b w:val="1"/>
                <w:bCs w:val="1"/>
                <w:color w:val="auto"/>
              </w:rPr>
              <w:t>2018</w:t>
            </w:r>
          </w:p>
        </w:tc>
        <w:tc>
          <w:tcPr>
            <w:tcW w:w="220" w:type="dxa"/>
            <w:vAlign w:val="bottom"/>
            <w:tcBorders>
              <w:top w:val="single" w:sz="8" w:color="auto"/>
              <w:bottom w:val="single" w:sz="8" w:color="auto"/>
            </w:tcBorders>
          </w:tcPr>
          <w:p>
            <w:pPr>
              <w:spacing w:after="0"/>
              <w:rPr>
                <w:sz w:val="18"/>
                <w:szCs w:val="18"/>
                <w:color w:val="auto"/>
              </w:rPr>
            </w:pPr>
          </w:p>
        </w:tc>
        <w:tc>
          <w:tcPr>
            <w:tcW w:w="60" w:type="dxa"/>
            <w:vAlign w:val="bottom"/>
            <w:tcBorders>
              <w:top w:val="single" w:sz="8" w:color="auto"/>
              <w:bottom w:val="single" w:sz="8" w:color="auto"/>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700" w:type="dxa"/>
            <w:vAlign w:val="bottom"/>
            <w:tcBorders>
              <w:top w:val="single" w:sz="8" w:color="auto"/>
              <w:bottom w:val="single" w:sz="8" w:color="auto"/>
            </w:tcBorders>
          </w:tcPr>
          <w:p>
            <w:pPr>
              <w:jc w:val="right"/>
              <w:ind w:right="194"/>
              <w:spacing w:after="0"/>
              <w:rPr>
                <w:sz w:val="20"/>
                <w:szCs w:val="20"/>
                <w:color w:val="auto"/>
              </w:rPr>
            </w:pPr>
            <w:r>
              <w:rPr>
                <w:rFonts w:ascii="Arial" w:cs="Arial" w:eastAsia="Arial" w:hAnsi="Arial"/>
                <w:sz w:val="14"/>
                <w:szCs w:val="14"/>
                <w:b w:val="1"/>
                <w:bCs w:val="1"/>
                <w:color w:val="auto"/>
              </w:rPr>
              <w:t>2017</w:t>
            </w:r>
          </w:p>
        </w:tc>
        <w:tc>
          <w:tcPr>
            <w:tcW w:w="280" w:type="dxa"/>
            <w:vAlign w:val="bottom"/>
            <w:tcBorders>
              <w:bottom w:val="single" w:sz="8" w:color="auto"/>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620" w:type="dxa"/>
            <w:vAlign w:val="bottom"/>
            <w:tcBorders>
              <w:top w:val="single" w:sz="8" w:color="auto"/>
              <w:bottom w:val="single" w:sz="8" w:color="auto"/>
            </w:tcBorders>
          </w:tcPr>
          <w:p>
            <w:pPr>
              <w:jc w:val="right"/>
              <w:ind w:right="317"/>
              <w:spacing w:after="0"/>
              <w:rPr>
                <w:sz w:val="20"/>
                <w:szCs w:val="20"/>
                <w:color w:val="auto"/>
              </w:rPr>
            </w:pPr>
            <w:r>
              <w:rPr>
                <w:rFonts w:ascii="Arial" w:cs="Arial" w:eastAsia="Arial" w:hAnsi="Arial"/>
                <w:sz w:val="14"/>
                <w:szCs w:val="14"/>
                <w:b w:val="1"/>
                <w:bCs w:val="1"/>
                <w:color w:val="auto"/>
              </w:rPr>
              <w:t>$</w:t>
            </w:r>
          </w:p>
        </w:tc>
        <w:tc>
          <w:tcPr>
            <w:tcW w:w="220" w:type="dxa"/>
            <w:vAlign w:val="bottom"/>
            <w:tcBorders>
              <w:top w:val="single" w:sz="8" w:color="auto"/>
              <w:bottom w:val="single" w:sz="8" w:color="auto"/>
            </w:tcBorders>
          </w:tcPr>
          <w:p>
            <w:pPr>
              <w:spacing w:after="0"/>
              <w:rPr>
                <w:sz w:val="18"/>
                <w:szCs w:val="18"/>
                <w:color w:val="auto"/>
              </w:rPr>
            </w:pPr>
          </w:p>
        </w:tc>
        <w:tc>
          <w:tcPr>
            <w:tcW w:w="400" w:type="dxa"/>
            <w:vAlign w:val="bottom"/>
            <w:tcBorders>
              <w:top w:val="single" w:sz="8" w:color="auto"/>
              <w:bottom w:val="single" w:sz="8" w:color="auto"/>
            </w:tcBorders>
          </w:tcPr>
          <w:p>
            <w:pPr>
              <w:jc w:val="right"/>
              <w:ind w:right="54"/>
              <w:spacing w:after="0"/>
              <w:rPr>
                <w:sz w:val="20"/>
                <w:szCs w:val="20"/>
                <w:color w:val="auto"/>
              </w:rPr>
            </w:pPr>
            <w:r>
              <w:rPr>
                <w:rFonts w:ascii="Arial" w:cs="Arial" w:eastAsia="Arial" w:hAnsi="Arial"/>
                <w:sz w:val="14"/>
                <w:szCs w:val="14"/>
                <w:b w:val="1"/>
                <w:bCs w:val="1"/>
                <w:color w:val="auto"/>
              </w:rPr>
              <w:t>%</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9"/>
        </w:trPr>
        <w:tc>
          <w:tcPr>
            <w:tcW w:w="30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740" w:type="dxa"/>
            <w:vAlign w:val="bottom"/>
            <w:gridSpan w:val="8"/>
          </w:tcPr>
          <w:p>
            <w:pPr>
              <w:jc w:val="right"/>
              <w:ind w:right="80"/>
              <w:spacing w:after="0"/>
              <w:rPr>
                <w:sz w:val="20"/>
                <w:szCs w:val="20"/>
                <w:color w:val="auto"/>
              </w:rPr>
            </w:pPr>
            <w:r>
              <w:rPr>
                <w:rFonts w:ascii="Arial" w:cs="Arial" w:eastAsia="Arial" w:hAnsi="Arial"/>
                <w:sz w:val="14"/>
                <w:szCs w:val="14"/>
                <w:b w:val="1"/>
                <w:bCs w:val="1"/>
                <w:color w:val="auto"/>
              </w:rPr>
              <w:t>(in thousands, except percentages)</w:t>
            </w:r>
          </w:p>
        </w:tc>
        <w:tc>
          <w:tcPr>
            <w:tcW w:w="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3000" w:type="dxa"/>
            <w:vAlign w:val="bottom"/>
            <w:shd w:val="clear" w:color="auto" w:fill="CFF0FC"/>
          </w:tcPr>
          <w:p>
            <w:pPr>
              <w:spacing w:after="0"/>
              <w:rPr>
                <w:sz w:val="20"/>
                <w:szCs w:val="20"/>
                <w:color w:val="auto"/>
              </w:rPr>
            </w:pPr>
            <w:r>
              <w:rPr>
                <w:rFonts w:ascii="Arial" w:cs="Arial" w:eastAsia="Arial" w:hAnsi="Arial"/>
                <w:sz w:val="18"/>
                <w:szCs w:val="18"/>
                <w:color w:val="auto"/>
              </w:rPr>
              <w:t>Research and development, gross</w:t>
            </w:r>
          </w:p>
        </w:tc>
        <w:tc>
          <w:tcPr>
            <w:tcW w:w="36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w:t>
            </w: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48,269</w:t>
            </w:r>
          </w:p>
        </w:tc>
        <w:tc>
          <w:tcPr>
            <w:tcW w:w="300" w:type="dxa"/>
            <w:vAlign w:val="bottom"/>
            <w:shd w:val="clear" w:color="auto" w:fill="CFF0FC"/>
          </w:tcPr>
          <w:p>
            <w:pPr>
              <w:spacing w:after="0"/>
              <w:rPr>
                <w:sz w:val="18"/>
                <w:szCs w:val="18"/>
                <w:color w:val="auto"/>
              </w:rPr>
            </w:pP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36,505</w:t>
            </w:r>
          </w:p>
        </w:tc>
        <w:tc>
          <w:tcPr>
            <w:tcW w:w="300" w:type="dxa"/>
            <w:vAlign w:val="bottom"/>
            <w:shd w:val="clear" w:color="auto" w:fill="CFF0FC"/>
          </w:tcPr>
          <w:p>
            <w:pPr>
              <w:spacing w:after="0"/>
              <w:rPr>
                <w:sz w:val="18"/>
                <w:szCs w:val="18"/>
                <w:color w:val="auto"/>
              </w:rPr>
            </w:pPr>
          </w:p>
        </w:tc>
        <w:tc>
          <w:tcPr>
            <w:tcW w:w="20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11,764</w:t>
            </w:r>
          </w:p>
        </w:tc>
        <w:tc>
          <w:tcPr>
            <w:tcW w:w="200" w:type="dxa"/>
            <w:vAlign w:val="bottom"/>
            <w:shd w:val="clear" w:color="auto" w:fill="CFF0FC"/>
          </w:tcPr>
          <w:p>
            <w:pPr>
              <w:spacing w:after="0"/>
              <w:rPr>
                <w:sz w:val="18"/>
                <w:szCs w:val="18"/>
                <w:color w:val="auto"/>
              </w:rPr>
            </w:pPr>
          </w:p>
        </w:tc>
        <w:tc>
          <w:tcPr>
            <w:tcW w:w="70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32%</w:t>
            </w:r>
          </w:p>
        </w:tc>
        <w:tc>
          <w:tcPr>
            <w:tcW w:w="18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w:t>
            </w: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36,505</w:t>
            </w:r>
          </w:p>
        </w:tc>
        <w:tc>
          <w:tcPr>
            <w:tcW w:w="220" w:type="dxa"/>
            <w:vAlign w:val="bottom"/>
            <w:shd w:val="clear" w:color="auto" w:fill="CFF0FC"/>
          </w:tcPr>
          <w:p>
            <w:pPr>
              <w:spacing w:after="0"/>
              <w:rPr>
                <w:sz w:val="18"/>
                <w:szCs w:val="18"/>
                <w:color w:val="auto"/>
              </w:rPr>
            </w:pPr>
          </w:p>
        </w:tc>
        <w:tc>
          <w:tcPr>
            <w:tcW w:w="24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w:t>
            </w: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28,672</w:t>
            </w:r>
          </w:p>
        </w:tc>
        <w:tc>
          <w:tcPr>
            <w:tcW w:w="280" w:type="dxa"/>
            <w:vAlign w:val="bottom"/>
            <w:shd w:val="clear" w:color="auto" w:fill="CFF0FC"/>
          </w:tcPr>
          <w:p>
            <w:pPr>
              <w:spacing w:after="0"/>
              <w:rPr>
                <w:sz w:val="18"/>
                <w:szCs w:val="18"/>
                <w:color w:val="auto"/>
              </w:rPr>
            </w:pPr>
          </w:p>
        </w:tc>
        <w:tc>
          <w:tcPr>
            <w:tcW w:w="26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7,833</w:t>
            </w:r>
          </w:p>
        </w:tc>
        <w:tc>
          <w:tcPr>
            <w:tcW w:w="220" w:type="dxa"/>
            <w:vAlign w:val="bottom"/>
            <w:shd w:val="clear" w:color="auto" w:fill="CFF0FC"/>
          </w:tcPr>
          <w:p>
            <w:pPr>
              <w:spacing w:after="0"/>
              <w:rPr>
                <w:sz w:val="18"/>
                <w:szCs w:val="18"/>
                <w:color w:val="auto"/>
              </w:rPr>
            </w:pPr>
          </w:p>
        </w:tc>
        <w:tc>
          <w:tcPr>
            <w:tcW w:w="58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15"/>
        </w:trPr>
        <w:tc>
          <w:tcPr>
            <w:tcW w:w="3000" w:type="dxa"/>
            <w:vAlign w:val="bottom"/>
          </w:tcPr>
          <w:p>
            <w:pPr>
              <w:spacing w:after="0"/>
              <w:rPr>
                <w:sz w:val="20"/>
                <w:szCs w:val="20"/>
                <w:color w:val="auto"/>
              </w:rPr>
            </w:pPr>
            <w:r>
              <w:rPr>
                <w:rFonts w:ascii="Arial" w:cs="Arial" w:eastAsia="Arial" w:hAnsi="Arial"/>
                <w:sz w:val="18"/>
                <w:szCs w:val="18"/>
                <w:color w:val="auto"/>
              </w:rPr>
              <w:t>Capitalized internally developed</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gridSpan w:val="2"/>
            <w:vMerge w:val="restart"/>
          </w:tcPr>
          <w:p>
            <w:pPr>
              <w:jc w:val="right"/>
              <w:ind w:right="240"/>
              <w:spacing w:after="0"/>
              <w:rPr>
                <w:sz w:val="20"/>
                <w:szCs w:val="20"/>
                <w:color w:val="auto"/>
              </w:rPr>
            </w:pPr>
            <w:r>
              <w:rPr>
                <w:rFonts w:ascii="Arial" w:cs="Arial" w:eastAsia="Arial" w:hAnsi="Arial"/>
                <w:sz w:val="18"/>
                <w:szCs w:val="18"/>
                <w:color w:val="auto"/>
              </w:rPr>
              <w:t>(5,263)</w:t>
            </w:r>
          </w:p>
        </w:tc>
        <w:tc>
          <w:tcPr>
            <w:tcW w:w="180" w:type="dxa"/>
            <w:vAlign w:val="bottom"/>
          </w:tcPr>
          <w:p>
            <w:pPr>
              <w:spacing w:after="0"/>
              <w:rPr>
                <w:sz w:val="18"/>
                <w:szCs w:val="18"/>
                <w:color w:val="auto"/>
              </w:rPr>
            </w:pPr>
          </w:p>
        </w:tc>
        <w:tc>
          <w:tcPr>
            <w:tcW w:w="980" w:type="dxa"/>
            <w:vAlign w:val="bottom"/>
            <w:gridSpan w:val="2"/>
            <w:vMerge w:val="restart"/>
          </w:tcPr>
          <w:p>
            <w:pPr>
              <w:jc w:val="right"/>
              <w:ind w:right="240"/>
              <w:spacing w:after="0"/>
              <w:rPr>
                <w:sz w:val="20"/>
                <w:szCs w:val="20"/>
                <w:color w:val="auto"/>
              </w:rPr>
            </w:pPr>
            <w:r>
              <w:rPr>
                <w:rFonts w:ascii="Arial" w:cs="Arial" w:eastAsia="Arial" w:hAnsi="Arial"/>
                <w:sz w:val="18"/>
                <w:szCs w:val="18"/>
                <w:color w:val="auto"/>
              </w:rPr>
              <w:t>(5,751)</w:t>
            </w:r>
          </w:p>
        </w:tc>
        <w:tc>
          <w:tcPr>
            <w:tcW w:w="200" w:type="dxa"/>
            <w:vAlign w:val="bottom"/>
          </w:tcPr>
          <w:p>
            <w:pPr>
              <w:spacing w:after="0"/>
              <w:rPr>
                <w:sz w:val="18"/>
                <w:szCs w:val="18"/>
                <w:color w:val="auto"/>
              </w:rPr>
            </w:pPr>
          </w:p>
        </w:tc>
        <w:tc>
          <w:tcPr>
            <w:tcW w:w="680" w:type="dxa"/>
            <w:vAlign w:val="bottom"/>
            <w:vMerge w:val="restart"/>
          </w:tcPr>
          <w:p>
            <w:pPr>
              <w:jc w:val="right"/>
              <w:spacing w:after="0"/>
              <w:rPr>
                <w:sz w:val="20"/>
                <w:szCs w:val="20"/>
                <w:color w:val="auto"/>
              </w:rPr>
            </w:pPr>
            <w:r>
              <w:rPr>
                <w:rFonts w:ascii="Arial" w:cs="Arial" w:eastAsia="Arial" w:hAnsi="Arial"/>
                <w:sz w:val="18"/>
                <w:szCs w:val="18"/>
                <w:color w:val="auto"/>
              </w:rPr>
              <w:t>488</w:t>
            </w:r>
          </w:p>
        </w:tc>
        <w:tc>
          <w:tcPr>
            <w:tcW w:w="200" w:type="dxa"/>
            <w:vAlign w:val="bottom"/>
          </w:tcPr>
          <w:p>
            <w:pPr>
              <w:spacing w:after="0"/>
              <w:rPr>
                <w:sz w:val="18"/>
                <w:szCs w:val="18"/>
                <w:color w:val="auto"/>
              </w:rPr>
            </w:pPr>
          </w:p>
        </w:tc>
        <w:tc>
          <w:tcPr>
            <w:tcW w:w="700" w:type="dxa"/>
            <w:vAlign w:val="bottom"/>
            <w:gridSpan w:val="2"/>
            <w:vMerge w:val="restart"/>
          </w:tcPr>
          <w:p>
            <w:pPr>
              <w:jc w:val="right"/>
              <w:ind w:right="60"/>
              <w:spacing w:after="0"/>
              <w:rPr>
                <w:sz w:val="20"/>
                <w:szCs w:val="20"/>
                <w:color w:val="auto"/>
              </w:rPr>
            </w:pPr>
            <w:r>
              <w:rPr>
                <w:rFonts w:ascii="Arial" w:cs="Arial" w:eastAsia="Arial" w:hAnsi="Arial"/>
                <w:sz w:val="18"/>
                <w:szCs w:val="18"/>
                <w:color w:val="auto"/>
              </w:rPr>
              <w:t>(8%)</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gridSpan w:val="2"/>
            <w:vMerge w:val="restart"/>
          </w:tcPr>
          <w:p>
            <w:pPr>
              <w:jc w:val="right"/>
              <w:ind w:right="160"/>
              <w:spacing w:after="0"/>
              <w:rPr>
                <w:sz w:val="20"/>
                <w:szCs w:val="20"/>
                <w:color w:val="auto"/>
              </w:rPr>
            </w:pPr>
            <w:r>
              <w:rPr>
                <w:rFonts w:ascii="Arial" w:cs="Arial" w:eastAsia="Arial" w:hAnsi="Arial"/>
                <w:sz w:val="18"/>
                <w:szCs w:val="18"/>
                <w:color w:val="auto"/>
              </w:rPr>
              <w:t>(5,751)</w:t>
            </w: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gridSpan w:val="2"/>
            <w:vMerge w:val="restart"/>
          </w:tcPr>
          <w:p>
            <w:pPr>
              <w:jc w:val="right"/>
              <w:ind w:right="220"/>
              <w:spacing w:after="0"/>
              <w:rPr>
                <w:sz w:val="20"/>
                <w:szCs w:val="20"/>
                <w:color w:val="auto"/>
              </w:rPr>
            </w:pPr>
            <w:r>
              <w:rPr>
                <w:rFonts w:ascii="Arial" w:cs="Arial" w:eastAsia="Arial" w:hAnsi="Arial"/>
                <w:sz w:val="18"/>
                <w:szCs w:val="18"/>
                <w:color w:val="auto"/>
              </w:rPr>
              <w:t>(4,798)</w:t>
            </w:r>
          </w:p>
        </w:tc>
        <w:tc>
          <w:tcPr>
            <w:tcW w:w="260" w:type="dxa"/>
            <w:vAlign w:val="bottom"/>
          </w:tcPr>
          <w:p>
            <w:pPr>
              <w:spacing w:after="0"/>
              <w:rPr>
                <w:sz w:val="18"/>
                <w:szCs w:val="18"/>
                <w:color w:val="auto"/>
              </w:rPr>
            </w:pPr>
          </w:p>
        </w:tc>
        <w:tc>
          <w:tcPr>
            <w:tcW w:w="840" w:type="dxa"/>
            <w:vAlign w:val="bottom"/>
            <w:gridSpan w:val="2"/>
            <w:vMerge w:val="restart"/>
          </w:tcPr>
          <w:p>
            <w:pPr>
              <w:jc w:val="right"/>
              <w:ind w:right="160"/>
              <w:spacing w:after="0"/>
              <w:rPr>
                <w:sz w:val="20"/>
                <w:szCs w:val="20"/>
                <w:color w:val="auto"/>
              </w:rPr>
            </w:pPr>
            <w:r>
              <w:rPr>
                <w:rFonts w:ascii="Arial" w:cs="Arial" w:eastAsia="Arial" w:hAnsi="Arial"/>
                <w:sz w:val="18"/>
                <w:szCs w:val="18"/>
                <w:color w:val="auto"/>
              </w:rPr>
              <w:t>(953)</w:t>
            </w:r>
          </w:p>
        </w:tc>
        <w:tc>
          <w:tcPr>
            <w:tcW w:w="580" w:type="dxa"/>
            <w:vAlign w:val="bottom"/>
            <w:gridSpan w:val="2"/>
            <w:vMerge w:val="restart"/>
          </w:tcPr>
          <w:p>
            <w:pPr>
              <w:jc w:val="right"/>
              <w:ind w:right="20"/>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109"/>
        </w:trPr>
        <w:tc>
          <w:tcPr>
            <w:tcW w:w="3000" w:type="dxa"/>
            <w:vAlign w:val="bottom"/>
            <w:vMerge w:val="restart"/>
          </w:tcPr>
          <w:p>
            <w:pPr>
              <w:spacing w:after="0" w:line="203" w:lineRule="exact"/>
              <w:rPr>
                <w:sz w:val="20"/>
                <w:szCs w:val="20"/>
                <w:color w:val="auto"/>
              </w:rPr>
            </w:pPr>
            <w:r>
              <w:rPr>
                <w:rFonts w:ascii="Arial" w:cs="Arial" w:eastAsia="Arial" w:hAnsi="Arial"/>
                <w:sz w:val="18"/>
                <w:szCs w:val="18"/>
                <w:color w:val="auto"/>
              </w:rPr>
              <w:t>software costs</w:t>
            </w:r>
          </w:p>
        </w:tc>
        <w:tc>
          <w:tcPr>
            <w:tcW w:w="24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60" w:type="dxa"/>
            <w:vAlign w:val="bottom"/>
            <w:gridSpan w:val="2"/>
            <w:vMerge w:val="continue"/>
          </w:tcPr>
          <w:p>
            <w:pPr>
              <w:spacing w:after="0"/>
              <w:rPr>
                <w:sz w:val="9"/>
                <w:szCs w:val="9"/>
                <w:color w:val="auto"/>
              </w:rPr>
            </w:pPr>
          </w:p>
        </w:tc>
        <w:tc>
          <w:tcPr>
            <w:tcW w:w="180" w:type="dxa"/>
            <w:vAlign w:val="bottom"/>
          </w:tcPr>
          <w:p>
            <w:pPr>
              <w:spacing w:after="0"/>
              <w:rPr>
                <w:sz w:val="9"/>
                <w:szCs w:val="9"/>
                <w:color w:val="auto"/>
              </w:rPr>
            </w:pPr>
          </w:p>
        </w:tc>
        <w:tc>
          <w:tcPr>
            <w:tcW w:w="980" w:type="dxa"/>
            <w:vAlign w:val="bottom"/>
            <w:gridSpan w:val="2"/>
            <w:vMerge w:val="continue"/>
          </w:tcPr>
          <w:p>
            <w:pPr>
              <w:spacing w:after="0"/>
              <w:rPr>
                <w:sz w:val="9"/>
                <w:szCs w:val="9"/>
                <w:color w:val="auto"/>
              </w:rPr>
            </w:pPr>
          </w:p>
        </w:tc>
        <w:tc>
          <w:tcPr>
            <w:tcW w:w="200" w:type="dxa"/>
            <w:vAlign w:val="bottom"/>
          </w:tcPr>
          <w:p>
            <w:pPr>
              <w:spacing w:after="0"/>
              <w:rPr>
                <w:sz w:val="9"/>
                <w:szCs w:val="9"/>
                <w:color w:val="auto"/>
              </w:rPr>
            </w:pPr>
          </w:p>
        </w:tc>
        <w:tc>
          <w:tcPr>
            <w:tcW w:w="680" w:type="dxa"/>
            <w:vAlign w:val="bottom"/>
            <w:vMerge w:val="continue"/>
          </w:tcPr>
          <w:p>
            <w:pPr>
              <w:spacing w:after="0"/>
              <w:rPr>
                <w:sz w:val="9"/>
                <w:szCs w:val="9"/>
                <w:color w:val="auto"/>
              </w:rPr>
            </w:pPr>
          </w:p>
        </w:tc>
        <w:tc>
          <w:tcPr>
            <w:tcW w:w="200" w:type="dxa"/>
            <w:vAlign w:val="bottom"/>
          </w:tcPr>
          <w:p>
            <w:pPr>
              <w:spacing w:after="0"/>
              <w:rPr>
                <w:sz w:val="9"/>
                <w:szCs w:val="9"/>
                <w:color w:val="auto"/>
              </w:rPr>
            </w:pPr>
          </w:p>
        </w:tc>
        <w:tc>
          <w:tcPr>
            <w:tcW w:w="700" w:type="dxa"/>
            <w:vAlign w:val="bottom"/>
            <w:gridSpan w:val="2"/>
            <w:vMerge w:val="continue"/>
          </w:tcPr>
          <w:p>
            <w:pPr>
              <w:spacing w:after="0"/>
              <w:rPr>
                <w:sz w:val="9"/>
                <w:szCs w:val="9"/>
                <w:color w:val="auto"/>
              </w:rPr>
            </w:pPr>
          </w:p>
        </w:tc>
        <w:tc>
          <w:tcPr>
            <w:tcW w:w="60" w:type="dxa"/>
            <w:vAlign w:val="bottom"/>
          </w:tcPr>
          <w:p>
            <w:pPr>
              <w:spacing w:after="0"/>
              <w:rPr>
                <w:sz w:val="9"/>
                <w:szCs w:val="9"/>
                <w:color w:val="auto"/>
              </w:rPr>
            </w:pPr>
          </w:p>
        </w:tc>
        <w:tc>
          <w:tcPr>
            <w:tcW w:w="120" w:type="dxa"/>
            <w:vAlign w:val="bottom"/>
          </w:tcPr>
          <w:p>
            <w:pPr>
              <w:spacing w:after="0"/>
              <w:rPr>
                <w:sz w:val="9"/>
                <w:szCs w:val="9"/>
                <w:color w:val="auto"/>
              </w:rPr>
            </w:pPr>
          </w:p>
        </w:tc>
        <w:tc>
          <w:tcPr>
            <w:tcW w:w="980" w:type="dxa"/>
            <w:vAlign w:val="bottom"/>
            <w:gridSpan w:val="2"/>
            <w:vMerge w:val="continue"/>
          </w:tcPr>
          <w:p>
            <w:pPr>
              <w:spacing w:after="0"/>
              <w:rPr>
                <w:sz w:val="9"/>
                <w:szCs w:val="9"/>
                <w:color w:val="auto"/>
              </w:rPr>
            </w:pPr>
          </w:p>
        </w:tc>
        <w:tc>
          <w:tcPr>
            <w:tcW w:w="60" w:type="dxa"/>
            <w:vAlign w:val="bottom"/>
          </w:tcPr>
          <w:p>
            <w:pPr>
              <w:spacing w:after="0"/>
              <w:rPr>
                <w:sz w:val="9"/>
                <w:szCs w:val="9"/>
                <w:color w:val="auto"/>
              </w:rPr>
            </w:pPr>
          </w:p>
        </w:tc>
        <w:tc>
          <w:tcPr>
            <w:tcW w:w="180" w:type="dxa"/>
            <w:vAlign w:val="bottom"/>
          </w:tcPr>
          <w:p>
            <w:pPr>
              <w:spacing w:after="0"/>
              <w:rPr>
                <w:sz w:val="9"/>
                <w:szCs w:val="9"/>
                <w:color w:val="auto"/>
              </w:rPr>
            </w:pPr>
          </w:p>
        </w:tc>
        <w:tc>
          <w:tcPr>
            <w:tcW w:w="980" w:type="dxa"/>
            <w:vAlign w:val="bottom"/>
            <w:gridSpan w:val="2"/>
            <w:vMerge w:val="continue"/>
          </w:tcPr>
          <w:p>
            <w:pPr>
              <w:spacing w:after="0"/>
              <w:rPr>
                <w:sz w:val="9"/>
                <w:szCs w:val="9"/>
                <w:color w:val="auto"/>
              </w:rPr>
            </w:pPr>
          </w:p>
        </w:tc>
        <w:tc>
          <w:tcPr>
            <w:tcW w:w="260" w:type="dxa"/>
            <w:vAlign w:val="bottom"/>
          </w:tcPr>
          <w:p>
            <w:pPr>
              <w:spacing w:after="0"/>
              <w:rPr>
                <w:sz w:val="9"/>
                <w:szCs w:val="9"/>
                <w:color w:val="auto"/>
              </w:rPr>
            </w:pPr>
          </w:p>
        </w:tc>
        <w:tc>
          <w:tcPr>
            <w:tcW w:w="840" w:type="dxa"/>
            <w:vAlign w:val="bottom"/>
            <w:gridSpan w:val="2"/>
            <w:vMerge w:val="continue"/>
          </w:tcPr>
          <w:p>
            <w:pPr>
              <w:spacing w:after="0"/>
              <w:rPr>
                <w:sz w:val="9"/>
                <w:szCs w:val="9"/>
                <w:color w:val="auto"/>
              </w:rPr>
            </w:pPr>
          </w:p>
        </w:tc>
        <w:tc>
          <w:tcPr>
            <w:tcW w:w="58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95"/>
        </w:trPr>
        <w:tc>
          <w:tcPr>
            <w:tcW w:w="3000" w:type="dxa"/>
            <w:vAlign w:val="bottom"/>
            <w:tcBorders>
              <w:bottom w:val="single" w:sz="8" w:color="CFF0FC"/>
            </w:tcBorders>
            <w:vMerge w:val="continue"/>
          </w:tcPr>
          <w:p>
            <w:pPr>
              <w:spacing w:after="0"/>
              <w:rPr>
                <w:sz w:val="8"/>
                <w:szCs w:val="8"/>
                <w:color w:val="auto"/>
              </w:rPr>
            </w:pPr>
          </w:p>
        </w:tc>
        <w:tc>
          <w:tcPr>
            <w:tcW w:w="240" w:type="dxa"/>
            <w:vAlign w:val="bottom"/>
            <w:tcBorders>
              <w:bottom w:val="single" w:sz="8" w:color="CFF0FC"/>
            </w:tcBorders>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760" w:type="dxa"/>
            <w:vAlign w:val="bottom"/>
            <w:tcBorders>
              <w:bottom w:val="single" w:sz="8" w:color="auto"/>
            </w:tcBorders>
          </w:tcPr>
          <w:p>
            <w:pPr>
              <w:spacing w:after="0"/>
              <w:rPr>
                <w:sz w:val="8"/>
                <w:szCs w:val="8"/>
                <w:color w:val="auto"/>
              </w:rPr>
            </w:pPr>
          </w:p>
        </w:tc>
        <w:tc>
          <w:tcPr>
            <w:tcW w:w="300" w:type="dxa"/>
            <w:vAlign w:val="bottom"/>
            <w:tcBorders>
              <w:bottom w:val="single" w:sz="8" w:color="CFF0FC"/>
            </w:tcBorders>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680" w:type="dxa"/>
            <w:vAlign w:val="bottom"/>
            <w:tcBorders>
              <w:bottom w:val="single" w:sz="8" w:color="auto"/>
            </w:tcBorders>
          </w:tcPr>
          <w:p>
            <w:pPr>
              <w:spacing w:after="0"/>
              <w:rPr>
                <w:sz w:val="8"/>
                <w:szCs w:val="8"/>
                <w:color w:val="auto"/>
              </w:rPr>
            </w:pPr>
          </w:p>
        </w:tc>
        <w:tc>
          <w:tcPr>
            <w:tcW w:w="300" w:type="dxa"/>
            <w:vAlign w:val="bottom"/>
            <w:tcBorders>
              <w:bottom w:val="single" w:sz="8" w:color="CFF0FC"/>
            </w:tcBorders>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680" w:type="dxa"/>
            <w:vAlign w:val="bottom"/>
            <w:tcBorders>
              <w:bottom w:val="single" w:sz="8" w:color="auto"/>
            </w:tcBorders>
          </w:tcPr>
          <w:p>
            <w:pPr>
              <w:spacing w:after="0"/>
              <w:rPr>
                <w:sz w:val="8"/>
                <w:szCs w:val="8"/>
                <w:color w:val="auto"/>
              </w:rPr>
            </w:pPr>
          </w:p>
        </w:tc>
        <w:tc>
          <w:tcPr>
            <w:tcW w:w="200" w:type="dxa"/>
            <w:vAlign w:val="bottom"/>
            <w:tcBorders>
              <w:bottom w:val="single" w:sz="8" w:color="CFF0FC"/>
            </w:tcBorders>
          </w:tcPr>
          <w:p>
            <w:pPr>
              <w:spacing w:after="0"/>
              <w:rPr>
                <w:sz w:val="8"/>
                <w:szCs w:val="8"/>
                <w:color w:val="auto"/>
              </w:rPr>
            </w:pPr>
          </w:p>
        </w:tc>
        <w:tc>
          <w:tcPr>
            <w:tcW w:w="420" w:type="dxa"/>
            <w:vAlign w:val="bottom"/>
            <w:tcBorders>
              <w:bottom w:val="single" w:sz="8" w:color="auto"/>
            </w:tcBorders>
          </w:tcPr>
          <w:p>
            <w:pPr>
              <w:spacing w:after="0"/>
              <w:rPr>
                <w:sz w:val="8"/>
                <w:szCs w:val="8"/>
                <w:color w:val="auto"/>
              </w:rPr>
            </w:pPr>
          </w:p>
        </w:tc>
        <w:tc>
          <w:tcPr>
            <w:tcW w:w="280" w:type="dxa"/>
            <w:vAlign w:val="bottom"/>
            <w:tcBorders>
              <w:bottom w:val="single" w:sz="8" w:color="CFF0FC"/>
            </w:tcBorders>
          </w:tcPr>
          <w:p>
            <w:pPr>
              <w:spacing w:after="0"/>
              <w:rPr>
                <w:sz w:val="8"/>
                <w:szCs w:val="8"/>
                <w:color w:val="auto"/>
              </w:rPr>
            </w:pPr>
          </w:p>
        </w:tc>
        <w:tc>
          <w:tcPr>
            <w:tcW w:w="60" w:type="dxa"/>
            <w:vAlign w:val="bottom"/>
            <w:tcBorders>
              <w:bottom w:val="single" w:sz="8" w:color="CFF0FC"/>
            </w:tcBorders>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760" w:type="dxa"/>
            <w:vAlign w:val="bottom"/>
            <w:tcBorders>
              <w:bottom w:val="single" w:sz="8" w:color="auto"/>
            </w:tcBorders>
          </w:tcPr>
          <w:p>
            <w:pPr>
              <w:spacing w:after="0"/>
              <w:rPr>
                <w:sz w:val="8"/>
                <w:szCs w:val="8"/>
                <w:color w:val="auto"/>
              </w:rPr>
            </w:pPr>
          </w:p>
        </w:tc>
        <w:tc>
          <w:tcPr>
            <w:tcW w:w="220" w:type="dxa"/>
            <w:vAlign w:val="bottom"/>
            <w:tcBorders>
              <w:bottom w:val="single" w:sz="8" w:color="CFF0FC"/>
            </w:tcBorders>
          </w:tcPr>
          <w:p>
            <w:pPr>
              <w:spacing w:after="0"/>
              <w:rPr>
                <w:sz w:val="8"/>
                <w:szCs w:val="8"/>
                <w:color w:val="auto"/>
              </w:rPr>
            </w:pPr>
          </w:p>
        </w:tc>
        <w:tc>
          <w:tcPr>
            <w:tcW w:w="60" w:type="dxa"/>
            <w:vAlign w:val="bottom"/>
            <w:tcBorders>
              <w:bottom w:val="single" w:sz="8" w:color="CFF0FC"/>
            </w:tcBorders>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280" w:type="dxa"/>
            <w:vAlign w:val="bottom"/>
            <w:tcBorders>
              <w:bottom w:val="single" w:sz="8" w:color="CFF0FC"/>
            </w:tcBorders>
          </w:tcPr>
          <w:p>
            <w:pPr>
              <w:spacing w:after="0"/>
              <w:rPr>
                <w:sz w:val="8"/>
                <w:szCs w:val="8"/>
                <w:color w:val="auto"/>
              </w:rPr>
            </w:pPr>
          </w:p>
        </w:tc>
        <w:tc>
          <w:tcPr>
            <w:tcW w:w="260" w:type="dxa"/>
            <w:vAlign w:val="bottom"/>
            <w:tcBorders>
              <w:bottom w:val="single" w:sz="8" w:color="auto"/>
            </w:tcBorders>
          </w:tcPr>
          <w:p>
            <w:pPr>
              <w:spacing w:after="0"/>
              <w:rPr>
                <w:sz w:val="8"/>
                <w:szCs w:val="8"/>
                <w:color w:val="auto"/>
              </w:rPr>
            </w:pPr>
          </w:p>
        </w:tc>
        <w:tc>
          <w:tcPr>
            <w:tcW w:w="620" w:type="dxa"/>
            <w:vAlign w:val="bottom"/>
            <w:tcBorders>
              <w:bottom w:val="single" w:sz="8" w:color="auto"/>
            </w:tcBorders>
          </w:tcPr>
          <w:p>
            <w:pPr>
              <w:spacing w:after="0"/>
              <w:rPr>
                <w:sz w:val="8"/>
                <w:szCs w:val="8"/>
                <w:color w:val="auto"/>
              </w:rPr>
            </w:pPr>
          </w:p>
        </w:tc>
        <w:tc>
          <w:tcPr>
            <w:tcW w:w="220" w:type="dxa"/>
            <w:vAlign w:val="bottom"/>
            <w:tcBorders>
              <w:bottom w:val="single" w:sz="8" w:color="CFF0FC"/>
            </w:tcBorders>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180" w:type="dxa"/>
            <w:vAlign w:val="bottom"/>
            <w:tcBorders>
              <w:bottom w:val="single" w:sz="8" w:color="CFF0FC"/>
            </w:tcBorders>
          </w:tcPr>
          <w:p>
            <w:pPr>
              <w:spacing w:after="0"/>
              <w:rPr>
                <w:sz w:val="8"/>
                <w:szCs w:val="8"/>
                <w:color w:val="auto"/>
              </w:rPr>
            </w:pPr>
          </w:p>
        </w:tc>
        <w:tc>
          <w:tcPr>
            <w:tcW w:w="0" w:type="dxa"/>
            <w:vAlign w:val="bottom"/>
          </w:tcPr>
          <w:p>
            <w:pPr>
              <w:spacing w:after="0"/>
              <w:rPr>
                <w:sz w:val="1"/>
                <w:szCs w:val="1"/>
                <w:color w:val="auto"/>
              </w:rPr>
            </w:pPr>
          </w:p>
        </w:tc>
      </w:tr>
      <w:tr>
        <w:trPr>
          <w:trHeight w:val="210"/>
        </w:trPr>
        <w:tc>
          <w:tcPr>
            <w:tcW w:w="3000" w:type="dxa"/>
            <w:vAlign w:val="bottom"/>
            <w:shd w:val="clear" w:color="auto" w:fill="CFF0FC"/>
          </w:tcPr>
          <w:p>
            <w:pPr>
              <w:spacing w:after="0"/>
              <w:rPr>
                <w:sz w:val="20"/>
                <w:szCs w:val="20"/>
                <w:color w:val="auto"/>
              </w:rPr>
            </w:pPr>
            <w:r>
              <w:rPr>
                <w:rFonts w:ascii="Arial" w:cs="Arial" w:eastAsia="Arial" w:hAnsi="Arial"/>
                <w:sz w:val="18"/>
                <w:szCs w:val="18"/>
                <w:color w:val="auto"/>
              </w:rPr>
              <w:t>Research and development, net</w:t>
            </w:r>
          </w:p>
        </w:tc>
        <w:tc>
          <w:tcPr>
            <w:tcW w:w="36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w:t>
            </w: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43,006</w:t>
            </w:r>
          </w:p>
        </w:tc>
        <w:tc>
          <w:tcPr>
            <w:tcW w:w="300" w:type="dxa"/>
            <w:vAlign w:val="bottom"/>
            <w:shd w:val="clear" w:color="auto" w:fill="CFF0FC"/>
          </w:tcPr>
          <w:p>
            <w:pPr>
              <w:spacing w:after="0"/>
              <w:rPr>
                <w:sz w:val="18"/>
                <w:szCs w:val="18"/>
                <w:color w:val="auto"/>
              </w:rPr>
            </w:pP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30,754</w:t>
            </w:r>
          </w:p>
        </w:tc>
        <w:tc>
          <w:tcPr>
            <w:tcW w:w="300" w:type="dxa"/>
            <w:vAlign w:val="bottom"/>
            <w:shd w:val="clear" w:color="auto" w:fill="CFF0FC"/>
          </w:tcPr>
          <w:p>
            <w:pPr>
              <w:spacing w:after="0"/>
              <w:rPr>
                <w:sz w:val="18"/>
                <w:szCs w:val="18"/>
                <w:color w:val="auto"/>
              </w:rPr>
            </w:pPr>
          </w:p>
        </w:tc>
        <w:tc>
          <w:tcPr>
            <w:tcW w:w="20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12,252</w:t>
            </w:r>
          </w:p>
        </w:tc>
        <w:tc>
          <w:tcPr>
            <w:tcW w:w="200" w:type="dxa"/>
            <w:vAlign w:val="bottom"/>
            <w:shd w:val="clear" w:color="auto" w:fill="CFF0FC"/>
          </w:tcPr>
          <w:p>
            <w:pPr>
              <w:spacing w:after="0"/>
              <w:rPr>
                <w:sz w:val="18"/>
                <w:szCs w:val="18"/>
                <w:color w:val="auto"/>
              </w:rPr>
            </w:pPr>
          </w:p>
        </w:tc>
        <w:tc>
          <w:tcPr>
            <w:tcW w:w="70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40%</w:t>
            </w:r>
          </w:p>
        </w:tc>
        <w:tc>
          <w:tcPr>
            <w:tcW w:w="18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w:t>
            </w: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30,754</w:t>
            </w:r>
          </w:p>
        </w:tc>
        <w:tc>
          <w:tcPr>
            <w:tcW w:w="220" w:type="dxa"/>
            <w:vAlign w:val="bottom"/>
            <w:shd w:val="clear" w:color="auto" w:fill="CFF0FC"/>
          </w:tcPr>
          <w:p>
            <w:pPr>
              <w:spacing w:after="0"/>
              <w:rPr>
                <w:sz w:val="18"/>
                <w:szCs w:val="18"/>
                <w:color w:val="auto"/>
              </w:rPr>
            </w:pPr>
          </w:p>
        </w:tc>
        <w:tc>
          <w:tcPr>
            <w:tcW w:w="24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w:t>
            </w: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23,874</w:t>
            </w:r>
          </w:p>
        </w:tc>
        <w:tc>
          <w:tcPr>
            <w:tcW w:w="280" w:type="dxa"/>
            <w:vAlign w:val="bottom"/>
            <w:shd w:val="clear" w:color="auto" w:fill="CFF0FC"/>
          </w:tcPr>
          <w:p>
            <w:pPr>
              <w:spacing w:after="0"/>
              <w:rPr>
                <w:sz w:val="18"/>
                <w:szCs w:val="18"/>
                <w:color w:val="auto"/>
              </w:rPr>
            </w:pPr>
          </w:p>
        </w:tc>
        <w:tc>
          <w:tcPr>
            <w:tcW w:w="26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6,880</w:t>
            </w:r>
          </w:p>
        </w:tc>
        <w:tc>
          <w:tcPr>
            <w:tcW w:w="220" w:type="dxa"/>
            <w:vAlign w:val="bottom"/>
            <w:shd w:val="clear" w:color="auto" w:fill="CFF0FC"/>
          </w:tcPr>
          <w:p>
            <w:pPr>
              <w:spacing w:after="0"/>
              <w:rPr>
                <w:sz w:val="18"/>
                <w:szCs w:val="18"/>
                <w:color w:val="auto"/>
              </w:rPr>
            </w:pPr>
          </w:p>
        </w:tc>
        <w:tc>
          <w:tcPr>
            <w:tcW w:w="58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20"/>
        </w:trPr>
        <w:tc>
          <w:tcPr>
            <w:tcW w:w="3000" w:type="dxa"/>
            <w:vAlign w:val="bottom"/>
            <w:tcBorders>
              <w:top w:val="single" w:sz="8" w:color="CFF0FC"/>
            </w:tcBorders>
          </w:tcPr>
          <w:p>
            <w:pPr>
              <w:spacing w:after="0" w:line="20" w:lineRule="exact"/>
              <w:rPr>
                <w:sz w:val="1"/>
                <w:szCs w:val="1"/>
                <w:color w:val="auto"/>
              </w:rPr>
            </w:pPr>
          </w:p>
        </w:tc>
        <w:tc>
          <w:tcPr>
            <w:tcW w:w="24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CFF0FC"/>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CFF0FC"/>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FF0FC"/>
            </w:tcBorders>
          </w:tcPr>
          <w:p>
            <w:pPr>
              <w:spacing w:after="0" w:line="20" w:lineRule="exact"/>
              <w:rPr>
                <w:sz w:val="1"/>
                <w:szCs w:val="1"/>
                <w:color w:val="auto"/>
              </w:rPr>
            </w:pPr>
          </w:p>
        </w:tc>
        <w:tc>
          <w:tcPr>
            <w:tcW w:w="420" w:type="dxa"/>
            <w:vAlign w:val="bottom"/>
            <w:tcBorders>
              <w:top w:val="single" w:sz="8" w:color="CFF0FC"/>
            </w:tcBorders>
          </w:tcPr>
          <w:p>
            <w:pPr>
              <w:spacing w:after="0" w:line="20" w:lineRule="exact"/>
              <w:rPr>
                <w:sz w:val="1"/>
                <w:szCs w:val="1"/>
                <w:color w:val="auto"/>
              </w:rPr>
            </w:pPr>
          </w:p>
        </w:tc>
        <w:tc>
          <w:tcPr>
            <w:tcW w:w="280" w:type="dxa"/>
            <w:vAlign w:val="bottom"/>
            <w:tcBorders>
              <w:top w:val="single" w:sz="8" w:color="CFF0FC"/>
            </w:tcBorders>
          </w:tcPr>
          <w:p>
            <w:pPr>
              <w:spacing w:after="0" w:line="20" w:lineRule="exact"/>
              <w:rPr>
                <w:sz w:val="1"/>
                <w:szCs w:val="1"/>
                <w:color w:val="auto"/>
              </w:rPr>
            </w:pPr>
          </w:p>
        </w:tc>
        <w:tc>
          <w:tcPr>
            <w:tcW w:w="6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60" w:type="dxa"/>
            <w:vAlign w:val="bottom"/>
            <w:tcBorders>
              <w:top w:val="single" w:sz="8" w:color="CFF0FC"/>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FF0FC"/>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400" w:type="dxa"/>
            <w:vAlign w:val="bottom"/>
            <w:tcBorders>
              <w:top w:val="single" w:sz="8" w:color="CFF0FC"/>
            </w:tcBorders>
          </w:tcPr>
          <w:p>
            <w:pPr>
              <w:spacing w:after="0" w:line="20" w:lineRule="exact"/>
              <w:rPr>
                <w:sz w:val="1"/>
                <w:szCs w:val="1"/>
                <w:color w:val="auto"/>
              </w:rPr>
            </w:pPr>
          </w:p>
        </w:tc>
        <w:tc>
          <w:tcPr>
            <w:tcW w:w="18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000" w:type="dxa"/>
            <w:vAlign w:val="bottom"/>
          </w:tcPr>
          <w:p>
            <w:pPr>
              <w:spacing w:after="0"/>
              <w:rPr>
                <w:sz w:val="20"/>
                <w:szCs w:val="20"/>
                <w:color w:val="auto"/>
              </w:rPr>
            </w:pPr>
            <w:r>
              <w:rPr>
                <w:rFonts w:ascii="Arial" w:cs="Arial" w:eastAsia="Arial" w:hAnsi="Arial"/>
                <w:sz w:val="18"/>
                <w:szCs w:val="18"/>
                <w:color w:val="auto"/>
              </w:rPr>
              <w:t>Percentage of total revenues</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rPr>
              <w:t>14.9%</w:t>
            </w:r>
          </w:p>
        </w:tc>
        <w:tc>
          <w:tcPr>
            <w:tcW w:w="180" w:type="dxa"/>
            <w:vAlign w:val="bottom"/>
          </w:tcPr>
          <w:p>
            <w:pPr>
              <w:spacing w:after="0"/>
              <w:rPr>
                <w:sz w:val="18"/>
                <w:szCs w:val="18"/>
                <w:color w:val="auto"/>
              </w:rPr>
            </w:pPr>
          </w:p>
        </w:tc>
        <w:tc>
          <w:tcPr>
            <w:tcW w:w="980" w:type="dxa"/>
            <w:vAlign w:val="bottom"/>
            <w:gridSpan w:val="2"/>
          </w:tcPr>
          <w:p>
            <w:pPr>
              <w:jc w:val="right"/>
              <w:ind w:right="140"/>
              <w:spacing w:after="0"/>
              <w:rPr>
                <w:sz w:val="20"/>
                <w:szCs w:val="20"/>
                <w:color w:val="auto"/>
              </w:rPr>
            </w:pPr>
            <w:r>
              <w:rPr>
                <w:rFonts w:ascii="Arial" w:cs="Arial" w:eastAsia="Arial" w:hAnsi="Arial"/>
                <w:sz w:val="18"/>
                <w:szCs w:val="18"/>
                <w:color w:val="auto"/>
              </w:rPr>
              <w:t>13.5%</w:t>
            </w:r>
          </w:p>
        </w:tc>
        <w:tc>
          <w:tcPr>
            <w:tcW w:w="2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gridSpan w:val="2"/>
          </w:tcPr>
          <w:p>
            <w:pPr>
              <w:jc w:val="right"/>
              <w:ind w:right="60"/>
              <w:spacing w:after="0"/>
              <w:rPr>
                <w:sz w:val="20"/>
                <w:szCs w:val="20"/>
                <w:color w:val="auto"/>
              </w:rPr>
            </w:pPr>
            <w:r>
              <w:rPr>
                <w:rFonts w:ascii="Arial" w:cs="Arial" w:eastAsia="Arial" w:hAnsi="Arial"/>
                <w:sz w:val="18"/>
                <w:szCs w:val="18"/>
                <w:color w:val="auto"/>
              </w:rPr>
              <w:t>13.5%</w:t>
            </w: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gridSpan w:val="2"/>
          </w:tcPr>
          <w:p>
            <w:pPr>
              <w:jc w:val="right"/>
              <w:ind w:right="120"/>
              <w:spacing w:after="0"/>
              <w:rPr>
                <w:sz w:val="20"/>
                <w:szCs w:val="20"/>
                <w:color w:val="auto"/>
              </w:rPr>
            </w:pPr>
            <w:r>
              <w:rPr>
                <w:rFonts w:ascii="Arial" w:cs="Arial" w:eastAsia="Arial" w:hAnsi="Arial"/>
                <w:sz w:val="18"/>
                <w:szCs w:val="18"/>
                <w:color w:val="auto"/>
              </w:rPr>
              <w:t>13.6%</w:t>
            </w:r>
          </w:p>
        </w:tc>
        <w:tc>
          <w:tcPr>
            <w:tcW w:w="2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right="220" w:firstLine="518"/>
        <w:spacing w:after="0" w:line="237" w:lineRule="auto"/>
        <w:rPr>
          <w:sz w:val="20"/>
          <w:szCs w:val="20"/>
          <w:color w:val="auto"/>
        </w:rPr>
      </w:pPr>
      <w:r>
        <w:rPr>
          <w:rFonts w:ascii="Arial" w:cs="Arial" w:eastAsia="Arial" w:hAnsi="Arial"/>
          <w:sz w:val="18"/>
          <w:szCs w:val="18"/>
          <w:color w:val="auto"/>
        </w:rPr>
        <w:t>The increase in research and development expenses for the year ended December 31, 2019, compared to the year ended December 31, 2018, was primarily due to a $9.0 million increase in salaries, benefits, and stock-based compensation; a $1.9 million increase in professional services expense; and a $0.5 million decrease in capitalized software costs, which resulted in an increase in net expenses. The increase in salaries, benefits, and stock-based compensation was primarily driven by a 12% increase in average headcount from the year ended December 31, 2018 to the year ended December 31, 2019. The increase in professional services expense was primarily driven by the investment in products, features, and functionality buildouts by external consultants.</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2720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657" w:right="239" w:bottom="1440" w:gutter="0" w:footer="0" w:header="0"/>
        </w:sectPr>
      </w:pPr>
    </w:p>
    <w:bookmarkStart w:id="46" w:name="page47"/>
    <w:bookmarkEnd w:id="46"/>
    <w:p>
      <w:pPr>
        <w:ind w:right="60" w:firstLine="518"/>
        <w:spacing w:after="0" w:line="237" w:lineRule="auto"/>
        <w:rPr>
          <w:sz w:val="20"/>
          <w:szCs w:val="20"/>
          <w:color w:val="auto"/>
        </w:rPr>
      </w:pPr>
      <w:r>
        <w:rPr>
          <w:rFonts w:ascii="Arial" w:cs="Arial" w:eastAsia="Arial" w:hAnsi="Arial"/>
          <w:sz w:val="18"/>
          <w:szCs w:val="18"/>
          <w:color w:val="auto"/>
        </w:rPr>
        <w:t>The increase in research and development expenses for the year ended December 31, 2018, compared to the year ended December 31, 2017, was primarily due to an $8.1 million increase in salaries, benefits, and stock-based compensation and a $0.3 million increase in overhead-related expenses, partially offset by a $1.0 million increase in capitalized software costs, which resulted in a decrease in expenses in the periods capitalized, and a $0.6 million decrease in professional services expense. The increase in salaries, benefits, and stock-based compensation was primarily driven by a 24% increase in average headcount from the year ended December 31, 2017 to the year ended December 31, 2018. The increase in capitalized software costs was primarily due to an increase in our headcount, as well as higher capitalization rates.</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General and administrative</w:t>
      </w:r>
    </w:p>
    <w:p>
      <w:pPr>
        <w:spacing w:after="0" w:line="262"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28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040" w:type="dxa"/>
            <w:vAlign w:val="bottom"/>
            <w:tcBorders>
              <w:bottom w:val="single" w:sz="8" w:color="auto"/>
            </w:tcBorders>
            <w:gridSpan w:val="2"/>
          </w:tcPr>
          <w:p>
            <w:pPr>
              <w:jc w:val="right"/>
              <w:ind w:right="76"/>
              <w:spacing w:after="0"/>
              <w:rPr>
                <w:sz w:val="20"/>
                <w:szCs w:val="20"/>
                <w:color w:val="auto"/>
              </w:rPr>
            </w:pPr>
            <w:r>
              <w:rPr>
                <w:rFonts w:ascii="Arial" w:cs="Arial" w:eastAsia="Arial" w:hAnsi="Arial"/>
                <w:sz w:val="14"/>
                <w:szCs w:val="14"/>
                <w:b w:val="1"/>
                <w:bCs w:val="1"/>
                <w:color w:val="auto"/>
              </w:rPr>
              <w:t>Year Ended December 31,</w:t>
            </w:r>
          </w:p>
        </w:tc>
        <w:tc>
          <w:tcPr>
            <w:tcW w:w="28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ind w:left="240"/>
              <w:spacing w:after="0"/>
              <w:rPr>
                <w:sz w:val="20"/>
                <w:szCs w:val="20"/>
                <w:color w:val="auto"/>
              </w:rPr>
            </w:pPr>
            <w:r>
              <w:rPr>
                <w:rFonts w:ascii="Arial" w:cs="Arial" w:eastAsia="Arial" w:hAnsi="Arial"/>
                <w:sz w:val="14"/>
                <w:szCs w:val="14"/>
                <w:b w:val="1"/>
                <w:bCs w:val="1"/>
                <w:color w:val="auto"/>
              </w:rPr>
              <w:t>Change</w:t>
            </w:r>
          </w:p>
        </w:tc>
        <w:tc>
          <w:tcPr>
            <w:tcW w:w="380" w:type="dxa"/>
            <w:vAlign w:val="bottom"/>
            <w:tcBorders>
              <w:bottom w:val="single" w:sz="8" w:color="auto"/>
            </w:tcBorders>
          </w:tcPr>
          <w:p>
            <w:pPr>
              <w:spacing w:after="0"/>
              <w:rPr>
                <w:sz w:val="15"/>
                <w:szCs w:val="15"/>
                <w:color w:val="auto"/>
              </w:rPr>
            </w:pPr>
          </w:p>
        </w:tc>
        <w:tc>
          <w:tcPr>
            <w:tcW w:w="28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920" w:type="dxa"/>
            <w:vAlign w:val="bottom"/>
            <w:tcBorders>
              <w:bottom w:val="single" w:sz="8" w:color="auto"/>
            </w:tcBorders>
            <w:gridSpan w:val="2"/>
          </w:tcPr>
          <w:p>
            <w:pPr>
              <w:jc w:val="right"/>
              <w:ind w:right="56"/>
              <w:spacing w:after="0"/>
              <w:rPr>
                <w:sz w:val="20"/>
                <w:szCs w:val="20"/>
                <w:color w:val="auto"/>
              </w:rPr>
            </w:pPr>
            <w:r>
              <w:rPr>
                <w:rFonts w:ascii="Arial" w:cs="Arial" w:eastAsia="Arial" w:hAnsi="Arial"/>
                <w:sz w:val="14"/>
                <w:szCs w:val="14"/>
                <w:b w:val="1"/>
                <w:bCs w:val="1"/>
                <w:color w:val="auto"/>
              </w:rPr>
              <w:t>Year Ended December 31,</w:t>
            </w:r>
          </w:p>
        </w:tc>
        <w:tc>
          <w:tcPr>
            <w:tcW w:w="28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ind w:right="22"/>
              <w:spacing w:after="0"/>
              <w:rPr>
                <w:sz w:val="20"/>
                <w:szCs w:val="20"/>
                <w:color w:val="auto"/>
              </w:rPr>
            </w:pPr>
            <w:r>
              <w:rPr>
                <w:rFonts w:ascii="Arial" w:cs="Arial" w:eastAsia="Arial" w:hAnsi="Arial"/>
                <w:sz w:val="14"/>
                <w:szCs w:val="14"/>
                <w:b w:val="1"/>
                <w:bCs w:val="1"/>
                <w:color w:val="auto"/>
              </w:rPr>
              <w:t>Change</w:t>
            </w:r>
          </w:p>
        </w:tc>
        <w:tc>
          <w:tcPr>
            <w:tcW w:w="380" w:type="dxa"/>
            <w:vAlign w:val="bottom"/>
            <w:tcBorders>
              <w:bottom w:val="single" w:sz="8" w:color="auto"/>
            </w:tcBorders>
          </w:tcPr>
          <w:p>
            <w:pPr>
              <w:spacing w:after="0"/>
              <w:rPr>
                <w:sz w:val="15"/>
                <w:szCs w:val="15"/>
                <w:color w:val="auto"/>
              </w:rPr>
            </w:pPr>
          </w:p>
        </w:tc>
        <w:tc>
          <w:tcPr>
            <w:tcW w:w="180" w:type="dxa"/>
            <w:vAlign w:val="bottom"/>
          </w:tcPr>
          <w:p>
            <w:pPr>
              <w:spacing w:after="0"/>
              <w:rPr>
                <w:sz w:val="15"/>
                <w:szCs w:val="15"/>
                <w:color w:val="auto"/>
              </w:rPr>
            </w:pPr>
          </w:p>
        </w:tc>
      </w:tr>
      <w:tr>
        <w:trPr>
          <w:trHeight w:val="210"/>
        </w:trPr>
        <w:tc>
          <w:tcPr>
            <w:tcW w:w="2820" w:type="dxa"/>
            <w:vAlign w:val="bottom"/>
          </w:tcPr>
          <w:p>
            <w:pPr>
              <w:spacing w:after="0"/>
              <w:rPr>
                <w:sz w:val="18"/>
                <w:szCs w:val="18"/>
                <w:color w:val="auto"/>
              </w:rPr>
            </w:pPr>
          </w:p>
        </w:tc>
        <w:tc>
          <w:tcPr>
            <w:tcW w:w="1600" w:type="dxa"/>
            <w:vAlign w:val="bottom"/>
            <w:gridSpan w:val="2"/>
          </w:tcPr>
          <w:p>
            <w:pPr>
              <w:jc w:val="right"/>
              <w:ind w:right="448"/>
              <w:spacing w:after="0"/>
              <w:rPr>
                <w:sz w:val="20"/>
                <w:szCs w:val="20"/>
                <w:color w:val="auto"/>
              </w:rPr>
            </w:pPr>
            <w:r>
              <w:rPr>
                <w:rFonts w:ascii="Arial" w:cs="Arial" w:eastAsia="Arial" w:hAnsi="Arial"/>
                <w:sz w:val="14"/>
                <w:szCs w:val="14"/>
                <w:b w:val="1"/>
                <w:bCs w:val="1"/>
                <w:color w:val="auto"/>
              </w:rPr>
              <w:t>2019</w:t>
            </w:r>
          </w:p>
        </w:tc>
        <w:tc>
          <w:tcPr>
            <w:tcW w:w="940" w:type="dxa"/>
            <w:vAlign w:val="bottom"/>
          </w:tcPr>
          <w:p>
            <w:pPr>
              <w:jc w:val="right"/>
              <w:ind w:right="196"/>
              <w:spacing w:after="0"/>
              <w:rPr>
                <w:sz w:val="20"/>
                <w:szCs w:val="20"/>
                <w:color w:val="auto"/>
              </w:rPr>
            </w:pPr>
            <w:r>
              <w:rPr>
                <w:rFonts w:ascii="Arial" w:cs="Arial" w:eastAsia="Arial" w:hAnsi="Arial"/>
                <w:sz w:val="14"/>
                <w:szCs w:val="14"/>
                <w:b w:val="1"/>
                <w:bCs w:val="1"/>
                <w:color w:val="auto"/>
              </w:rPr>
              <w:t>2018</w:t>
            </w: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jc w:val="right"/>
              <w:ind w:right="564"/>
              <w:spacing w:after="0"/>
              <w:rPr>
                <w:sz w:val="20"/>
                <w:szCs w:val="20"/>
                <w:color w:val="auto"/>
              </w:rPr>
            </w:pPr>
            <w:r>
              <w:rPr>
                <w:rFonts w:ascii="Arial" w:cs="Arial" w:eastAsia="Arial" w:hAnsi="Arial"/>
                <w:sz w:val="14"/>
                <w:szCs w:val="14"/>
                <w:b w:val="1"/>
                <w:bCs w:val="1"/>
                <w:color w:val="auto"/>
              </w:rPr>
              <w:t>$</w:t>
            </w:r>
          </w:p>
        </w:tc>
        <w:tc>
          <w:tcPr>
            <w:tcW w:w="380" w:type="dxa"/>
            <w:vAlign w:val="bottom"/>
          </w:tcPr>
          <w:p>
            <w:pPr>
              <w:jc w:val="right"/>
              <w:ind w:right="59"/>
              <w:spacing w:after="0"/>
              <w:rPr>
                <w:sz w:val="20"/>
                <w:szCs w:val="20"/>
                <w:color w:val="auto"/>
              </w:rPr>
            </w:pPr>
            <w:r>
              <w:rPr>
                <w:rFonts w:ascii="Arial" w:cs="Arial" w:eastAsia="Arial" w:hAnsi="Arial"/>
                <w:sz w:val="14"/>
                <w:szCs w:val="14"/>
                <w:b w:val="1"/>
                <w:bCs w:val="1"/>
                <w:color w:val="auto"/>
              </w:rPr>
              <w:t>%</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jc w:val="right"/>
              <w:ind w:right="439"/>
              <w:spacing w:after="0"/>
              <w:rPr>
                <w:sz w:val="20"/>
                <w:szCs w:val="20"/>
                <w:color w:val="auto"/>
              </w:rPr>
            </w:pPr>
            <w:r>
              <w:rPr>
                <w:rFonts w:ascii="Arial" w:cs="Arial" w:eastAsia="Arial" w:hAnsi="Arial"/>
                <w:sz w:val="14"/>
                <w:szCs w:val="14"/>
                <w:b w:val="1"/>
                <w:bCs w:val="1"/>
                <w:color w:val="auto"/>
              </w:rPr>
              <w:t>2018</w:t>
            </w:r>
          </w:p>
        </w:tc>
        <w:tc>
          <w:tcPr>
            <w:tcW w:w="920" w:type="dxa"/>
            <w:vAlign w:val="bottom"/>
          </w:tcPr>
          <w:p>
            <w:pPr>
              <w:jc w:val="right"/>
              <w:ind w:right="196"/>
              <w:spacing w:after="0"/>
              <w:rPr>
                <w:sz w:val="20"/>
                <w:szCs w:val="20"/>
                <w:color w:val="auto"/>
              </w:rPr>
            </w:pPr>
            <w:r>
              <w:rPr>
                <w:rFonts w:ascii="Arial" w:cs="Arial" w:eastAsia="Arial" w:hAnsi="Arial"/>
                <w:sz w:val="14"/>
                <w:szCs w:val="14"/>
                <w:b w:val="1"/>
                <w:bCs w:val="1"/>
                <w:color w:val="auto"/>
              </w:rPr>
              <w:t>2017</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jc w:val="right"/>
              <w:ind w:right="562"/>
              <w:spacing w:after="0"/>
              <w:rPr>
                <w:sz w:val="20"/>
                <w:szCs w:val="20"/>
                <w:color w:val="auto"/>
              </w:rPr>
            </w:pPr>
            <w:r>
              <w:rPr>
                <w:rFonts w:ascii="Arial" w:cs="Arial" w:eastAsia="Arial" w:hAnsi="Arial"/>
                <w:sz w:val="14"/>
                <w:szCs w:val="14"/>
                <w:b w:val="1"/>
                <w:bCs w:val="1"/>
                <w:color w:val="auto"/>
              </w:rPr>
              <w:t>$</w:t>
            </w:r>
          </w:p>
        </w:tc>
        <w:tc>
          <w:tcPr>
            <w:tcW w:w="380" w:type="dxa"/>
            <w:vAlign w:val="bottom"/>
          </w:tcPr>
          <w:p>
            <w:pPr>
              <w:jc w:val="right"/>
              <w:ind w:right="59"/>
              <w:spacing w:after="0"/>
              <w:rPr>
                <w:sz w:val="20"/>
                <w:szCs w:val="20"/>
                <w:color w:val="auto"/>
              </w:rPr>
            </w:pPr>
            <w:r>
              <w:rPr>
                <w:rFonts w:ascii="Arial" w:cs="Arial" w:eastAsia="Arial" w:hAnsi="Arial"/>
                <w:sz w:val="14"/>
                <w:szCs w:val="14"/>
                <w:b w:val="1"/>
                <w:bCs w:val="1"/>
                <w:color w:val="auto"/>
              </w:rPr>
              <w:t>%</w:t>
            </w:r>
          </w:p>
        </w:tc>
        <w:tc>
          <w:tcPr>
            <w:tcW w:w="180" w:type="dxa"/>
            <w:vAlign w:val="bottom"/>
          </w:tcPr>
          <w:p>
            <w:pPr>
              <w:spacing w:after="0"/>
              <w:rPr>
                <w:sz w:val="18"/>
                <w:szCs w:val="18"/>
                <w:color w:val="auto"/>
              </w:rPr>
            </w:pPr>
          </w:p>
        </w:tc>
      </w:tr>
      <w:tr>
        <w:trPr>
          <w:trHeight w:val="169"/>
        </w:trPr>
        <w:tc>
          <w:tcPr>
            <w:tcW w:w="28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100" w:type="dxa"/>
            <w:vAlign w:val="bottom"/>
            <w:tcBorders>
              <w:top w:val="single" w:sz="8" w:color="auto"/>
            </w:tcBorders>
          </w:tcPr>
          <w:p>
            <w:pPr>
              <w:spacing w:after="0"/>
              <w:rPr>
                <w:sz w:val="14"/>
                <w:szCs w:val="14"/>
                <w:color w:val="auto"/>
              </w:rPr>
            </w:pPr>
          </w:p>
        </w:tc>
        <w:tc>
          <w:tcPr>
            <w:tcW w:w="940" w:type="dxa"/>
            <w:vAlign w:val="bottom"/>
            <w:tcBorders>
              <w:top w:val="single" w:sz="8" w:color="auto"/>
            </w:tcBorders>
          </w:tcPr>
          <w:p>
            <w:pPr>
              <w:spacing w:after="0"/>
              <w:rPr>
                <w:sz w:val="14"/>
                <w:szCs w:val="14"/>
                <w:color w:val="auto"/>
              </w:rPr>
            </w:pPr>
          </w:p>
        </w:tc>
        <w:tc>
          <w:tcPr>
            <w:tcW w:w="280" w:type="dxa"/>
            <w:vAlign w:val="bottom"/>
            <w:tcBorders>
              <w:top w:val="single" w:sz="8" w:color="auto"/>
            </w:tcBorders>
          </w:tcPr>
          <w:p>
            <w:pPr>
              <w:spacing w:after="0"/>
              <w:rPr>
                <w:sz w:val="14"/>
                <w:szCs w:val="14"/>
                <w:color w:val="auto"/>
              </w:rPr>
            </w:pPr>
          </w:p>
        </w:tc>
        <w:tc>
          <w:tcPr>
            <w:tcW w:w="240" w:type="dxa"/>
            <w:vAlign w:val="bottom"/>
            <w:tcBorders>
              <w:top w:val="single" w:sz="8" w:color="auto"/>
            </w:tcBorders>
          </w:tcPr>
          <w:p>
            <w:pPr>
              <w:spacing w:after="0"/>
              <w:rPr>
                <w:sz w:val="14"/>
                <w:szCs w:val="14"/>
                <w:color w:val="auto"/>
              </w:rPr>
            </w:pPr>
          </w:p>
        </w:tc>
        <w:tc>
          <w:tcPr>
            <w:tcW w:w="2660" w:type="dxa"/>
            <w:vAlign w:val="bottom"/>
            <w:tcBorders>
              <w:top w:val="single" w:sz="8" w:color="auto"/>
            </w:tcBorders>
            <w:gridSpan w:val="5"/>
          </w:tcPr>
          <w:p>
            <w:pPr>
              <w:ind w:left="180"/>
              <w:spacing w:after="0"/>
              <w:rPr>
                <w:sz w:val="20"/>
                <w:szCs w:val="20"/>
                <w:color w:val="auto"/>
              </w:rPr>
            </w:pPr>
            <w:r>
              <w:rPr>
                <w:rFonts w:ascii="Arial" w:cs="Arial" w:eastAsia="Arial" w:hAnsi="Arial"/>
                <w:sz w:val="14"/>
                <w:szCs w:val="14"/>
                <w:b w:val="1"/>
                <w:bCs w:val="1"/>
                <w:color w:val="auto"/>
              </w:rPr>
              <w:t>(in thousands, except percentages)</w:t>
            </w:r>
          </w:p>
        </w:tc>
        <w:tc>
          <w:tcPr>
            <w:tcW w:w="920" w:type="dxa"/>
            <w:vAlign w:val="bottom"/>
            <w:tcBorders>
              <w:top w:val="single" w:sz="8" w:color="auto"/>
            </w:tcBorders>
          </w:tcPr>
          <w:p>
            <w:pPr>
              <w:spacing w:after="0"/>
              <w:rPr>
                <w:sz w:val="14"/>
                <w:szCs w:val="14"/>
                <w:color w:val="auto"/>
              </w:rPr>
            </w:pPr>
          </w:p>
        </w:tc>
        <w:tc>
          <w:tcPr>
            <w:tcW w:w="280" w:type="dxa"/>
            <w:vAlign w:val="bottom"/>
            <w:tcBorders>
              <w:top w:val="single" w:sz="8" w:color="auto"/>
            </w:tcBorders>
          </w:tcPr>
          <w:p>
            <w:pPr>
              <w:spacing w:after="0"/>
              <w:rPr>
                <w:sz w:val="14"/>
                <w:szCs w:val="14"/>
                <w:color w:val="auto"/>
              </w:rPr>
            </w:pPr>
          </w:p>
        </w:tc>
        <w:tc>
          <w:tcPr>
            <w:tcW w:w="220" w:type="dxa"/>
            <w:vAlign w:val="bottom"/>
            <w:tcBorders>
              <w:top w:val="single" w:sz="8" w:color="auto"/>
            </w:tcBorders>
          </w:tcPr>
          <w:p>
            <w:pPr>
              <w:spacing w:after="0"/>
              <w:rPr>
                <w:sz w:val="14"/>
                <w:szCs w:val="14"/>
                <w:color w:val="auto"/>
              </w:rPr>
            </w:pPr>
          </w:p>
        </w:tc>
        <w:tc>
          <w:tcPr>
            <w:tcW w:w="900" w:type="dxa"/>
            <w:vAlign w:val="bottom"/>
            <w:tcBorders>
              <w:top w:val="single" w:sz="8" w:color="auto"/>
            </w:tcBorders>
          </w:tcPr>
          <w:p>
            <w:pPr>
              <w:spacing w:after="0"/>
              <w:rPr>
                <w:sz w:val="14"/>
                <w:szCs w:val="14"/>
                <w:color w:val="auto"/>
              </w:rPr>
            </w:pPr>
          </w:p>
        </w:tc>
        <w:tc>
          <w:tcPr>
            <w:tcW w:w="380" w:type="dxa"/>
            <w:vAlign w:val="bottom"/>
            <w:tcBorders>
              <w:top w:val="single" w:sz="8" w:color="auto"/>
            </w:tcBorders>
          </w:tcPr>
          <w:p>
            <w:pPr>
              <w:spacing w:after="0"/>
              <w:rPr>
                <w:sz w:val="14"/>
                <w:szCs w:val="14"/>
                <w:color w:val="auto"/>
              </w:rPr>
            </w:pPr>
          </w:p>
        </w:tc>
        <w:tc>
          <w:tcPr>
            <w:tcW w:w="180" w:type="dxa"/>
            <w:vAlign w:val="bottom"/>
          </w:tcPr>
          <w:p>
            <w:pPr>
              <w:spacing w:after="0"/>
              <w:rPr>
                <w:sz w:val="14"/>
                <w:szCs w:val="14"/>
                <w:color w:val="auto"/>
              </w:rPr>
            </w:pPr>
          </w:p>
        </w:tc>
      </w:tr>
      <w:tr>
        <w:trPr>
          <w:trHeight w:val="216"/>
        </w:trPr>
        <w:tc>
          <w:tcPr>
            <w:tcW w:w="2820" w:type="dxa"/>
            <w:vAlign w:val="bottom"/>
            <w:shd w:val="clear" w:color="auto" w:fill="CFF0FC"/>
          </w:tcPr>
          <w:p>
            <w:pPr>
              <w:spacing w:after="0"/>
              <w:rPr>
                <w:sz w:val="20"/>
                <w:szCs w:val="20"/>
                <w:color w:val="auto"/>
              </w:rPr>
            </w:pPr>
            <w:r>
              <w:rPr>
                <w:rFonts w:ascii="Arial" w:cs="Arial" w:eastAsia="Arial" w:hAnsi="Arial"/>
                <w:sz w:val="18"/>
                <w:szCs w:val="18"/>
                <w:color w:val="auto"/>
              </w:rPr>
              <w:t>General and administrative</w:t>
            </w:r>
          </w:p>
        </w:tc>
        <w:tc>
          <w:tcPr>
            <w:tcW w:w="1600" w:type="dxa"/>
            <w:vAlign w:val="bottom"/>
            <w:gridSpan w:val="2"/>
            <w:shd w:val="clear" w:color="auto" w:fill="CFF0FC"/>
          </w:tcPr>
          <w:p>
            <w:pPr>
              <w:jc w:val="right"/>
              <w:ind w:right="168"/>
              <w:spacing w:after="0"/>
              <w:rPr>
                <w:sz w:val="20"/>
                <w:szCs w:val="20"/>
                <w:color w:val="auto"/>
              </w:rPr>
            </w:pPr>
            <w:r>
              <w:rPr>
                <w:rFonts w:ascii="Arial" w:cs="Arial" w:eastAsia="Arial" w:hAnsi="Arial"/>
                <w:sz w:val="18"/>
                <w:szCs w:val="18"/>
                <w:color w:val="auto"/>
              </w:rPr>
              <w:t>$  56,057</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  47,188</w:t>
            </w:r>
          </w:p>
        </w:tc>
        <w:tc>
          <w:tcPr>
            <w:tcW w:w="280" w:type="dxa"/>
            <w:vAlign w:val="bottom"/>
            <w:shd w:val="clear" w:color="auto" w:fill="CFF0FC"/>
          </w:tcPr>
          <w:p>
            <w:pPr>
              <w:spacing w:after="0"/>
              <w:rPr>
                <w:sz w:val="18"/>
                <w:szCs w:val="18"/>
                <w:color w:val="auto"/>
              </w:rPr>
            </w:pPr>
          </w:p>
        </w:tc>
        <w:tc>
          <w:tcPr>
            <w:tcW w:w="2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FF0FC"/>
          </w:tcPr>
          <w:p>
            <w:pPr>
              <w:ind w:left="180"/>
              <w:spacing w:after="0"/>
              <w:rPr>
                <w:sz w:val="20"/>
                <w:szCs w:val="20"/>
                <w:color w:val="auto"/>
              </w:rPr>
            </w:pPr>
            <w:r>
              <w:rPr>
                <w:rFonts w:ascii="Arial" w:cs="Arial" w:eastAsia="Arial" w:hAnsi="Arial"/>
                <w:sz w:val="18"/>
                <w:szCs w:val="18"/>
                <w:color w:val="auto"/>
              </w:rPr>
              <w:t>8,869</w:t>
            </w:r>
          </w:p>
        </w:tc>
        <w:tc>
          <w:tcPr>
            <w:tcW w:w="780" w:type="dxa"/>
            <w:vAlign w:val="bottom"/>
            <w:gridSpan w:val="3"/>
            <w:shd w:val="clear" w:color="auto" w:fill="CFF0FC"/>
          </w:tcPr>
          <w:p>
            <w:pPr>
              <w:jc w:val="right"/>
              <w:ind w:right="20"/>
              <w:spacing w:after="0"/>
              <w:rPr>
                <w:sz w:val="20"/>
                <w:szCs w:val="20"/>
                <w:color w:val="auto"/>
              </w:rPr>
            </w:pPr>
            <w:r>
              <w:rPr>
                <w:rFonts w:ascii="Arial" w:cs="Arial" w:eastAsia="Arial" w:hAnsi="Arial"/>
                <w:sz w:val="18"/>
                <w:szCs w:val="18"/>
                <w:color w:val="auto"/>
              </w:rPr>
              <w:t>19% $</w:t>
            </w:r>
          </w:p>
        </w:tc>
        <w:tc>
          <w:tcPr>
            <w:tcW w:w="1000" w:type="dxa"/>
            <w:vAlign w:val="bottom"/>
            <w:shd w:val="clear" w:color="auto" w:fill="CFF0FC"/>
          </w:tcPr>
          <w:p>
            <w:pPr>
              <w:jc w:val="right"/>
              <w:ind w:right="179"/>
              <w:spacing w:after="0"/>
              <w:rPr>
                <w:sz w:val="20"/>
                <w:szCs w:val="20"/>
                <w:color w:val="auto"/>
              </w:rPr>
            </w:pPr>
            <w:r>
              <w:rPr>
                <w:rFonts w:ascii="Arial" w:cs="Arial" w:eastAsia="Arial" w:hAnsi="Arial"/>
                <w:sz w:val="18"/>
                <w:szCs w:val="18"/>
                <w:color w:val="auto"/>
              </w:rPr>
              <w:t>47,188</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  36,786</w:t>
            </w:r>
          </w:p>
        </w:tc>
        <w:tc>
          <w:tcPr>
            <w:tcW w:w="280" w:type="dxa"/>
            <w:vAlign w:val="bottom"/>
            <w:shd w:val="clear" w:color="auto" w:fill="CFF0FC"/>
          </w:tcPr>
          <w:p>
            <w:pPr>
              <w:spacing w:after="0"/>
              <w:rPr>
                <w:sz w:val="18"/>
                <w:szCs w:val="18"/>
                <w:color w:val="auto"/>
              </w:rPr>
            </w:pPr>
          </w:p>
        </w:tc>
        <w:tc>
          <w:tcPr>
            <w:tcW w:w="2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FF0FC"/>
          </w:tcPr>
          <w:p>
            <w:pPr>
              <w:jc w:val="right"/>
              <w:ind w:right="182"/>
              <w:spacing w:after="0"/>
              <w:rPr>
                <w:sz w:val="20"/>
                <w:szCs w:val="20"/>
                <w:color w:val="auto"/>
              </w:rPr>
            </w:pPr>
            <w:r>
              <w:rPr>
                <w:rFonts w:ascii="Arial" w:cs="Arial" w:eastAsia="Arial" w:hAnsi="Arial"/>
                <w:sz w:val="18"/>
                <w:szCs w:val="18"/>
                <w:color w:val="auto"/>
              </w:rPr>
              <w:t>10,402</w:t>
            </w:r>
          </w:p>
        </w:tc>
        <w:tc>
          <w:tcPr>
            <w:tcW w:w="56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28%</w:t>
            </w:r>
          </w:p>
        </w:tc>
      </w:tr>
      <w:tr>
        <w:trPr>
          <w:trHeight w:val="230"/>
        </w:trPr>
        <w:tc>
          <w:tcPr>
            <w:tcW w:w="2820" w:type="dxa"/>
            <w:vAlign w:val="bottom"/>
          </w:tcPr>
          <w:p>
            <w:pPr>
              <w:spacing w:after="0"/>
              <w:rPr>
                <w:sz w:val="20"/>
                <w:szCs w:val="20"/>
                <w:color w:val="auto"/>
              </w:rPr>
            </w:pPr>
            <w:r>
              <w:rPr>
                <w:rFonts w:ascii="Arial" w:cs="Arial" w:eastAsia="Arial" w:hAnsi="Arial"/>
                <w:sz w:val="18"/>
                <w:szCs w:val="18"/>
                <w:color w:val="auto"/>
              </w:rPr>
              <w:t>Percentage of total revenues</w:t>
            </w:r>
          </w:p>
        </w:tc>
        <w:tc>
          <w:tcPr>
            <w:tcW w:w="1600" w:type="dxa"/>
            <w:vAlign w:val="bottom"/>
            <w:gridSpan w:val="2"/>
          </w:tcPr>
          <w:p>
            <w:pPr>
              <w:jc w:val="right"/>
              <w:spacing w:after="0"/>
              <w:rPr>
                <w:sz w:val="20"/>
                <w:szCs w:val="20"/>
                <w:color w:val="auto"/>
              </w:rPr>
            </w:pPr>
            <w:r>
              <w:rPr>
                <w:rFonts w:ascii="Arial" w:cs="Arial" w:eastAsia="Arial" w:hAnsi="Arial"/>
                <w:sz w:val="18"/>
                <w:szCs w:val="18"/>
                <w:color w:val="auto"/>
              </w:rPr>
              <w:t>19.4%</w:t>
            </w:r>
          </w:p>
        </w:tc>
        <w:tc>
          <w:tcPr>
            <w:tcW w:w="1220" w:type="dxa"/>
            <w:vAlign w:val="bottom"/>
            <w:gridSpan w:val="2"/>
          </w:tcPr>
          <w:p>
            <w:pPr>
              <w:jc w:val="right"/>
              <w:ind w:right="120"/>
              <w:spacing w:after="0"/>
              <w:rPr>
                <w:sz w:val="20"/>
                <w:szCs w:val="20"/>
                <w:color w:val="auto"/>
              </w:rPr>
            </w:pPr>
            <w:r>
              <w:rPr>
                <w:rFonts w:ascii="Arial" w:cs="Arial" w:eastAsia="Arial" w:hAnsi="Arial"/>
                <w:sz w:val="18"/>
                <w:szCs w:val="18"/>
                <w:color w:val="auto"/>
              </w:rPr>
              <w:t>20.7%</w:t>
            </w:r>
          </w:p>
        </w:tc>
        <w:tc>
          <w:tcPr>
            <w:tcW w:w="2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20.7%</w:t>
            </w:r>
          </w:p>
        </w:tc>
        <w:tc>
          <w:tcPr>
            <w:tcW w:w="1200" w:type="dxa"/>
            <w:vAlign w:val="bottom"/>
            <w:gridSpan w:val="2"/>
          </w:tcPr>
          <w:p>
            <w:pPr>
              <w:jc w:val="right"/>
              <w:ind w:right="120"/>
              <w:spacing w:after="0"/>
              <w:rPr>
                <w:sz w:val="20"/>
                <w:szCs w:val="20"/>
                <w:color w:val="auto"/>
              </w:rPr>
            </w:pPr>
            <w:r>
              <w:rPr>
                <w:rFonts w:ascii="Arial" w:cs="Arial" w:eastAsia="Arial" w:hAnsi="Arial"/>
                <w:sz w:val="18"/>
                <w:szCs w:val="18"/>
                <w:color w:val="auto"/>
              </w:rPr>
              <w:t>20.9%</w:t>
            </w:r>
          </w:p>
        </w:tc>
        <w:tc>
          <w:tcPr>
            <w:tcW w:w="2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80" w:type="dxa"/>
            <w:vAlign w:val="bottom"/>
          </w:tcPr>
          <w:p>
            <w:pPr>
              <w:spacing w:after="0"/>
              <w:rPr>
                <w:sz w:val="19"/>
                <w:szCs w:val="19"/>
                <w:color w:val="auto"/>
              </w:rPr>
            </w:pPr>
          </w:p>
        </w:tc>
      </w:tr>
    </w:tbl>
    <w:p>
      <w:pPr>
        <w:spacing w:after="0" w:line="202" w:lineRule="exact"/>
        <w:rPr>
          <w:sz w:val="20"/>
          <w:szCs w:val="20"/>
          <w:color w:val="auto"/>
        </w:rPr>
      </w:pPr>
    </w:p>
    <w:p>
      <w:pPr>
        <w:ind w:firstLine="518"/>
        <w:spacing w:after="0" w:line="237" w:lineRule="auto"/>
        <w:rPr>
          <w:sz w:val="20"/>
          <w:szCs w:val="20"/>
          <w:color w:val="auto"/>
        </w:rPr>
      </w:pPr>
      <w:r>
        <w:rPr>
          <w:rFonts w:ascii="Arial" w:cs="Arial" w:eastAsia="Arial" w:hAnsi="Arial"/>
          <w:sz w:val="18"/>
          <w:szCs w:val="18"/>
          <w:color w:val="auto"/>
        </w:rPr>
        <w:t>The increase in general and administrative expenses for the year ended December 31, 2019, compared to the year ended December 31, 2018, was primarily due to an $ 8.0 million increase in salaries, benefits, and stock-based compensation and a $1.8 million increase in professional services expense. These increases were partially offset by a $0.8 million decrease in depreciation and amortization. The increase in salaries, benefits, and stock-based compensation was primarily driven by a 20% increase in average headcount from the year ended December 31, 2018 to the year ended December 31, 2019. Depreciation and amortization expense decreased primarily due to a decrease in amortization relating to developed technology from the 2013 Acquisition, which became fully amortized in the quarter ended September 30, 2019.</w:t>
      </w:r>
    </w:p>
    <w:p>
      <w:pPr>
        <w:spacing w:after="0" w:line="203" w:lineRule="exact"/>
        <w:rPr>
          <w:sz w:val="20"/>
          <w:szCs w:val="20"/>
          <w:color w:val="auto"/>
        </w:rPr>
      </w:pPr>
    </w:p>
    <w:p>
      <w:pPr>
        <w:ind w:firstLine="518"/>
        <w:spacing w:after="0" w:line="236" w:lineRule="auto"/>
        <w:rPr>
          <w:sz w:val="20"/>
          <w:szCs w:val="20"/>
          <w:color w:val="auto"/>
        </w:rPr>
      </w:pPr>
      <w:r>
        <w:rPr>
          <w:rFonts w:ascii="Arial" w:cs="Arial" w:eastAsia="Arial" w:hAnsi="Arial"/>
          <w:sz w:val="18"/>
          <w:szCs w:val="18"/>
          <w:color w:val="auto"/>
        </w:rPr>
        <w:t>The increase in general and administrative expenses for the year ended December 31, 2018, compared to the year ended December 31, 2017, was primarily due to an $8.2 million increase in salaries, benefits, and stock-based compensation; a $1.9 million increase in foreign currency losses; a $0.9 million increase in overhead-related expenses; a $0.4 million increase in travel-related costs; and a $0.2 million increase in computer software expenses. These increases were partially offset by a $0.6 million decrease in bad debt expense primarily related to older receivables for on-premise license receivables that were reserved for in 2017; a $0.2 million decrease in depreciation and amortization; and a $0.2 million decrease in contingent consideration expense related to the increase in fair value of the contingent consideration. The increase in salaries, benefits, and stock-based compensation was primarily driven by a 27% increase in average headcount from the year ended December 31, 2017 to the year ended December 31, 2018. The increase in foreign currency losses was primarily due to the impact of foreign currency rates related to the Euro and British Pound during the year ended December 31, 2018, compared to the year ended December 31, 2017, on open intercompany balances denominated in foreign currencies. Overhead-related expenses increased primarily due to the expansion of our corporate headquarters in 2018.</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income</w:t>
      </w:r>
    </w:p>
    <w:p>
      <w:pPr>
        <w:spacing w:after="0" w:line="262"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23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100" w:type="dxa"/>
            <w:vAlign w:val="bottom"/>
            <w:gridSpan w:val="4"/>
          </w:tcPr>
          <w:p>
            <w:pPr>
              <w:spacing w:after="0"/>
              <w:rPr>
                <w:sz w:val="20"/>
                <w:szCs w:val="20"/>
                <w:color w:val="auto"/>
              </w:rPr>
            </w:pPr>
            <w:r>
              <w:rPr>
                <w:rFonts w:ascii="Arial" w:cs="Arial" w:eastAsia="Arial" w:hAnsi="Arial"/>
                <w:sz w:val="14"/>
                <w:szCs w:val="14"/>
                <w:b w:val="1"/>
                <w:bCs w:val="1"/>
                <w:color w:val="auto"/>
              </w:rPr>
              <w:t>Year Ended December 31,</w:t>
            </w:r>
          </w:p>
        </w:tc>
        <w:tc>
          <w:tcPr>
            <w:tcW w:w="260" w:type="dxa"/>
            <w:vAlign w:val="bottom"/>
          </w:tcPr>
          <w:p>
            <w:pPr>
              <w:spacing w:after="0"/>
              <w:rPr>
                <w:sz w:val="15"/>
                <w:szCs w:val="15"/>
                <w:color w:val="auto"/>
              </w:rPr>
            </w:pPr>
          </w:p>
        </w:tc>
        <w:tc>
          <w:tcPr>
            <w:tcW w:w="880" w:type="dxa"/>
            <w:vAlign w:val="bottom"/>
          </w:tcPr>
          <w:p>
            <w:pPr>
              <w:jc w:val="right"/>
              <w:ind w:right="24"/>
              <w:spacing w:after="0"/>
              <w:rPr>
                <w:sz w:val="20"/>
                <w:szCs w:val="20"/>
                <w:color w:val="auto"/>
              </w:rPr>
            </w:pPr>
            <w:r>
              <w:rPr>
                <w:rFonts w:ascii="Arial" w:cs="Arial" w:eastAsia="Arial" w:hAnsi="Arial"/>
                <w:sz w:val="14"/>
                <w:szCs w:val="14"/>
                <w:b w:val="1"/>
                <w:bCs w:val="1"/>
                <w:color w:val="auto"/>
              </w:rPr>
              <w:t>Change</w:t>
            </w:r>
          </w:p>
        </w:tc>
        <w:tc>
          <w:tcPr>
            <w:tcW w:w="4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100" w:type="dxa"/>
            <w:vAlign w:val="bottom"/>
            <w:gridSpan w:val="4"/>
          </w:tcPr>
          <w:p>
            <w:pPr>
              <w:spacing w:after="0"/>
              <w:rPr>
                <w:sz w:val="20"/>
                <w:szCs w:val="20"/>
                <w:color w:val="auto"/>
              </w:rPr>
            </w:pPr>
            <w:r>
              <w:rPr>
                <w:rFonts w:ascii="Arial" w:cs="Arial" w:eastAsia="Arial" w:hAnsi="Arial"/>
                <w:sz w:val="14"/>
                <w:szCs w:val="14"/>
                <w:b w:val="1"/>
                <w:bCs w:val="1"/>
                <w:color w:val="auto"/>
              </w:rPr>
              <w:t>Year Ended December 31,</w:t>
            </w:r>
          </w:p>
        </w:tc>
        <w:tc>
          <w:tcPr>
            <w:tcW w:w="260" w:type="dxa"/>
            <w:vAlign w:val="bottom"/>
          </w:tcPr>
          <w:p>
            <w:pPr>
              <w:spacing w:after="0"/>
              <w:rPr>
                <w:sz w:val="15"/>
                <w:szCs w:val="15"/>
                <w:color w:val="auto"/>
              </w:rPr>
            </w:pPr>
          </w:p>
        </w:tc>
        <w:tc>
          <w:tcPr>
            <w:tcW w:w="880" w:type="dxa"/>
            <w:vAlign w:val="bottom"/>
          </w:tcPr>
          <w:p>
            <w:pPr>
              <w:jc w:val="right"/>
              <w:ind w:right="22"/>
              <w:spacing w:after="0"/>
              <w:rPr>
                <w:sz w:val="20"/>
                <w:szCs w:val="20"/>
                <w:color w:val="auto"/>
              </w:rPr>
            </w:pPr>
            <w:r>
              <w:rPr>
                <w:rFonts w:ascii="Arial" w:cs="Arial" w:eastAsia="Arial" w:hAnsi="Arial"/>
                <w:sz w:val="14"/>
                <w:szCs w:val="14"/>
                <w:b w:val="1"/>
                <w:bCs w:val="1"/>
                <w:color w:val="auto"/>
              </w:rPr>
              <w:t>Change</w:t>
            </w:r>
          </w:p>
        </w:tc>
        <w:tc>
          <w:tcPr>
            <w:tcW w:w="400" w:type="dxa"/>
            <w:vAlign w:val="bottom"/>
          </w:tcPr>
          <w:p>
            <w:pPr>
              <w:spacing w:after="0"/>
              <w:rPr>
                <w:sz w:val="15"/>
                <w:szCs w:val="15"/>
                <w:color w:val="auto"/>
              </w:rPr>
            </w:pPr>
          </w:p>
        </w:tc>
        <w:tc>
          <w:tcPr>
            <w:tcW w:w="160" w:type="dxa"/>
            <w:vAlign w:val="bottom"/>
          </w:tcPr>
          <w:p>
            <w:pPr>
              <w:spacing w:after="0"/>
              <w:rPr>
                <w:sz w:val="15"/>
                <w:szCs w:val="15"/>
                <w:color w:val="auto"/>
              </w:rPr>
            </w:pPr>
          </w:p>
        </w:tc>
      </w:tr>
      <w:tr>
        <w:trPr>
          <w:trHeight w:val="210"/>
        </w:trPr>
        <w:tc>
          <w:tcPr>
            <w:tcW w:w="23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ind w:right="302"/>
              <w:spacing w:after="0"/>
              <w:rPr>
                <w:sz w:val="20"/>
                <w:szCs w:val="20"/>
                <w:color w:val="auto"/>
              </w:rPr>
            </w:pPr>
            <w:r>
              <w:rPr>
                <w:rFonts w:ascii="Arial" w:cs="Arial" w:eastAsia="Arial" w:hAnsi="Arial"/>
                <w:sz w:val="14"/>
                <w:szCs w:val="14"/>
                <w:b w:val="1"/>
                <w:bCs w:val="1"/>
                <w:color w:val="auto"/>
              </w:rPr>
              <w:t>2019</w:t>
            </w:r>
          </w:p>
        </w:tc>
        <w:tc>
          <w:tcPr>
            <w:tcW w:w="300" w:type="dxa"/>
            <w:vAlign w:val="bottom"/>
            <w:tcBorders>
              <w:top w:val="single" w:sz="8" w:color="auto"/>
              <w:bottom w:val="single" w:sz="8" w:color="auto"/>
            </w:tcBorders>
          </w:tcPr>
          <w:p>
            <w:pPr>
              <w:spacing w:after="0"/>
              <w:rPr>
                <w:sz w:val="18"/>
                <w:szCs w:val="18"/>
                <w:color w:val="auto"/>
              </w:rPr>
            </w:pPr>
          </w:p>
        </w:tc>
        <w:tc>
          <w:tcPr>
            <w:tcW w:w="720" w:type="dxa"/>
            <w:vAlign w:val="bottom"/>
            <w:tcBorders>
              <w:top w:val="single" w:sz="8" w:color="auto"/>
              <w:bottom w:val="single" w:sz="8" w:color="auto"/>
            </w:tcBorders>
          </w:tcPr>
          <w:p>
            <w:pPr>
              <w:jc w:val="right"/>
              <w:ind w:right="219"/>
              <w:spacing w:after="0"/>
              <w:rPr>
                <w:sz w:val="20"/>
                <w:szCs w:val="20"/>
                <w:color w:val="auto"/>
              </w:rPr>
            </w:pPr>
            <w:r>
              <w:rPr>
                <w:rFonts w:ascii="Arial" w:cs="Arial" w:eastAsia="Arial" w:hAnsi="Arial"/>
                <w:sz w:val="14"/>
                <w:szCs w:val="14"/>
                <w:b w:val="1"/>
                <w:bCs w:val="1"/>
                <w:color w:val="auto"/>
              </w:rPr>
              <w:t>2018</w:t>
            </w:r>
          </w:p>
        </w:tc>
        <w:tc>
          <w:tcPr>
            <w:tcW w:w="200" w:type="dxa"/>
            <w:vAlign w:val="bottom"/>
            <w:tcBorders>
              <w:bottom w:val="single" w:sz="8" w:color="auto"/>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ind w:right="584"/>
              <w:spacing w:after="0"/>
              <w:rPr>
                <w:sz w:val="20"/>
                <w:szCs w:val="20"/>
                <w:color w:val="auto"/>
              </w:rPr>
            </w:pPr>
            <w:r>
              <w:rPr>
                <w:rFonts w:ascii="Arial" w:cs="Arial" w:eastAsia="Arial" w:hAnsi="Arial"/>
                <w:sz w:val="14"/>
                <w:szCs w:val="14"/>
                <w:b w:val="1"/>
                <w:bCs w:val="1"/>
                <w:color w:val="auto"/>
              </w:rPr>
              <w:t>$</w:t>
            </w:r>
          </w:p>
        </w:tc>
        <w:tc>
          <w:tcPr>
            <w:tcW w:w="400" w:type="dxa"/>
            <w:vAlign w:val="bottom"/>
            <w:tcBorders>
              <w:top w:val="single" w:sz="8" w:color="auto"/>
              <w:bottom w:val="single" w:sz="8" w:color="auto"/>
            </w:tcBorders>
          </w:tcPr>
          <w:p>
            <w:pPr>
              <w:jc w:val="right"/>
              <w:ind w:right="79"/>
              <w:spacing w:after="0"/>
              <w:rPr>
                <w:sz w:val="20"/>
                <w:szCs w:val="20"/>
                <w:color w:val="auto"/>
              </w:rPr>
            </w:pPr>
            <w:r>
              <w:rPr>
                <w:rFonts w:ascii="Arial" w:cs="Arial" w:eastAsia="Arial" w:hAnsi="Arial"/>
                <w:sz w:val="14"/>
                <w:szCs w:val="14"/>
                <w:b w:val="1"/>
                <w:bCs w:val="1"/>
                <w:color w:val="auto"/>
              </w:rPr>
              <w:t>%</w:t>
            </w:r>
          </w:p>
        </w:tc>
        <w:tc>
          <w:tcPr>
            <w:tcW w:w="280" w:type="dxa"/>
            <w:vAlign w:val="bottom"/>
            <w:tcBorders>
              <w:bottom w:val="single" w:sz="8" w:color="auto"/>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980" w:type="dxa"/>
            <w:vAlign w:val="bottom"/>
            <w:tcBorders>
              <w:top w:val="single" w:sz="8" w:color="auto"/>
              <w:bottom w:val="single" w:sz="8" w:color="auto"/>
            </w:tcBorders>
          </w:tcPr>
          <w:p>
            <w:pPr>
              <w:jc w:val="right"/>
              <w:ind w:right="422"/>
              <w:spacing w:after="0"/>
              <w:rPr>
                <w:sz w:val="20"/>
                <w:szCs w:val="20"/>
                <w:color w:val="auto"/>
              </w:rPr>
            </w:pPr>
            <w:r>
              <w:rPr>
                <w:rFonts w:ascii="Arial" w:cs="Arial" w:eastAsia="Arial" w:hAnsi="Arial"/>
                <w:sz w:val="14"/>
                <w:szCs w:val="14"/>
                <w:b w:val="1"/>
                <w:bCs w:val="1"/>
                <w:color w:val="auto"/>
              </w:rPr>
              <w:t>2018</w:t>
            </w:r>
          </w:p>
        </w:tc>
        <w:tc>
          <w:tcPr>
            <w:tcW w:w="200" w:type="dxa"/>
            <w:vAlign w:val="bottom"/>
            <w:tcBorders>
              <w:top w:val="single" w:sz="8" w:color="auto"/>
              <w:bottom w:val="single" w:sz="8" w:color="auto"/>
            </w:tcBorders>
          </w:tcPr>
          <w:p>
            <w:pPr>
              <w:spacing w:after="0"/>
              <w:rPr>
                <w:sz w:val="18"/>
                <w:szCs w:val="18"/>
                <w:color w:val="auto"/>
              </w:rPr>
            </w:pPr>
          </w:p>
        </w:tc>
        <w:tc>
          <w:tcPr>
            <w:tcW w:w="700" w:type="dxa"/>
            <w:vAlign w:val="bottom"/>
            <w:tcBorders>
              <w:top w:val="single" w:sz="8" w:color="auto"/>
              <w:bottom w:val="single" w:sz="8" w:color="auto"/>
            </w:tcBorders>
          </w:tcPr>
          <w:p>
            <w:pPr>
              <w:jc w:val="right"/>
              <w:ind w:right="199"/>
              <w:spacing w:after="0"/>
              <w:rPr>
                <w:sz w:val="20"/>
                <w:szCs w:val="20"/>
                <w:color w:val="auto"/>
              </w:rPr>
            </w:pPr>
            <w:r>
              <w:rPr>
                <w:rFonts w:ascii="Arial" w:cs="Arial" w:eastAsia="Arial" w:hAnsi="Arial"/>
                <w:sz w:val="14"/>
                <w:szCs w:val="14"/>
                <w:b w:val="1"/>
                <w:bCs w:val="1"/>
                <w:color w:val="auto"/>
              </w:rPr>
              <w:t>2017</w:t>
            </w:r>
          </w:p>
        </w:tc>
        <w:tc>
          <w:tcPr>
            <w:tcW w:w="220" w:type="dxa"/>
            <w:vAlign w:val="bottom"/>
            <w:tcBorders>
              <w:bottom w:val="single" w:sz="8" w:color="auto"/>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ind w:right="582"/>
              <w:spacing w:after="0"/>
              <w:rPr>
                <w:sz w:val="20"/>
                <w:szCs w:val="20"/>
                <w:color w:val="auto"/>
              </w:rPr>
            </w:pPr>
            <w:r>
              <w:rPr>
                <w:rFonts w:ascii="Arial" w:cs="Arial" w:eastAsia="Arial" w:hAnsi="Arial"/>
                <w:sz w:val="14"/>
                <w:szCs w:val="14"/>
                <w:b w:val="1"/>
                <w:bCs w:val="1"/>
                <w:color w:val="auto"/>
              </w:rPr>
              <w:t>$</w:t>
            </w:r>
          </w:p>
        </w:tc>
        <w:tc>
          <w:tcPr>
            <w:tcW w:w="400" w:type="dxa"/>
            <w:vAlign w:val="bottom"/>
            <w:tcBorders>
              <w:top w:val="single" w:sz="8" w:color="auto"/>
              <w:bottom w:val="single" w:sz="8" w:color="auto"/>
            </w:tcBorders>
          </w:tcPr>
          <w:p>
            <w:pPr>
              <w:jc w:val="right"/>
              <w:ind w:right="79"/>
              <w:spacing w:after="0"/>
              <w:rPr>
                <w:sz w:val="20"/>
                <w:szCs w:val="20"/>
                <w:color w:val="auto"/>
              </w:rPr>
            </w:pPr>
            <w:r>
              <w:rPr>
                <w:rFonts w:ascii="Arial" w:cs="Arial" w:eastAsia="Arial" w:hAnsi="Arial"/>
                <w:sz w:val="14"/>
                <w:szCs w:val="14"/>
                <w:b w:val="1"/>
                <w:bCs w:val="1"/>
                <w:color w:val="auto"/>
              </w:rPr>
              <w:t>%</w:t>
            </w:r>
          </w:p>
        </w:tc>
        <w:tc>
          <w:tcPr>
            <w:tcW w:w="160" w:type="dxa"/>
            <w:vAlign w:val="bottom"/>
          </w:tcPr>
          <w:p>
            <w:pPr>
              <w:spacing w:after="0"/>
              <w:rPr>
                <w:sz w:val="18"/>
                <w:szCs w:val="18"/>
                <w:color w:val="auto"/>
              </w:rPr>
            </w:pPr>
          </w:p>
        </w:tc>
      </w:tr>
      <w:tr>
        <w:trPr>
          <w:trHeight w:val="182"/>
        </w:trPr>
        <w:tc>
          <w:tcPr>
            <w:tcW w:w="23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660" w:type="dxa"/>
            <w:vAlign w:val="bottom"/>
            <w:gridSpan w:val="5"/>
          </w:tcPr>
          <w:p>
            <w:pPr>
              <w:jc w:val="right"/>
              <w:spacing w:after="0"/>
              <w:rPr>
                <w:sz w:val="20"/>
                <w:szCs w:val="20"/>
                <w:color w:val="auto"/>
              </w:rPr>
            </w:pPr>
            <w:r>
              <w:rPr>
                <w:rFonts w:ascii="Arial" w:cs="Arial" w:eastAsia="Arial" w:hAnsi="Arial"/>
                <w:sz w:val="14"/>
                <w:szCs w:val="14"/>
                <w:b w:val="1"/>
                <w:bCs w:val="1"/>
                <w:color w:val="auto"/>
              </w:rPr>
              <w:t>(in thousands, except percentages)</w:t>
            </w:r>
          </w:p>
        </w:tc>
        <w:tc>
          <w:tcPr>
            <w:tcW w:w="2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60" w:type="dxa"/>
            <w:vAlign w:val="bottom"/>
          </w:tcPr>
          <w:p>
            <w:pPr>
              <w:spacing w:after="0"/>
              <w:rPr>
                <w:sz w:val="15"/>
                <w:szCs w:val="15"/>
                <w:color w:val="auto"/>
              </w:rPr>
            </w:pPr>
          </w:p>
        </w:tc>
      </w:tr>
      <w:tr>
        <w:trPr>
          <w:trHeight w:val="217"/>
        </w:trPr>
        <w:tc>
          <w:tcPr>
            <w:tcW w:w="2340" w:type="dxa"/>
            <w:vAlign w:val="bottom"/>
          </w:tcPr>
          <w:p>
            <w:pPr>
              <w:spacing w:after="0"/>
              <w:rPr>
                <w:sz w:val="20"/>
                <w:szCs w:val="20"/>
                <w:color w:val="auto"/>
              </w:rPr>
            </w:pPr>
            <w:r>
              <w:rPr>
                <w:rFonts w:ascii="Arial" w:cs="Arial" w:eastAsia="Arial" w:hAnsi="Arial"/>
                <w:sz w:val="18"/>
                <w:szCs w:val="18"/>
                <w:color w:val="auto"/>
              </w:rPr>
              <w:t>Interest income</w:t>
            </w:r>
          </w:p>
        </w:tc>
        <w:tc>
          <w:tcPr>
            <w:tcW w:w="1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42"/>
              <w:spacing w:after="0"/>
              <w:rPr>
                <w:sz w:val="20"/>
                <w:szCs w:val="20"/>
                <w:color w:val="auto"/>
              </w:rPr>
            </w:pPr>
            <w:r>
              <w:rPr>
                <w:rFonts w:ascii="Arial" w:cs="Arial" w:eastAsia="Arial" w:hAnsi="Arial"/>
                <w:sz w:val="18"/>
                <w:szCs w:val="18"/>
                <w:color w:val="auto"/>
              </w:rPr>
              <w:t>6,128</w:t>
            </w:r>
          </w:p>
        </w:tc>
        <w:tc>
          <w:tcPr>
            <w:tcW w:w="300" w:type="dxa"/>
            <w:vAlign w:val="bottom"/>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2,136</w:t>
            </w:r>
          </w:p>
        </w:tc>
        <w:tc>
          <w:tcPr>
            <w:tcW w:w="200" w:type="dxa"/>
            <w:vAlign w:val="bottom"/>
          </w:tcPr>
          <w:p>
            <w:pPr>
              <w:spacing w:after="0"/>
              <w:rPr>
                <w:sz w:val="18"/>
                <w:szCs w:val="18"/>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ind w:right="184"/>
              <w:spacing w:after="0"/>
              <w:rPr>
                <w:sz w:val="20"/>
                <w:szCs w:val="20"/>
                <w:color w:val="auto"/>
              </w:rPr>
            </w:pPr>
            <w:r>
              <w:rPr>
                <w:rFonts w:ascii="Arial" w:cs="Arial" w:eastAsia="Arial" w:hAnsi="Arial"/>
                <w:sz w:val="18"/>
                <w:szCs w:val="18"/>
                <w:color w:val="auto"/>
              </w:rPr>
              <w:t>3,992</w:t>
            </w:r>
          </w:p>
        </w:tc>
        <w:tc>
          <w:tcPr>
            <w:tcW w:w="800" w:type="dxa"/>
            <w:vAlign w:val="bottom"/>
            <w:gridSpan w:val="3"/>
          </w:tcPr>
          <w:p>
            <w:pPr>
              <w:jc w:val="right"/>
              <w:spacing w:after="0"/>
              <w:rPr>
                <w:sz w:val="20"/>
                <w:szCs w:val="20"/>
                <w:color w:val="auto"/>
              </w:rPr>
            </w:pPr>
            <w:r>
              <w:rPr>
                <w:rFonts w:ascii="Arial" w:cs="Arial" w:eastAsia="Arial" w:hAnsi="Arial"/>
                <w:sz w:val="18"/>
                <w:szCs w:val="18"/>
                <w:color w:val="auto"/>
              </w:rPr>
              <w:t>187% $</w:t>
            </w:r>
          </w:p>
        </w:tc>
        <w:tc>
          <w:tcPr>
            <w:tcW w:w="980" w:type="dxa"/>
            <w:vAlign w:val="bottom"/>
          </w:tcPr>
          <w:p>
            <w:pPr>
              <w:jc w:val="right"/>
              <w:ind w:right="142"/>
              <w:spacing w:after="0"/>
              <w:rPr>
                <w:sz w:val="20"/>
                <w:szCs w:val="20"/>
                <w:color w:val="auto"/>
              </w:rPr>
            </w:pPr>
            <w:r>
              <w:rPr>
                <w:rFonts w:ascii="Arial" w:cs="Arial" w:eastAsia="Arial" w:hAnsi="Arial"/>
                <w:sz w:val="18"/>
                <w:szCs w:val="18"/>
                <w:color w:val="auto"/>
              </w:rPr>
              <w:t>2,136</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1,069</w:t>
            </w:r>
          </w:p>
        </w:tc>
        <w:tc>
          <w:tcPr>
            <w:tcW w:w="220" w:type="dxa"/>
            <w:vAlign w:val="bottom"/>
          </w:tcPr>
          <w:p>
            <w:pPr>
              <w:spacing w:after="0"/>
              <w:rPr>
                <w:sz w:val="18"/>
                <w:szCs w:val="18"/>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ind w:right="182"/>
              <w:spacing w:after="0"/>
              <w:rPr>
                <w:sz w:val="20"/>
                <w:szCs w:val="20"/>
                <w:color w:val="auto"/>
              </w:rPr>
            </w:pPr>
            <w:r>
              <w:rPr>
                <w:rFonts w:ascii="Arial" w:cs="Arial" w:eastAsia="Arial" w:hAnsi="Arial"/>
                <w:sz w:val="18"/>
                <w:szCs w:val="18"/>
                <w:color w:val="auto"/>
              </w:rPr>
              <w:t>1,067</w:t>
            </w:r>
          </w:p>
        </w:tc>
        <w:tc>
          <w:tcPr>
            <w:tcW w:w="560" w:type="dxa"/>
            <w:vAlign w:val="bottom"/>
            <w:gridSpan w:val="2"/>
          </w:tcPr>
          <w:p>
            <w:pPr>
              <w:jc w:val="right"/>
              <w:spacing w:after="0"/>
              <w:rPr>
                <w:sz w:val="20"/>
                <w:szCs w:val="20"/>
                <w:color w:val="auto"/>
              </w:rPr>
            </w:pPr>
            <w:r>
              <w:rPr>
                <w:rFonts w:ascii="Arial" w:cs="Arial" w:eastAsia="Arial" w:hAnsi="Arial"/>
                <w:sz w:val="18"/>
                <w:szCs w:val="18"/>
                <w:color w:val="auto"/>
              </w:rPr>
              <w:t>100%</w:t>
            </w:r>
          </w:p>
        </w:tc>
      </w:tr>
    </w:tbl>
    <w:p>
      <w:pPr>
        <w:spacing w:after="0" w:line="202" w:lineRule="exact"/>
        <w:rPr>
          <w:sz w:val="20"/>
          <w:szCs w:val="20"/>
          <w:color w:val="auto"/>
        </w:rPr>
      </w:pPr>
    </w:p>
    <w:p>
      <w:pPr>
        <w:jc w:val="both"/>
        <w:ind w:right="320" w:firstLine="518"/>
        <w:spacing w:after="0"/>
        <w:rPr>
          <w:sz w:val="20"/>
          <w:szCs w:val="20"/>
          <w:color w:val="auto"/>
        </w:rPr>
      </w:pPr>
      <w:r>
        <w:rPr>
          <w:rFonts w:ascii="Arial" w:cs="Arial" w:eastAsia="Arial" w:hAnsi="Arial"/>
          <w:sz w:val="18"/>
          <w:szCs w:val="18"/>
          <w:color w:val="auto"/>
        </w:rPr>
        <w:t>The increase in interest income during the year ended December 31, 2019, compared year ended December 31, 2018, was primarily due to interest earned on higher cash balances relating to the proceeds of the Notes, as well as an increase in average interest rates in the year ended December 31, 2019, compared to the year ended December 31, 2018.</w:t>
      </w:r>
    </w:p>
    <w:p>
      <w:pPr>
        <w:spacing w:after="0" w:line="203" w:lineRule="exact"/>
        <w:rPr>
          <w:sz w:val="20"/>
          <w:szCs w:val="20"/>
          <w:color w:val="auto"/>
        </w:rPr>
      </w:pPr>
    </w:p>
    <w:p>
      <w:pPr>
        <w:ind w:right="100" w:firstLine="518"/>
        <w:spacing w:after="0"/>
        <w:rPr>
          <w:sz w:val="20"/>
          <w:szCs w:val="20"/>
          <w:color w:val="auto"/>
        </w:rPr>
      </w:pPr>
      <w:r>
        <w:rPr>
          <w:rFonts w:ascii="Arial" w:cs="Arial" w:eastAsia="Arial" w:hAnsi="Arial"/>
          <w:sz w:val="18"/>
          <w:szCs w:val="18"/>
          <w:color w:val="auto"/>
        </w:rPr>
        <w:t>The increase in interest income during the year ended December 31, 2018, compared year ended December 31, 2017, was primarily due to an increase in interest rates and, to a lesser extent, a higher average balance of investments in marketable securities in the year ended December 31, 2018, compared to the year ended December 31, 2017.</w:t>
      </w: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2720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571" w:right="239" w:bottom="1440" w:gutter="0" w:footer="0" w:header="0"/>
        </w:sectPr>
      </w:pPr>
    </w:p>
    <w:bookmarkStart w:id="47" w:name="page48"/>
    <w:bookmarkEnd w:id="47"/>
    <w:p>
      <w:pPr>
        <w:spacing w:after="0"/>
        <w:rPr>
          <w:sz w:val="20"/>
          <w:szCs w:val="20"/>
          <w:color w:val="auto"/>
        </w:rPr>
      </w:pPr>
      <w:r>
        <w:rPr>
          <w:rFonts w:ascii="Arial" w:cs="Arial" w:eastAsia="Arial" w:hAnsi="Arial"/>
          <w:sz w:val="18"/>
          <w:szCs w:val="18"/>
          <w:b w:val="1"/>
          <w:bCs w:val="1"/>
          <w:i w:val="1"/>
          <w:iCs w:val="1"/>
          <w:color w:val="auto"/>
        </w:rPr>
        <w:t>Interest expense</w:t>
      </w:r>
    </w:p>
    <w:p>
      <w:pPr>
        <w:spacing w:after="0" w:line="262"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33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900" w:type="dxa"/>
            <w:vAlign w:val="bottom"/>
            <w:tcBorders>
              <w:bottom w:val="single" w:sz="8" w:color="auto"/>
            </w:tcBorders>
            <w:gridSpan w:val="3"/>
          </w:tcPr>
          <w:p>
            <w:pPr>
              <w:jc w:val="right"/>
              <w:ind w:right="59"/>
              <w:spacing w:after="0"/>
              <w:rPr>
                <w:sz w:val="20"/>
                <w:szCs w:val="20"/>
                <w:color w:val="auto"/>
              </w:rPr>
            </w:pPr>
            <w:r>
              <w:rPr>
                <w:rFonts w:ascii="Arial" w:cs="Arial" w:eastAsia="Arial" w:hAnsi="Arial"/>
                <w:sz w:val="14"/>
                <w:szCs w:val="14"/>
                <w:b w:val="1"/>
                <w:bCs w:val="1"/>
                <w:color w:val="auto"/>
              </w:rPr>
              <w:t>Year Ended December 31,</w:t>
            </w:r>
          </w:p>
        </w:tc>
        <w:tc>
          <w:tcPr>
            <w:tcW w:w="20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ind w:left="300"/>
              <w:spacing w:after="0"/>
              <w:rPr>
                <w:sz w:val="20"/>
                <w:szCs w:val="20"/>
                <w:color w:val="auto"/>
              </w:rPr>
            </w:pPr>
            <w:r>
              <w:rPr>
                <w:rFonts w:ascii="Arial" w:cs="Arial" w:eastAsia="Arial" w:hAnsi="Arial"/>
                <w:sz w:val="14"/>
                <w:szCs w:val="14"/>
                <w:b w:val="1"/>
                <w:bCs w:val="1"/>
                <w:color w:val="auto"/>
              </w:rPr>
              <w:t>Change</w:t>
            </w:r>
          </w:p>
        </w:tc>
        <w:tc>
          <w:tcPr>
            <w:tcW w:w="44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880" w:type="dxa"/>
            <w:vAlign w:val="bottom"/>
            <w:tcBorders>
              <w:bottom w:val="single" w:sz="8" w:color="auto"/>
            </w:tcBorders>
            <w:gridSpan w:val="3"/>
          </w:tcPr>
          <w:p>
            <w:pPr>
              <w:jc w:val="right"/>
              <w:ind w:right="39"/>
              <w:spacing w:after="0"/>
              <w:rPr>
                <w:sz w:val="20"/>
                <w:szCs w:val="20"/>
                <w:color w:val="auto"/>
              </w:rPr>
            </w:pPr>
            <w:r>
              <w:rPr>
                <w:rFonts w:ascii="Arial" w:cs="Arial" w:eastAsia="Arial" w:hAnsi="Arial"/>
                <w:sz w:val="14"/>
                <w:szCs w:val="14"/>
                <w:b w:val="1"/>
                <w:bCs w:val="1"/>
                <w:color w:val="auto"/>
              </w:rPr>
              <w:t>Year Ended December 31,</w:t>
            </w:r>
          </w:p>
        </w:tc>
        <w:tc>
          <w:tcPr>
            <w:tcW w:w="22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ind w:right="42"/>
              <w:spacing w:after="0"/>
              <w:rPr>
                <w:sz w:val="20"/>
                <w:szCs w:val="20"/>
                <w:color w:val="auto"/>
              </w:rPr>
            </w:pPr>
            <w:r>
              <w:rPr>
                <w:rFonts w:ascii="Arial" w:cs="Arial" w:eastAsia="Arial" w:hAnsi="Arial"/>
                <w:sz w:val="14"/>
                <w:szCs w:val="14"/>
                <w:b w:val="1"/>
                <w:bCs w:val="1"/>
                <w:color w:val="auto"/>
              </w:rPr>
              <w:t>Change</w:t>
            </w:r>
          </w:p>
        </w:tc>
        <w:tc>
          <w:tcPr>
            <w:tcW w:w="380" w:type="dxa"/>
            <w:vAlign w:val="bottom"/>
            <w:tcBorders>
              <w:bottom w:val="single" w:sz="8" w:color="auto"/>
            </w:tcBorders>
          </w:tcPr>
          <w:p>
            <w:pPr>
              <w:spacing w:after="0"/>
              <w:rPr>
                <w:sz w:val="15"/>
                <w:szCs w:val="15"/>
                <w:color w:val="auto"/>
              </w:rPr>
            </w:pPr>
          </w:p>
        </w:tc>
        <w:tc>
          <w:tcPr>
            <w:tcW w:w="220" w:type="dxa"/>
            <w:vAlign w:val="bottom"/>
          </w:tcPr>
          <w:p>
            <w:pPr>
              <w:spacing w:after="0"/>
              <w:rPr>
                <w:sz w:val="15"/>
                <w:szCs w:val="15"/>
                <w:color w:val="auto"/>
              </w:rPr>
            </w:pPr>
          </w:p>
        </w:tc>
      </w:tr>
      <w:tr>
        <w:trPr>
          <w:trHeight w:val="210"/>
        </w:trPr>
        <w:tc>
          <w:tcPr>
            <w:tcW w:w="3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302"/>
              <w:spacing w:after="0"/>
              <w:rPr>
                <w:sz w:val="20"/>
                <w:szCs w:val="20"/>
                <w:color w:val="auto"/>
              </w:rPr>
            </w:pPr>
            <w:r>
              <w:rPr>
                <w:rFonts w:ascii="Arial" w:cs="Arial" w:eastAsia="Arial" w:hAnsi="Arial"/>
                <w:sz w:val="14"/>
                <w:szCs w:val="14"/>
                <w:b w:val="1"/>
                <w:bCs w:val="1"/>
                <w:color w:val="auto"/>
              </w:rPr>
              <w:t>2019</w:t>
            </w:r>
          </w:p>
        </w:tc>
        <w:tc>
          <w:tcPr>
            <w:tcW w:w="30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ind w:right="219"/>
              <w:spacing w:after="0"/>
              <w:rPr>
                <w:sz w:val="20"/>
                <w:szCs w:val="20"/>
                <w:color w:val="auto"/>
              </w:rPr>
            </w:pPr>
            <w:r>
              <w:rPr>
                <w:rFonts w:ascii="Arial" w:cs="Arial" w:eastAsia="Arial" w:hAnsi="Arial"/>
                <w:sz w:val="14"/>
                <w:szCs w:val="14"/>
                <w:b w:val="1"/>
                <w:bCs w:val="1"/>
                <w:color w:val="auto"/>
              </w:rPr>
              <w:t>2018</w:t>
            </w:r>
          </w:p>
        </w:tc>
        <w:tc>
          <w:tcPr>
            <w:tcW w:w="20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ind w:left="140"/>
              <w:spacing w:after="0"/>
              <w:rPr>
                <w:sz w:val="20"/>
                <w:szCs w:val="20"/>
                <w:color w:val="auto"/>
              </w:rPr>
            </w:pPr>
            <w:r>
              <w:rPr>
                <w:rFonts w:ascii="Arial" w:cs="Arial" w:eastAsia="Arial" w:hAnsi="Arial"/>
                <w:sz w:val="14"/>
                <w:szCs w:val="14"/>
                <w:b w:val="1"/>
                <w:bCs w:val="1"/>
                <w:color w:val="auto"/>
              </w:rPr>
              <w:t>$</w:t>
            </w:r>
          </w:p>
        </w:tc>
        <w:tc>
          <w:tcPr>
            <w:tcW w:w="440" w:type="dxa"/>
            <w:vAlign w:val="bottom"/>
            <w:tcBorders>
              <w:bottom w:val="single" w:sz="8" w:color="auto"/>
            </w:tcBorders>
          </w:tcPr>
          <w:p>
            <w:pPr>
              <w:jc w:val="right"/>
              <w:ind w:right="119"/>
              <w:spacing w:after="0"/>
              <w:rPr>
                <w:sz w:val="20"/>
                <w:szCs w:val="20"/>
                <w:color w:val="auto"/>
              </w:rPr>
            </w:pPr>
            <w:r>
              <w:rPr>
                <w:rFonts w:ascii="Arial" w:cs="Arial" w:eastAsia="Arial" w:hAnsi="Arial"/>
                <w:sz w:val="14"/>
                <w:szCs w:val="14"/>
                <w:b w:val="1"/>
                <w:bCs w:val="1"/>
                <w:color w:val="auto"/>
              </w:rPr>
              <w:t>%</w:t>
            </w:r>
          </w:p>
        </w:tc>
        <w:tc>
          <w:tcPr>
            <w:tcW w:w="1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422"/>
              <w:spacing w:after="0"/>
              <w:rPr>
                <w:sz w:val="20"/>
                <w:szCs w:val="20"/>
                <w:color w:val="auto"/>
              </w:rPr>
            </w:pPr>
            <w:r>
              <w:rPr>
                <w:rFonts w:ascii="Arial" w:cs="Arial" w:eastAsia="Arial" w:hAnsi="Arial"/>
                <w:sz w:val="14"/>
                <w:szCs w:val="14"/>
                <w:b w:val="1"/>
                <w:bCs w:val="1"/>
                <w:color w:val="auto"/>
              </w:rPr>
              <w:t>2018</w:t>
            </w:r>
          </w:p>
        </w:tc>
        <w:tc>
          <w:tcPr>
            <w:tcW w:w="20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ind w:right="199"/>
              <w:spacing w:after="0"/>
              <w:rPr>
                <w:sz w:val="20"/>
                <w:szCs w:val="20"/>
                <w:color w:val="auto"/>
              </w:rPr>
            </w:pPr>
            <w:r>
              <w:rPr>
                <w:rFonts w:ascii="Arial" w:cs="Arial" w:eastAsia="Arial" w:hAnsi="Arial"/>
                <w:sz w:val="14"/>
                <w:szCs w:val="14"/>
                <w:b w:val="1"/>
                <w:bCs w:val="1"/>
                <w:color w:val="auto"/>
              </w:rPr>
              <w:t>2017</w:t>
            </w:r>
          </w:p>
        </w:tc>
        <w:tc>
          <w:tcPr>
            <w:tcW w:w="22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582"/>
              <w:spacing w:after="0"/>
              <w:rPr>
                <w:sz w:val="20"/>
                <w:szCs w:val="20"/>
                <w:color w:val="auto"/>
              </w:rPr>
            </w:pPr>
            <w:r>
              <w:rPr>
                <w:rFonts w:ascii="Arial" w:cs="Arial" w:eastAsia="Arial" w:hAnsi="Arial"/>
                <w:sz w:val="14"/>
                <w:szCs w:val="14"/>
                <w:b w:val="1"/>
                <w:bCs w:val="1"/>
                <w:color w:val="auto"/>
              </w:rPr>
              <w:t>$</w:t>
            </w:r>
          </w:p>
        </w:tc>
        <w:tc>
          <w:tcPr>
            <w:tcW w:w="380" w:type="dxa"/>
            <w:vAlign w:val="bottom"/>
            <w:tcBorders>
              <w:bottom w:val="single" w:sz="8" w:color="auto"/>
            </w:tcBorders>
          </w:tcPr>
          <w:p>
            <w:pPr>
              <w:ind w:left="100"/>
              <w:spacing w:after="0"/>
              <w:rPr>
                <w:sz w:val="20"/>
                <w:szCs w:val="20"/>
                <w:color w:val="auto"/>
              </w:rPr>
            </w:pPr>
            <w:r>
              <w:rPr>
                <w:rFonts w:ascii="Arial" w:cs="Arial" w:eastAsia="Arial" w:hAnsi="Arial"/>
                <w:sz w:val="14"/>
                <w:szCs w:val="14"/>
                <w:b w:val="1"/>
                <w:bCs w:val="1"/>
                <w:color w:val="auto"/>
              </w:rPr>
              <w:t>%</w:t>
            </w:r>
          </w:p>
        </w:tc>
        <w:tc>
          <w:tcPr>
            <w:tcW w:w="220" w:type="dxa"/>
            <w:vAlign w:val="bottom"/>
          </w:tcPr>
          <w:p>
            <w:pPr>
              <w:spacing w:after="0"/>
              <w:rPr>
                <w:sz w:val="18"/>
                <w:szCs w:val="18"/>
                <w:color w:val="auto"/>
              </w:rPr>
            </w:pPr>
          </w:p>
        </w:tc>
      </w:tr>
      <w:tr>
        <w:trPr>
          <w:trHeight w:val="182"/>
        </w:trPr>
        <w:tc>
          <w:tcPr>
            <w:tcW w:w="33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580" w:type="dxa"/>
            <w:vAlign w:val="bottom"/>
            <w:gridSpan w:val="5"/>
          </w:tcPr>
          <w:p>
            <w:pPr>
              <w:ind w:left="160"/>
              <w:spacing w:after="0"/>
              <w:rPr>
                <w:sz w:val="20"/>
                <w:szCs w:val="20"/>
                <w:color w:val="auto"/>
              </w:rPr>
            </w:pPr>
            <w:r>
              <w:rPr>
                <w:rFonts w:ascii="Arial" w:cs="Arial" w:eastAsia="Arial" w:hAnsi="Arial"/>
                <w:sz w:val="14"/>
                <w:szCs w:val="14"/>
                <w:b w:val="1"/>
                <w:bCs w:val="1"/>
                <w:color w:val="auto"/>
              </w:rPr>
              <w:t>(in thousands, except percentages)</w:t>
            </w:r>
          </w:p>
        </w:tc>
        <w:tc>
          <w:tcPr>
            <w:tcW w:w="2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220" w:type="dxa"/>
            <w:vAlign w:val="bottom"/>
          </w:tcPr>
          <w:p>
            <w:pPr>
              <w:spacing w:after="0"/>
              <w:rPr>
                <w:sz w:val="15"/>
                <w:szCs w:val="15"/>
                <w:color w:val="auto"/>
              </w:rPr>
            </w:pPr>
          </w:p>
        </w:tc>
      </w:tr>
      <w:tr>
        <w:trPr>
          <w:trHeight w:val="203"/>
        </w:trPr>
        <w:tc>
          <w:tcPr>
            <w:tcW w:w="3380" w:type="dxa"/>
            <w:vAlign w:val="bottom"/>
            <w:tcBorders>
              <w:bottom w:val="single" w:sz="8" w:color="auto"/>
            </w:tcBorders>
          </w:tcPr>
          <w:p>
            <w:pPr>
              <w:spacing w:after="0" w:line="203" w:lineRule="exact"/>
              <w:rPr>
                <w:sz w:val="20"/>
                <w:szCs w:val="20"/>
                <w:color w:val="auto"/>
              </w:rPr>
            </w:pPr>
            <w:r>
              <w:rPr>
                <w:rFonts w:ascii="Arial" w:cs="Arial" w:eastAsia="Arial" w:hAnsi="Arial"/>
                <w:sz w:val="18"/>
                <w:szCs w:val="18"/>
                <w:color w:val="auto"/>
              </w:rPr>
              <w:t>Interest expense</w:t>
            </w:r>
          </w:p>
        </w:tc>
        <w:tc>
          <w:tcPr>
            <w:tcW w:w="220" w:type="dxa"/>
            <w:vAlign w:val="bottom"/>
            <w:gridSpan w:val="2"/>
          </w:tcPr>
          <w:p>
            <w:pPr>
              <w:jc w:val="right"/>
              <w:spacing w:after="0" w:line="203" w:lineRule="exact"/>
              <w:rPr>
                <w:sz w:val="20"/>
                <w:szCs w:val="20"/>
                <w:color w:val="auto"/>
              </w:rPr>
            </w:pPr>
            <w:r>
              <w:rPr>
                <w:rFonts w:ascii="Arial" w:cs="Arial" w:eastAsia="Arial" w:hAnsi="Arial"/>
                <w:sz w:val="18"/>
                <w:szCs w:val="18"/>
                <w:color w:val="auto"/>
              </w:rPr>
              <w:t>$</w:t>
            </w:r>
          </w:p>
        </w:tc>
        <w:tc>
          <w:tcPr>
            <w:tcW w:w="880" w:type="dxa"/>
            <w:vAlign w:val="bottom"/>
          </w:tcPr>
          <w:p>
            <w:pPr>
              <w:jc w:val="right"/>
              <w:ind w:right="22"/>
              <w:spacing w:after="0" w:line="203" w:lineRule="exact"/>
              <w:rPr>
                <w:sz w:val="20"/>
                <w:szCs w:val="20"/>
                <w:color w:val="auto"/>
              </w:rPr>
            </w:pPr>
            <w:r>
              <w:rPr>
                <w:rFonts w:ascii="Arial" w:cs="Arial" w:eastAsia="Arial" w:hAnsi="Arial"/>
                <w:sz w:val="18"/>
                <w:szCs w:val="18"/>
                <w:color w:val="auto"/>
              </w:rPr>
              <w:t>8,650</w:t>
            </w:r>
          </w:p>
        </w:tc>
        <w:tc>
          <w:tcPr>
            <w:tcW w:w="300" w:type="dxa"/>
            <w:vAlign w:val="bottom"/>
          </w:tcPr>
          <w:p>
            <w:pPr>
              <w:jc w:val="right"/>
              <w:spacing w:after="0" w:line="203" w:lineRule="exact"/>
              <w:rPr>
                <w:sz w:val="20"/>
                <w:szCs w:val="20"/>
                <w:color w:val="auto"/>
              </w:rPr>
            </w:pPr>
            <w:r>
              <w:rPr>
                <w:rFonts w:ascii="Arial" w:cs="Arial" w:eastAsia="Arial" w:hAnsi="Arial"/>
                <w:sz w:val="18"/>
                <w:szCs w:val="18"/>
                <w:color w:val="auto"/>
              </w:rPr>
              <w:t>$</w:t>
            </w:r>
          </w:p>
        </w:tc>
        <w:tc>
          <w:tcPr>
            <w:tcW w:w="720" w:type="dxa"/>
            <w:vAlign w:val="bottom"/>
          </w:tcPr>
          <w:p>
            <w:pPr>
              <w:jc w:val="right"/>
              <w:spacing w:after="0" w:line="203" w:lineRule="exact"/>
              <w:rPr>
                <w:sz w:val="20"/>
                <w:szCs w:val="20"/>
                <w:color w:val="auto"/>
              </w:rPr>
            </w:pPr>
            <w:r>
              <w:rPr>
                <w:rFonts w:ascii="Arial" w:cs="Arial" w:eastAsia="Arial" w:hAnsi="Arial"/>
                <w:sz w:val="18"/>
                <w:szCs w:val="18"/>
                <w:color w:val="auto"/>
              </w:rPr>
              <w:t>4</w:t>
            </w:r>
          </w:p>
        </w:tc>
        <w:tc>
          <w:tcPr>
            <w:tcW w:w="460" w:type="dxa"/>
            <w:vAlign w:val="bottom"/>
            <w:gridSpan w:val="2"/>
          </w:tcPr>
          <w:p>
            <w:pPr>
              <w:jc w:val="right"/>
              <w:ind w:right="160"/>
              <w:spacing w:after="0" w:line="203" w:lineRule="exact"/>
              <w:rPr>
                <w:sz w:val="20"/>
                <w:szCs w:val="20"/>
                <w:color w:val="auto"/>
              </w:rPr>
            </w:pPr>
            <w:r>
              <w:rPr>
                <w:rFonts w:ascii="Arial" w:cs="Arial" w:eastAsia="Arial" w:hAnsi="Arial"/>
                <w:sz w:val="18"/>
                <w:szCs w:val="18"/>
                <w:color w:val="auto"/>
              </w:rPr>
              <w:t>$</w:t>
            </w:r>
          </w:p>
        </w:tc>
        <w:tc>
          <w:tcPr>
            <w:tcW w:w="940" w:type="dxa"/>
            <w:vAlign w:val="bottom"/>
          </w:tcPr>
          <w:p>
            <w:pPr>
              <w:ind w:left="180"/>
              <w:spacing w:after="0" w:line="203" w:lineRule="exact"/>
              <w:rPr>
                <w:sz w:val="20"/>
                <w:szCs w:val="20"/>
                <w:color w:val="auto"/>
              </w:rPr>
            </w:pPr>
            <w:r>
              <w:rPr>
                <w:rFonts w:ascii="Arial" w:cs="Arial" w:eastAsia="Arial" w:hAnsi="Arial"/>
                <w:sz w:val="18"/>
                <w:szCs w:val="18"/>
                <w:color w:val="auto"/>
              </w:rPr>
              <w:t>8,646</w:t>
            </w:r>
          </w:p>
        </w:tc>
        <w:tc>
          <w:tcPr>
            <w:tcW w:w="660" w:type="dxa"/>
            <w:vAlign w:val="bottom"/>
            <w:gridSpan w:val="3"/>
          </w:tcPr>
          <w:p>
            <w:pPr>
              <w:jc w:val="right"/>
              <w:ind w:right="20"/>
              <w:spacing w:after="0" w:line="203" w:lineRule="exact"/>
              <w:rPr>
                <w:sz w:val="20"/>
                <w:szCs w:val="20"/>
                <w:color w:val="auto"/>
              </w:rPr>
            </w:pPr>
            <w:r>
              <w:rPr>
                <w:rFonts w:ascii="Arial" w:cs="Arial" w:eastAsia="Arial" w:hAnsi="Arial"/>
                <w:sz w:val="18"/>
                <w:szCs w:val="18"/>
                <w:color w:val="auto"/>
              </w:rPr>
              <w:t>* $</w:t>
            </w:r>
          </w:p>
        </w:tc>
        <w:tc>
          <w:tcPr>
            <w:tcW w:w="980" w:type="dxa"/>
            <w:vAlign w:val="bottom"/>
          </w:tcPr>
          <w:p>
            <w:pPr>
              <w:jc w:val="right"/>
              <w:ind w:right="142"/>
              <w:spacing w:after="0" w:line="203" w:lineRule="exact"/>
              <w:rPr>
                <w:sz w:val="20"/>
                <w:szCs w:val="20"/>
                <w:color w:val="auto"/>
              </w:rPr>
            </w:pPr>
            <w:r>
              <w:rPr>
                <w:rFonts w:ascii="Arial" w:cs="Arial" w:eastAsia="Arial" w:hAnsi="Arial"/>
                <w:sz w:val="18"/>
                <w:szCs w:val="18"/>
                <w:color w:val="auto"/>
              </w:rPr>
              <w:t>4</w:t>
            </w:r>
          </w:p>
        </w:tc>
        <w:tc>
          <w:tcPr>
            <w:tcW w:w="200" w:type="dxa"/>
            <w:vAlign w:val="bottom"/>
          </w:tcPr>
          <w:p>
            <w:pPr>
              <w:jc w:val="right"/>
              <w:spacing w:after="0" w:line="203" w:lineRule="exact"/>
              <w:rPr>
                <w:sz w:val="20"/>
                <w:szCs w:val="20"/>
                <w:color w:val="auto"/>
              </w:rPr>
            </w:pPr>
            <w:r>
              <w:rPr>
                <w:rFonts w:ascii="Arial" w:cs="Arial" w:eastAsia="Arial" w:hAnsi="Arial"/>
                <w:sz w:val="18"/>
                <w:szCs w:val="18"/>
                <w:color w:val="auto"/>
                <w:w w:val="99"/>
              </w:rPr>
              <w:t>$</w:t>
            </w:r>
          </w:p>
        </w:tc>
        <w:tc>
          <w:tcPr>
            <w:tcW w:w="700" w:type="dxa"/>
            <w:vAlign w:val="bottom"/>
          </w:tcPr>
          <w:p>
            <w:pPr>
              <w:jc w:val="right"/>
              <w:spacing w:after="0" w:line="203" w:lineRule="exact"/>
              <w:rPr>
                <w:sz w:val="20"/>
                <w:szCs w:val="20"/>
                <w:color w:val="auto"/>
              </w:rPr>
            </w:pPr>
            <w:r>
              <w:rPr>
                <w:rFonts w:ascii="Arial" w:cs="Arial" w:eastAsia="Arial" w:hAnsi="Arial"/>
                <w:sz w:val="18"/>
                <w:szCs w:val="18"/>
                <w:color w:val="auto"/>
              </w:rPr>
              <w:t>13</w:t>
            </w:r>
          </w:p>
        </w:tc>
        <w:tc>
          <w:tcPr>
            <w:tcW w:w="480" w:type="dxa"/>
            <w:vAlign w:val="bottom"/>
            <w:gridSpan w:val="2"/>
          </w:tcPr>
          <w:p>
            <w:pPr>
              <w:jc w:val="right"/>
              <w:ind w:right="160"/>
              <w:spacing w:after="0" w:line="203" w:lineRule="exact"/>
              <w:rPr>
                <w:sz w:val="20"/>
                <w:szCs w:val="20"/>
                <w:color w:val="auto"/>
              </w:rPr>
            </w:pPr>
            <w:r>
              <w:rPr>
                <w:rFonts w:ascii="Arial" w:cs="Arial" w:eastAsia="Arial" w:hAnsi="Arial"/>
                <w:sz w:val="18"/>
                <w:szCs w:val="18"/>
                <w:color w:val="auto"/>
              </w:rPr>
              <w:t>$</w:t>
            </w:r>
          </w:p>
        </w:tc>
        <w:tc>
          <w:tcPr>
            <w:tcW w:w="880" w:type="dxa"/>
            <w:vAlign w:val="bottom"/>
          </w:tcPr>
          <w:p>
            <w:pPr>
              <w:jc w:val="right"/>
              <w:ind w:right="102"/>
              <w:spacing w:after="0" w:line="203" w:lineRule="exact"/>
              <w:rPr>
                <w:sz w:val="20"/>
                <w:szCs w:val="20"/>
                <w:color w:val="auto"/>
              </w:rPr>
            </w:pPr>
            <w:r>
              <w:rPr>
                <w:rFonts w:ascii="Arial" w:cs="Arial" w:eastAsia="Arial" w:hAnsi="Arial"/>
                <w:sz w:val="18"/>
                <w:szCs w:val="18"/>
                <w:color w:val="auto"/>
              </w:rPr>
              <w:t>(9)</w:t>
            </w:r>
          </w:p>
        </w:tc>
        <w:tc>
          <w:tcPr>
            <w:tcW w:w="600" w:type="dxa"/>
            <w:vAlign w:val="bottom"/>
            <w:gridSpan w:val="2"/>
          </w:tcPr>
          <w:p>
            <w:pPr>
              <w:ind w:left="100"/>
              <w:spacing w:after="0" w:line="203" w:lineRule="exact"/>
              <w:rPr>
                <w:sz w:val="20"/>
                <w:szCs w:val="20"/>
                <w:color w:val="auto"/>
              </w:rPr>
            </w:pPr>
            <w:r>
              <w:rPr>
                <w:rFonts w:ascii="Arial" w:cs="Arial" w:eastAsia="Arial" w:hAnsi="Arial"/>
                <w:sz w:val="18"/>
                <w:szCs w:val="18"/>
                <w:color w:val="auto"/>
                <w:w w:val="99"/>
              </w:rPr>
              <w:t>(69%)</w:t>
            </w:r>
          </w:p>
        </w:tc>
      </w:tr>
      <w:tr>
        <w:trPr>
          <w:trHeight w:val="223"/>
        </w:trPr>
        <w:tc>
          <w:tcPr>
            <w:tcW w:w="3380" w:type="dxa"/>
            <w:vAlign w:val="bottom"/>
          </w:tcPr>
          <w:p>
            <w:pPr>
              <w:spacing w:after="0"/>
              <w:rPr>
                <w:sz w:val="20"/>
                <w:szCs w:val="20"/>
                <w:color w:val="auto"/>
              </w:rPr>
            </w:pPr>
            <w:r>
              <w:rPr>
                <w:rFonts w:ascii="Arial" w:cs="Arial" w:eastAsia="Arial" w:hAnsi="Arial"/>
                <w:sz w:val="18"/>
                <w:szCs w:val="18"/>
                <w:color w:val="auto"/>
              </w:rPr>
              <w:t>* Not meaningful</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220" w:type="dxa"/>
            <w:vAlign w:val="bottom"/>
          </w:tcPr>
          <w:p>
            <w:pPr>
              <w:spacing w:after="0"/>
              <w:rPr>
                <w:sz w:val="19"/>
                <w:szCs w:val="19"/>
                <w:color w:val="auto"/>
              </w:rPr>
            </w:pPr>
          </w:p>
        </w:tc>
      </w:tr>
    </w:tbl>
    <w:p>
      <w:pPr>
        <w:spacing w:after="0" w:line="202" w:lineRule="exact"/>
        <w:rPr>
          <w:sz w:val="20"/>
          <w:szCs w:val="20"/>
          <w:color w:val="auto"/>
        </w:rPr>
      </w:pPr>
    </w:p>
    <w:p>
      <w:pPr>
        <w:ind w:right="40" w:firstLine="518"/>
        <w:spacing w:after="0" w:line="246" w:lineRule="auto"/>
        <w:rPr>
          <w:sz w:val="20"/>
          <w:szCs w:val="20"/>
          <w:color w:val="auto"/>
        </w:rPr>
      </w:pPr>
      <w:r>
        <w:rPr>
          <w:rFonts w:ascii="Arial" w:cs="Arial" w:eastAsia="Arial" w:hAnsi="Arial"/>
          <w:sz w:val="18"/>
          <w:szCs w:val="18"/>
          <w:color w:val="auto"/>
        </w:rPr>
        <w:t>Interest expense during the year ended December 31, 2019 was due to amortization of the debt discount on the Notes issued during the year and, to a lesser extent, interest accrued during the period on the outstanding balance on the Notes.</w:t>
      </w:r>
    </w:p>
    <w:p>
      <w:pPr>
        <w:spacing w:after="0" w:line="19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Interest expense was minimal during the year ended December 31, 2018.</w:t>
      </w:r>
    </w:p>
    <w:p>
      <w:pPr>
        <w:spacing w:after="0" w:line="29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Provision for income taxes</w:t>
      </w:r>
    </w:p>
    <w:p>
      <w:pPr>
        <w:spacing w:after="0" w:line="126"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amounts below reflect the revisions as discussed in Note 2, “Significant Accounting Policies”.</w:t>
      </w:r>
    </w:p>
    <w:p>
      <w:pPr>
        <w:spacing w:after="0" w:line="240"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28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100" w:type="dxa"/>
            <w:vAlign w:val="bottom"/>
            <w:gridSpan w:val="4"/>
          </w:tcPr>
          <w:p>
            <w:pPr>
              <w:spacing w:after="0"/>
              <w:rPr>
                <w:sz w:val="20"/>
                <w:szCs w:val="20"/>
                <w:color w:val="auto"/>
              </w:rPr>
            </w:pPr>
            <w:r>
              <w:rPr>
                <w:rFonts w:ascii="Arial" w:cs="Arial" w:eastAsia="Arial" w:hAnsi="Arial"/>
                <w:sz w:val="14"/>
                <w:szCs w:val="14"/>
                <w:b w:val="1"/>
                <w:bCs w:val="1"/>
                <w:color w:val="auto"/>
              </w:rPr>
              <w:t>Year Ended December 31,</w:t>
            </w:r>
          </w:p>
        </w:tc>
        <w:tc>
          <w:tcPr>
            <w:tcW w:w="260" w:type="dxa"/>
            <w:vAlign w:val="bottom"/>
          </w:tcPr>
          <w:p>
            <w:pPr>
              <w:spacing w:after="0"/>
              <w:rPr>
                <w:sz w:val="15"/>
                <w:szCs w:val="15"/>
                <w:color w:val="auto"/>
              </w:rPr>
            </w:pPr>
          </w:p>
        </w:tc>
        <w:tc>
          <w:tcPr>
            <w:tcW w:w="860" w:type="dxa"/>
            <w:vAlign w:val="bottom"/>
          </w:tcPr>
          <w:p>
            <w:pPr>
              <w:jc w:val="center"/>
              <w:ind w:left="44"/>
              <w:spacing w:after="0"/>
              <w:rPr>
                <w:sz w:val="20"/>
                <w:szCs w:val="20"/>
                <w:color w:val="auto"/>
              </w:rPr>
            </w:pPr>
            <w:r>
              <w:rPr>
                <w:rFonts w:ascii="Arial" w:cs="Arial" w:eastAsia="Arial" w:hAnsi="Arial"/>
                <w:sz w:val="14"/>
                <w:szCs w:val="14"/>
                <w:b w:val="1"/>
                <w:bCs w:val="1"/>
                <w:color w:val="auto"/>
              </w:rPr>
              <w:t>Change</w:t>
            </w:r>
          </w:p>
        </w:tc>
        <w:tc>
          <w:tcPr>
            <w:tcW w:w="4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900" w:type="dxa"/>
            <w:vAlign w:val="bottom"/>
            <w:gridSpan w:val="3"/>
          </w:tcPr>
          <w:p>
            <w:pPr>
              <w:jc w:val="right"/>
              <w:ind w:right="59"/>
              <w:spacing w:after="0"/>
              <w:rPr>
                <w:sz w:val="20"/>
                <w:szCs w:val="20"/>
                <w:color w:val="auto"/>
              </w:rPr>
            </w:pPr>
            <w:r>
              <w:rPr>
                <w:rFonts w:ascii="Arial" w:cs="Arial" w:eastAsia="Arial" w:hAnsi="Arial"/>
                <w:sz w:val="14"/>
                <w:szCs w:val="14"/>
                <w:b w:val="1"/>
                <w:bCs w:val="1"/>
                <w:color w:val="auto"/>
              </w:rPr>
              <w:t>Year Ended December 31,</w:t>
            </w:r>
          </w:p>
        </w:tc>
        <w:tc>
          <w:tcPr>
            <w:tcW w:w="2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80" w:type="dxa"/>
            <w:vAlign w:val="bottom"/>
          </w:tcPr>
          <w:p>
            <w:pPr>
              <w:jc w:val="center"/>
              <w:ind w:left="42"/>
              <w:spacing w:after="0"/>
              <w:rPr>
                <w:sz w:val="20"/>
                <w:szCs w:val="20"/>
                <w:color w:val="auto"/>
              </w:rPr>
            </w:pPr>
            <w:r>
              <w:rPr>
                <w:rFonts w:ascii="Arial" w:cs="Arial" w:eastAsia="Arial" w:hAnsi="Arial"/>
                <w:sz w:val="14"/>
                <w:szCs w:val="14"/>
                <w:b w:val="1"/>
                <w:bCs w:val="1"/>
                <w:color w:val="auto"/>
              </w:rPr>
              <w:t>Change</w:t>
            </w:r>
          </w:p>
        </w:tc>
        <w:tc>
          <w:tcPr>
            <w:tcW w:w="380" w:type="dxa"/>
            <w:vAlign w:val="bottom"/>
          </w:tcPr>
          <w:p>
            <w:pPr>
              <w:spacing w:after="0"/>
              <w:rPr>
                <w:sz w:val="15"/>
                <w:szCs w:val="15"/>
                <w:color w:val="auto"/>
              </w:rPr>
            </w:pPr>
          </w:p>
        </w:tc>
        <w:tc>
          <w:tcPr>
            <w:tcW w:w="160" w:type="dxa"/>
            <w:vAlign w:val="bottom"/>
          </w:tcPr>
          <w:p>
            <w:pPr>
              <w:spacing w:after="0"/>
              <w:rPr>
                <w:sz w:val="15"/>
                <w:szCs w:val="15"/>
                <w:color w:val="auto"/>
              </w:rPr>
            </w:pPr>
          </w:p>
        </w:tc>
      </w:tr>
      <w:tr>
        <w:trPr>
          <w:trHeight w:val="210"/>
        </w:trPr>
        <w:tc>
          <w:tcPr>
            <w:tcW w:w="28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ind w:right="322"/>
              <w:spacing w:after="0"/>
              <w:rPr>
                <w:sz w:val="20"/>
                <w:szCs w:val="20"/>
                <w:color w:val="auto"/>
              </w:rPr>
            </w:pPr>
            <w:r>
              <w:rPr>
                <w:rFonts w:ascii="Arial" w:cs="Arial" w:eastAsia="Arial" w:hAnsi="Arial"/>
                <w:sz w:val="14"/>
                <w:szCs w:val="14"/>
                <w:b w:val="1"/>
                <w:bCs w:val="1"/>
                <w:color w:val="auto"/>
              </w:rPr>
              <w:t>2019</w:t>
            </w:r>
          </w:p>
        </w:tc>
        <w:tc>
          <w:tcPr>
            <w:tcW w:w="300" w:type="dxa"/>
            <w:vAlign w:val="bottom"/>
            <w:tcBorders>
              <w:top w:val="single" w:sz="8" w:color="auto"/>
              <w:bottom w:val="single" w:sz="8" w:color="auto"/>
            </w:tcBorders>
          </w:tcPr>
          <w:p>
            <w:pPr>
              <w:spacing w:after="0"/>
              <w:rPr>
                <w:sz w:val="18"/>
                <w:szCs w:val="18"/>
                <w:color w:val="auto"/>
              </w:rPr>
            </w:pPr>
          </w:p>
        </w:tc>
        <w:tc>
          <w:tcPr>
            <w:tcW w:w="700" w:type="dxa"/>
            <w:vAlign w:val="bottom"/>
            <w:tcBorders>
              <w:top w:val="single" w:sz="8" w:color="auto"/>
              <w:bottom w:val="single" w:sz="8" w:color="auto"/>
            </w:tcBorders>
          </w:tcPr>
          <w:p>
            <w:pPr>
              <w:jc w:val="right"/>
              <w:ind w:right="199"/>
              <w:spacing w:after="0"/>
              <w:rPr>
                <w:sz w:val="20"/>
                <w:szCs w:val="20"/>
                <w:color w:val="auto"/>
              </w:rPr>
            </w:pPr>
            <w:r>
              <w:rPr>
                <w:rFonts w:ascii="Arial" w:cs="Arial" w:eastAsia="Arial" w:hAnsi="Arial"/>
                <w:sz w:val="14"/>
                <w:szCs w:val="14"/>
                <w:b w:val="1"/>
                <w:bCs w:val="1"/>
                <w:color w:val="auto"/>
              </w:rPr>
              <w:t>2018</w:t>
            </w:r>
          </w:p>
        </w:tc>
        <w:tc>
          <w:tcPr>
            <w:tcW w:w="220" w:type="dxa"/>
            <w:vAlign w:val="bottom"/>
            <w:tcBorders>
              <w:bottom w:val="single" w:sz="8" w:color="auto"/>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860" w:type="dxa"/>
            <w:vAlign w:val="bottom"/>
            <w:tcBorders>
              <w:top w:val="single" w:sz="8" w:color="auto"/>
              <w:bottom w:val="single" w:sz="8" w:color="auto"/>
            </w:tcBorders>
          </w:tcPr>
          <w:p>
            <w:pPr>
              <w:jc w:val="right"/>
              <w:ind w:right="564"/>
              <w:spacing w:after="0"/>
              <w:rPr>
                <w:sz w:val="20"/>
                <w:szCs w:val="20"/>
                <w:color w:val="auto"/>
              </w:rPr>
            </w:pPr>
            <w:r>
              <w:rPr>
                <w:rFonts w:ascii="Arial" w:cs="Arial" w:eastAsia="Arial" w:hAnsi="Arial"/>
                <w:sz w:val="14"/>
                <w:szCs w:val="14"/>
                <w:b w:val="1"/>
                <w:bCs w:val="1"/>
                <w:color w:val="auto"/>
              </w:rPr>
              <w:t>$</w:t>
            </w:r>
          </w:p>
        </w:tc>
        <w:tc>
          <w:tcPr>
            <w:tcW w:w="400" w:type="dxa"/>
            <w:vAlign w:val="bottom"/>
            <w:tcBorders>
              <w:top w:val="single" w:sz="8" w:color="auto"/>
              <w:bottom w:val="single" w:sz="8" w:color="auto"/>
            </w:tcBorders>
          </w:tcPr>
          <w:p>
            <w:pPr>
              <w:jc w:val="right"/>
              <w:ind w:right="79"/>
              <w:spacing w:after="0"/>
              <w:rPr>
                <w:sz w:val="20"/>
                <w:szCs w:val="20"/>
                <w:color w:val="auto"/>
              </w:rPr>
            </w:pPr>
            <w:r>
              <w:rPr>
                <w:rFonts w:ascii="Arial" w:cs="Arial" w:eastAsia="Arial" w:hAnsi="Arial"/>
                <w:sz w:val="14"/>
                <w:szCs w:val="14"/>
                <w:b w:val="1"/>
                <w:bCs w:val="1"/>
                <w:color w:val="auto"/>
              </w:rPr>
              <w:t>%</w:t>
            </w:r>
          </w:p>
        </w:tc>
        <w:tc>
          <w:tcPr>
            <w:tcW w:w="280" w:type="dxa"/>
            <w:vAlign w:val="bottom"/>
            <w:tcBorders>
              <w:bottom w:val="single" w:sz="8" w:color="auto"/>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980" w:type="dxa"/>
            <w:vAlign w:val="bottom"/>
            <w:tcBorders>
              <w:top w:val="single" w:sz="8" w:color="auto"/>
              <w:bottom w:val="single" w:sz="8" w:color="auto"/>
            </w:tcBorders>
          </w:tcPr>
          <w:p>
            <w:pPr>
              <w:jc w:val="right"/>
              <w:ind w:right="402"/>
              <w:spacing w:after="0"/>
              <w:rPr>
                <w:sz w:val="20"/>
                <w:szCs w:val="20"/>
                <w:color w:val="auto"/>
              </w:rPr>
            </w:pPr>
            <w:r>
              <w:rPr>
                <w:rFonts w:ascii="Arial" w:cs="Arial" w:eastAsia="Arial" w:hAnsi="Arial"/>
                <w:sz w:val="14"/>
                <w:szCs w:val="14"/>
                <w:b w:val="1"/>
                <w:bCs w:val="1"/>
                <w:color w:val="auto"/>
              </w:rPr>
              <w:t>2018</w:t>
            </w:r>
          </w:p>
        </w:tc>
        <w:tc>
          <w:tcPr>
            <w:tcW w:w="220" w:type="dxa"/>
            <w:vAlign w:val="bottom"/>
            <w:tcBorders>
              <w:top w:val="single" w:sz="8" w:color="auto"/>
              <w:bottom w:val="single" w:sz="8" w:color="auto"/>
            </w:tcBorders>
          </w:tcPr>
          <w:p>
            <w:pPr>
              <w:spacing w:after="0"/>
              <w:rPr>
                <w:sz w:val="18"/>
                <w:szCs w:val="18"/>
                <w:color w:val="auto"/>
              </w:rPr>
            </w:pPr>
          </w:p>
        </w:tc>
        <w:tc>
          <w:tcPr>
            <w:tcW w:w="700" w:type="dxa"/>
            <w:vAlign w:val="bottom"/>
            <w:tcBorders>
              <w:top w:val="single" w:sz="8" w:color="auto"/>
              <w:bottom w:val="single" w:sz="8" w:color="auto"/>
            </w:tcBorders>
          </w:tcPr>
          <w:p>
            <w:pPr>
              <w:jc w:val="right"/>
              <w:ind w:right="219"/>
              <w:spacing w:after="0"/>
              <w:rPr>
                <w:sz w:val="20"/>
                <w:szCs w:val="20"/>
                <w:color w:val="auto"/>
              </w:rPr>
            </w:pPr>
            <w:r>
              <w:rPr>
                <w:rFonts w:ascii="Arial" w:cs="Arial" w:eastAsia="Arial" w:hAnsi="Arial"/>
                <w:sz w:val="14"/>
                <w:szCs w:val="14"/>
                <w:b w:val="1"/>
                <w:bCs w:val="1"/>
                <w:color w:val="auto"/>
              </w:rPr>
              <w:t>2017</w:t>
            </w:r>
          </w:p>
        </w:tc>
        <w:tc>
          <w:tcPr>
            <w:tcW w:w="220" w:type="dxa"/>
            <w:vAlign w:val="bottom"/>
            <w:tcBorders>
              <w:bottom w:val="single" w:sz="8" w:color="auto"/>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ind w:right="562"/>
              <w:spacing w:after="0"/>
              <w:rPr>
                <w:sz w:val="20"/>
                <w:szCs w:val="20"/>
                <w:color w:val="auto"/>
              </w:rPr>
            </w:pPr>
            <w:r>
              <w:rPr>
                <w:rFonts w:ascii="Arial" w:cs="Arial" w:eastAsia="Arial" w:hAnsi="Arial"/>
                <w:sz w:val="14"/>
                <w:szCs w:val="14"/>
                <w:b w:val="1"/>
                <w:bCs w:val="1"/>
                <w:color w:val="auto"/>
              </w:rPr>
              <w:t>$</w:t>
            </w:r>
          </w:p>
        </w:tc>
        <w:tc>
          <w:tcPr>
            <w:tcW w:w="380" w:type="dxa"/>
            <w:vAlign w:val="bottom"/>
            <w:tcBorders>
              <w:top w:val="single" w:sz="8" w:color="auto"/>
              <w:bottom w:val="single" w:sz="8" w:color="auto"/>
            </w:tcBorders>
          </w:tcPr>
          <w:p>
            <w:pPr>
              <w:jc w:val="right"/>
              <w:ind w:right="59"/>
              <w:spacing w:after="0"/>
              <w:rPr>
                <w:sz w:val="20"/>
                <w:szCs w:val="20"/>
                <w:color w:val="auto"/>
              </w:rPr>
            </w:pPr>
            <w:r>
              <w:rPr>
                <w:rFonts w:ascii="Arial" w:cs="Arial" w:eastAsia="Arial" w:hAnsi="Arial"/>
                <w:sz w:val="14"/>
                <w:szCs w:val="14"/>
                <w:b w:val="1"/>
                <w:bCs w:val="1"/>
                <w:color w:val="auto"/>
              </w:rPr>
              <w:t>%</w:t>
            </w:r>
          </w:p>
        </w:tc>
        <w:tc>
          <w:tcPr>
            <w:tcW w:w="160" w:type="dxa"/>
            <w:vAlign w:val="bottom"/>
          </w:tcPr>
          <w:p>
            <w:pPr>
              <w:spacing w:after="0"/>
              <w:rPr>
                <w:sz w:val="18"/>
                <w:szCs w:val="18"/>
                <w:color w:val="auto"/>
              </w:rPr>
            </w:pPr>
          </w:p>
        </w:tc>
      </w:tr>
      <w:tr>
        <w:trPr>
          <w:trHeight w:val="182"/>
        </w:trPr>
        <w:tc>
          <w:tcPr>
            <w:tcW w:w="28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620" w:type="dxa"/>
            <w:vAlign w:val="bottom"/>
            <w:gridSpan w:val="5"/>
          </w:tcPr>
          <w:p>
            <w:pPr>
              <w:jc w:val="right"/>
              <w:spacing w:after="0"/>
              <w:rPr>
                <w:sz w:val="20"/>
                <w:szCs w:val="20"/>
                <w:color w:val="auto"/>
              </w:rPr>
            </w:pPr>
            <w:r>
              <w:rPr>
                <w:rFonts w:ascii="Arial" w:cs="Arial" w:eastAsia="Arial" w:hAnsi="Arial"/>
                <w:sz w:val="14"/>
                <w:szCs w:val="14"/>
                <w:b w:val="1"/>
                <w:bCs w:val="1"/>
                <w:color w:val="auto"/>
              </w:rPr>
              <w:t>(in thousands, except percentages)</w:t>
            </w:r>
          </w:p>
        </w:tc>
        <w:tc>
          <w:tcPr>
            <w:tcW w:w="2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60" w:type="dxa"/>
            <w:vAlign w:val="bottom"/>
          </w:tcPr>
          <w:p>
            <w:pPr>
              <w:spacing w:after="0"/>
              <w:rPr>
                <w:sz w:val="15"/>
                <w:szCs w:val="15"/>
                <w:color w:val="auto"/>
              </w:rPr>
            </w:pPr>
          </w:p>
        </w:tc>
      </w:tr>
      <w:tr>
        <w:trPr>
          <w:trHeight w:val="217"/>
        </w:trPr>
        <w:tc>
          <w:tcPr>
            <w:tcW w:w="2820" w:type="dxa"/>
            <w:vAlign w:val="bottom"/>
          </w:tcPr>
          <w:p>
            <w:pPr>
              <w:spacing w:after="0"/>
              <w:rPr>
                <w:sz w:val="20"/>
                <w:szCs w:val="20"/>
                <w:color w:val="auto"/>
              </w:rPr>
            </w:pPr>
            <w:r>
              <w:rPr>
                <w:rFonts w:ascii="Arial" w:cs="Arial" w:eastAsia="Arial" w:hAnsi="Arial"/>
                <w:sz w:val="18"/>
                <w:szCs w:val="18"/>
                <w:color w:val="auto"/>
              </w:rPr>
              <w:t>Provision for income taxes</w:t>
            </w:r>
          </w:p>
        </w:tc>
        <w:tc>
          <w:tcPr>
            <w:tcW w:w="8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42"/>
              <w:spacing w:after="0"/>
              <w:rPr>
                <w:sz w:val="20"/>
                <w:szCs w:val="20"/>
                <w:color w:val="auto"/>
              </w:rPr>
            </w:pPr>
            <w:r>
              <w:rPr>
                <w:rFonts w:ascii="Arial" w:cs="Arial" w:eastAsia="Arial" w:hAnsi="Arial"/>
                <w:sz w:val="18"/>
                <w:szCs w:val="18"/>
                <w:color w:val="auto"/>
              </w:rPr>
              <w:t>1,725</w:t>
            </w:r>
          </w:p>
        </w:tc>
        <w:tc>
          <w:tcPr>
            <w:tcW w:w="300" w:type="dxa"/>
            <w:vAlign w:val="bottom"/>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1,072</w:t>
            </w:r>
          </w:p>
        </w:tc>
        <w:tc>
          <w:tcPr>
            <w:tcW w:w="220" w:type="dxa"/>
            <w:vAlign w:val="bottom"/>
          </w:tcPr>
          <w:p>
            <w:pPr>
              <w:spacing w:after="0"/>
              <w:rPr>
                <w:sz w:val="18"/>
                <w:szCs w:val="18"/>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860" w:type="dxa"/>
            <w:vAlign w:val="bottom"/>
          </w:tcPr>
          <w:p>
            <w:pPr>
              <w:jc w:val="right"/>
              <w:ind w:right="164"/>
              <w:spacing w:after="0"/>
              <w:rPr>
                <w:sz w:val="20"/>
                <w:szCs w:val="20"/>
                <w:color w:val="auto"/>
              </w:rPr>
            </w:pPr>
            <w:r>
              <w:rPr>
                <w:rFonts w:ascii="Arial" w:cs="Arial" w:eastAsia="Arial" w:hAnsi="Arial"/>
                <w:sz w:val="18"/>
                <w:szCs w:val="18"/>
                <w:color w:val="auto"/>
              </w:rPr>
              <w:t>653</w:t>
            </w:r>
          </w:p>
        </w:tc>
        <w:tc>
          <w:tcPr>
            <w:tcW w:w="780" w:type="dxa"/>
            <w:vAlign w:val="bottom"/>
            <w:gridSpan w:val="3"/>
          </w:tcPr>
          <w:p>
            <w:pPr>
              <w:jc w:val="right"/>
              <w:spacing w:after="0"/>
              <w:rPr>
                <w:sz w:val="20"/>
                <w:szCs w:val="20"/>
                <w:color w:val="auto"/>
              </w:rPr>
            </w:pPr>
            <w:r>
              <w:rPr>
                <w:rFonts w:ascii="Arial" w:cs="Arial" w:eastAsia="Arial" w:hAnsi="Arial"/>
                <w:sz w:val="18"/>
                <w:szCs w:val="18"/>
                <w:color w:val="auto"/>
              </w:rPr>
              <w:t>61% $</w:t>
            </w:r>
          </w:p>
        </w:tc>
        <w:tc>
          <w:tcPr>
            <w:tcW w:w="980" w:type="dxa"/>
            <w:vAlign w:val="bottom"/>
          </w:tcPr>
          <w:p>
            <w:pPr>
              <w:jc w:val="right"/>
              <w:ind w:right="122"/>
              <w:spacing w:after="0"/>
              <w:rPr>
                <w:sz w:val="20"/>
                <w:szCs w:val="20"/>
                <w:color w:val="auto"/>
              </w:rPr>
            </w:pPr>
            <w:r>
              <w:rPr>
                <w:rFonts w:ascii="Arial" w:cs="Arial" w:eastAsia="Arial" w:hAnsi="Arial"/>
                <w:sz w:val="18"/>
                <w:szCs w:val="18"/>
                <w:color w:val="auto"/>
              </w:rPr>
              <w:t>1,072</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565</w:t>
            </w:r>
          </w:p>
        </w:tc>
        <w:tc>
          <w:tcPr>
            <w:tcW w:w="4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182"/>
              <w:spacing w:after="0"/>
              <w:rPr>
                <w:sz w:val="20"/>
                <w:szCs w:val="20"/>
                <w:color w:val="auto"/>
              </w:rPr>
            </w:pPr>
            <w:r>
              <w:rPr>
                <w:rFonts w:ascii="Arial" w:cs="Arial" w:eastAsia="Arial" w:hAnsi="Arial"/>
                <w:sz w:val="18"/>
                <w:szCs w:val="18"/>
                <w:color w:val="auto"/>
              </w:rPr>
              <w:t>507</w:t>
            </w:r>
          </w:p>
        </w:tc>
        <w:tc>
          <w:tcPr>
            <w:tcW w:w="540" w:type="dxa"/>
            <w:vAlign w:val="bottom"/>
            <w:gridSpan w:val="2"/>
          </w:tcPr>
          <w:p>
            <w:pPr>
              <w:jc w:val="right"/>
              <w:spacing w:after="0"/>
              <w:rPr>
                <w:sz w:val="20"/>
                <w:szCs w:val="20"/>
                <w:color w:val="auto"/>
              </w:rPr>
            </w:pPr>
            <w:r>
              <w:rPr>
                <w:rFonts w:ascii="Arial" w:cs="Arial" w:eastAsia="Arial" w:hAnsi="Arial"/>
                <w:sz w:val="18"/>
                <w:szCs w:val="18"/>
                <w:color w:val="auto"/>
              </w:rPr>
              <w:t>90%</w:t>
            </w:r>
          </w:p>
        </w:tc>
      </w:tr>
    </w:tbl>
    <w:p>
      <w:pPr>
        <w:spacing w:after="0" w:line="200" w:lineRule="exact"/>
        <w:rPr>
          <w:sz w:val="20"/>
          <w:szCs w:val="20"/>
          <w:color w:val="auto"/>
        </w:rPr>
      </w:pPr>
    </w:p>
    <w:p>
      <w:pPr>
        <w:spacing w:after="0" w:line="240" w:lineRule="exact"/>
        <w:rPr>
          <w:sz w:val="20"/>
          <w:szCs w:val="20"/>
          <w:color w:val="auto"/>
        </w:rPr>
      </w:pPr>
    </w:p>
    <w:p>
      <w:pPr>
        <w:ind w:left="520"/>
        <w:spacing w:after="0"/>
        <w:rPr>
          <w:sz w:val="20"/>
          <w:szCs w:val="20"/>
          <w:color w:val="auto"/>
        </w:rPr>
      </w:pPr>
      <w:r>
        <w:rPr>
          <w:rFonts w:ascii="Arial" w:cs="Arial" w:eastAsia="Arial" w:hAnsi="Arial"/>
          <w:sz w:val="18"/>
          <w:szCs w:val="18"/>
          <w:color w:val="auto"/>
        </w:rPr>
        <w:t>We are subject to federal and state income taxes in the United States and taxes in foreign jurisdictions. For the year ended December</w:t>
      </w:r>
    </w:p>
    <w:p>
      <w:pPr>
        <w:spacing w:after="0" w:line="234" w:lineRule="auto"/>
        <w:rPr>
          <w:sz w:val="20"/>
          <w:szCs w:val="20"/>
          <w:color w:val="auto"/>
        </w:rPr>
      </w:pPr>
      <w:r>
        <w:rPr>
          <w:rFonts w:ascii="Arial" w:cs="Arial" w:eastAsia="Arial" w:hAnsi="Arial"/>
          <w:sz w:val="18"/>
          <w:szCs w:val="18"/>
          <w:color w:val="auto"/>
        </w:rPr>
        <w:t>31, 2019, our annual estimated effective tax rate differed from the U.S. federal statutory rate of 21% primarily as a result of state taxes, foreign</w:t>
      </w:r>
    </w:p>
    <w:p>
      <w:pPr>
        <w:spacing w:after="0" w:line="235" w:lineRule="auto"/>
        <w:rPr>
          <w:sz w:val="20"/>
          <w:szCs w:val="20"/>
          <w:color w:val="auto"/>
        </w:rPr>
      </w:pPr>
      <w:r>
        <w:rPr>
          <w:rFonts w:ascii="Arial" w:cs="Arial" w:eastAsia="Arial" w:hAnsi="Arial"/>
          <w:sz w:val="18"/>
          <w:szCs w:val="18"/>
          <w:color w:val="auto"/>
        </w:rPr>
        <w:t>taxes, and changes in our valuation allowance for domestic income taxes. For the years ended December 31, 2019 and 2018, we recorded</w:t>
      </w:r>
    </w:p>
    <w:p>
      <w:pPr>
        <w:spacing w:after="0" w:line="235" w:lineRule="auto"/>
        <w:rPr>
          <w:sz w:val="20"/>
          <w:szCs w:val="20"/>
          <w:color w:val="auto"/>
        </w:rPr>
      </w:pPr>
      <w:r>
        <w:rPr>
          <w:rFonts w:ascii="Arial" w:cs="Arial" w:eastAsia="Arial" w:hAnsi="Arial"/>
          <w:sz w:val="18"/>
          <w:szCs w:val="18"/>
          <w:color w:val="auto"/>
        </w:rPr>
        <w:t>$1.7 million and $1.1 million in income tax expense, respectively. The increase in income tax expense for the year ended December 31, 2019,</w:t>
      </w:r>
    </w:p>
    <w:p>
      <w:pPr>
        <w:spacing w:after="0" w:line="235" w:lineRule="auto"/>
        <w:rPr>
          <w:sz w:val="20"/>
          <w:szCs w:val="20"/>
          <w:color w:val="auto"/>
        </w:rPr>
      </w:pPr>
      <w:r>
        <w:rPr>
          <w:rFonts w:ascii="Arial" w:cs="Arial" w:eastAsia="Arial" w:hAnsi="Arial"/>
          <w:sz w:val="18"/>
          <w:szCs w:val="18"/>
          <w:color w:val="auto"/>
        </w:rPr>
        <w:t>compared to the year ended December 31, 2018, was attributable to increased profitability in our international operations. For the year ended</w:t>
      </w:r>
    </w:p>
    <w:p>
      <w:pPr>
        <w:spacing w:after="0" w:line="235" w:lineRule="auto"/>
        <w:rPr>
          <w:sz w:val="20"/>
          <w:szCs w:val="20"/>
          <w:color w:val="auto"/>
        </w:rPr>
      </w:pPr>
      <w:r>
        <w:rPr>
          <w:rFonts w:ascii="Arial" w:cs="Arial" w:eastAsia="Arial" w:hAnsi="Arial"/>
          <w:sz w:val="18"/>
          <w:szCs w:val="18"/>
          <w:color w:val="auto"/>
        </w:rPr>
        <w:t>December 31, 2019, we continued to maintain a full valuation allowance on our U.S. federal and state net deferred tax assets as it was more</w:t>
      </w:r>
    </w:p>
    <w:p>
      <w:pPr>
        <w:spacing w:after="0"/>
        <w:rPr>
          <w:sz w:val="20"/>
          <w:szCs w:val="20"/>
          <w:color w:val="auto"/>
        </w:rPr>
      </w:pPr>
      <w:r>
        <w:rPr>
          <w:rFonts w:ascii="Arial" w:cs="Arial" w:eastAsia="Arial" w:hAnsi="Arial"/>
          <w:sz w:val="18"/>
          <w:szCs w:val="18"/>
          <w:color w:val="auto"/>
        </w:rPr>
        <w:t>likely than not that those deferred tax assets will not be realized.</w:t>
      </w:r>
    </w:p>
    <w:p>
      <w:pPr>
        <w:spacing w:after="0" w:line="20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We are subject to federal and state income taxes in the United States and taxes in foreign jurisdictions. For the year ended December</w:t>
      </w:r>
    </w:p>
    <w:p>
      <w:pPr>
        <w:spacing w:after="0" w:line="234" w:lineRule="auto"/>
        <w:rPr>
          <w:sz w:val="20"/>
          <w:szCs w:val="20"/>
          <w:color w:val="auto"/>
        </w:rPr>
      </w:pPr>
      <w:r>
        <w:rPr>
          <w:rFonts w:ascii="Arial" w:cs="Arial" w:eastAsia="Arial" w:hAnsi="Arial"/>
          <w:sz w:val="18"/>
          <w:szCs w:val="18"/>
          <w:color w:val="auto"/>
        </w:rPr>
        <w:t>31, 2018, our annual estimated effective tax rate differed from the U.S. federal statutory rate of 21% primarily as a result of state taxes, foreign</w:t>
      </w:r>
    </w:p>
    <w:p>
      <w:pPr>
        <w:spacing w:after="0" w:line="235" w:lineRule="auto"/>
        <w:rPr>
          <w:sz w:val="20"/>
          <w:szCs w:val="20"/>
          <w:color w:val="auto"/>
        </w:rPr>
      </w:pPr>
      <w:r>
        <w:rPr>
          <w:rFonts w:ascii="Arial" w:cs="Arial" w:eastAsia="Arial" w:hAnsi="Arial"/>
          <w:sz w:val="18"/>
          <w:szCs w:val="18"/>
          <w:color w:val="auto"/>
        </w:rPr>
        <w:t>taxes, and changes in our valuation allowance for domestic income taxes. For the years ended December 31, 2018 and 2017, we recorded</w:t>
      </w:r>
    </w:p>
    <w:p>
      <w:pPr>
        <w:spacing w:after="0" w:line="235" w:lineRule="auto"/>
        <w:rPr>
          <w:sz w:val="20"/>
          <w:szCs w:val="20"/>
          <w:color w:val="auto"/>
        </w:rPr>
      </w:pPr>
      <w:r>
        <w:rPr>
          <w:rFonts w:ascii="Arial" w:cs="Arial" w:eastAsia="Arial" w:hAnsi="Arial"/>
          <w:sz w:val="18"/>
          <w:szCs w:val="18"/>
          <w:color w:val="auto"/>
        </w:rPr>
        <w:t>$1.1 million and $0.6 million in income tax expense, respectively. The increase in income tax expense for the year ended December 31, 2018,</w:t>
      </w:r>
    </w:p>
    <w:p>
      <w:pPr>
        <w:spacing w:after="0" w:line="235" w:lineRule="auto"/>
        <w:rPr>
          <w:sz w:val="20"/>
          <w:szCs w:val="20"/>
          <w:color w:val="auto"/>
        </w:rPr>
      </w:pPr>
      <w:r>
        <w:rPr>
          <w:rFonts w:ascii="Arial" w:cs="Arial" w:eastAsia="Arial" w:hAnsi="Arial"/>
          <w:sz w:val="18"/>
          <w:szCs w:val="18"/>
          <w:color w:val="auto"/>
        </w:rPr>
        <w:t>compared to the year ended December 31, 2017, was attributable to increased profitability in our international operations. For the year ended</w:t>
      </w:r>
    </w:p>
    <w:p>
      <w:pPr>
        <w:spacing w:after="0" w:line="235" w:lineRule="auto"/>
        <w:rPr>
          <w:sz w:val="20"/>
          <w:szCs w:val="20"/>
          <w:color w:val="auto"/>
        </w:rPr>
      </w:pPr>
      <w:r>
        <w:rPr>
          <w:rFonts w:ascii="Arial" w:cs="Arial" w:eastAsia="Arial" w:hAnsi="Arial"/>
          <w:sz w:val="18"/>
          <w:szCs w:val="18"/>
          <w:color w:val="auto"/>
        </w:rPr>
        <w:t>December 31, 2018, we continued to maintain a full valuation allowance on our U.S. federal and state net deferred tax assets as it was more</w:t>
      </w:r>
    </w:p>
    <w:p>
      <w:pPr>
        <w:spacing w:after="0"/>
        <w:rPr>
          <w:sz w:val="20"/>
          <w:szCs w:val="20"/>
          <w:color w:val="auto"/>
        </w:rPr>
      </w:pPr>
      <w:r>
        <w:rPr>
          <w:rFonts w:ascii="Arial" w:cs="Arial" w:eastAsia="Arial" w:hAnsi="Arial"/>
          <w:sz w:val="18"/>
          <w:szCs w:val="18"/>
          <w:color w:val="auto"/>
        </w:rPr>
        <w:t>likely than not that those deferred tax assets will not be realized.</w:t>
      </w:r>
    </w:p>
    <w:p>
      <w:pPr>
        <w:spacing w:after="0" w:line="29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Liquidity and Capital Resources</w:t>
      </w:r>
    </w:p>
    <w:p>
      <w:pPr>
        <w:spacing w:after="0" w:line="126" w:lineRule="exact"/>
        <w:rPr>
          <w:sz w:val="20"/>
          <w:szCs w:val="20"/>
          <w:color w:val="auto"/>
        </w:rPr>
      </w:pPr>
    </w:p>
    <w:p>
      <w:pPr>
        <w:ind w:firstLine="588"/>
        <w:spacing w:after="0" w:line="238" w:lineRule="auto"/>
        <w:rPr>
          <w:sz w:val="20"/>
          <w:szCs w:val="20"/>
          <w:color w:val="auto"/>
        </w:rPr>
      </w:pPr>
      <w:r>
        <w:rPr>
          <w:rFonts w:ascii="Arial" w:cs="Arial" w:eastAsia="Arial" w:hAnsi="Arial"/>
          <w:sz w:val="18"/>
          <w:szCs w:val="18"/>
          <w:color w:val="auto"/>
        </w:rPr>
        <w:t>At December 31, 2019, our principal sources of liquidity was an aggregate of $607.7 million of cash and cash equivalents and marketable securities, which primarily consist of short-term, investment-grade commercial paper, corporate bonds, and U.S. treasury securities. We had $500.0 million aggregate principal amount of Notes outstanding at December 31, 2019. We have the ability to settle the Notes in cash, shares of our common stock, or a combination of cash and shares of our common stock at our own election. The Notes were not convertible at December 31, 2019.</w:t>
      </w:r>
    </w:p>
    <w:p>
      <w:pPr>
        <w:spacing w:after="0" w:line="203" w:lineRule="exact"/>
        <w:rPr>
          <w:sz w:val="20"/>
          <w:szCs w:val="20"/>
          <w:color w:val="auto"/>
        </w:rPr>
      </w:pPr>
    </w:p>
    <w:p>
      <w:pPr>
        <w:ind w:right="20" w:firstLine="588"/>
        <w:spacing w:after="0" w:line="236" w:lineRule="auto"/>
        <w:rPr>
          <w:sz w:val="20"/>
          <w:szCs w:val="20"/>
          <w:color w:val="auto"/>
        </w:rPr>
      </w:pPr>
      <w:r>
        <w:rPr>
          <w:rFonts w:ascii="Arial" w:cs="Arial" w:eastAsia="Arial" w:hAnsi="Arial"/>
          <w:sz w:val="18"/>
          <w:szCs w:val="18"/>
          <w:color w:val="auto"/>
        </w:rPr>
        <w:t>In connection with the offering of the Notes, we entered into the Capped Calls with the counterparties covering, subject to anti-dilution adjustments, approximately 6.8 million shares of our common stock. If the Capped Calls are exercised and the market value per share of our common stock is greater than the strike price of $73.40 of the Capped Calls but not greater than the cap price of $106.76 for the Capped Calls, we expect to receive from the counterparties a number of shares of our common stock or, at our election (subject to certain conditions), cash, with an aggregate market value (or, in the case of cash settlement, in an amount) approximately equal to the product of such excess times the number of shares of our common stock relating to the Capped Calls being exercised. As a result, the Capped Calls are expected to offset the potential dilution as a result of conversion of the Notes unless we elect, at our option and subject to certain conditions specified under the Capped Calls, for the options to be settled in cash rather than shares of our common stock. If, however,</w:t>
      </w: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2720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00"/>
          </w:cols>
          <w:pgMar w:left="240" w:top="549" w:right="259" w:bottom="1440" w:gutter="0" w:footer="0" w:header="0"/>
        </w:sectPr>
      </w:pPr>
    </w:p>
    <w:bookmarkStart w:id="48" w:name="page49"/>
    <w:bookmarkEnd w:id="48"/>
    <w:p>
      <w:pPr>
        <w:ind w:right="60"/>
        <w:spacing w:after="0" w:line="236" w:lineRule="auto"/>
        <w:rPr>
          <w:sz w:val="20"/>
          <w:szCs w:val="20"/>
          <w:color w:val="auto"/>
        </w:rPr>
      </w:pPr>
      <w:r>
        <w:rPr>
          <w:rFonts w:ascii="Arial" w:cs="Arial" w:eastAsia="Arial" w:hAnsi="Arial"/>
          <w:sz w:val="18"/>
          <w:szCs w:val="18"/>
          <w:color w:val="auto"/>
        </w:rPr>
        <w:t>the market value per share of our common stock, as measured under the terms of the Capped Calls at the time of exercise, exceeds the cap price of the Capped Calls, the number of shares of our common stock or the amount of cash we expect to receive upon the exercise of the Capped Calls will be capped at a number of shares of our common stock with an aggregate market value approximately equal to (1) the excess of the cap price of the Capped Calls over the strike price of the Capped Calls times (2) the number of shares of our common stock relating to the Capped Calls (or the portions thereof) being exercised, and the dilution mitigation under the Capped Calls will be limited to such capped number of shares of our common stock we expect to receive. It is our current intent to settle conversions of the Notes through combination settlement, which involves repayment of the principal portion in cash and any excess of the conversion value over the principal amount in shares of our common stock.</w:t>
      </w:r>
    </w:p>
    <w:p>
      <w:pPr>
        <w:spacing w:after="0" w:line="208" w:lineRule="exact"/>
        <w:rPr>
          <w:sz w:val="20"/>
          <w:szCs w:val="20"/>
          <w:color w:val="auto"/>
        </w:rPr>
      </w:pPr>
    </w:p>
    <w:p>
      <w:pPr>
        <w:ind w:right="300" w:firstLine="588"/>
        <w:spacing w:after="0" w:line="246" w:lineRule="auto"/>
        <w:rPr>
          <w:sz w:val="20"/>
          <w:szCs w:val="20"/>
          <w:color w:val="auto"/>
        </w:rPr>
      </w:pPr>
      <w:r>
        <w:rPr>
          <w:rFonts w:ascii="Arial" w:cs="Arial" w:eastAsia="Arial" w:hAnsi="Arial"/>
          <w:sz w:val="18"/>
          <w:szCs w:val="18"/>
          <w:color w:val="auto"/>
        </w:rPr>
        <w:t>We believe our existing cash and cash equivalents, investments in marketable securities and cash from operations will be sufficient to meet our working capital needs, capital expenditures and financing obligations for at least the next 12 months.</w:t>
      </w:r>
    </w:p>
    <w:p>
      <w:pPr>
        <w:spacing w:after="0" w:line="197" w:lineRule="exact"/>
        <w:rPr>
          <w:sz w:val="20"/>
          <w:szCs w:val="20"/>
          <w:color w:val="auto"/>
        </w:rPr>
      </w:pPr>
    </w:p>
    <w:p>
      <w:pPr>
        <w:ind w:right="20" w:firstLine="518"/>
        <w:spacing w:after="0" w:line="236" w:lineRule="auto"/>
        <w:rPr>
          <w:sz w:val="20"/>
          <w:szCs w:val="20"/>
          <w:color w:val="auto"/>
        </w:rPr>
      </w:pPr>
      <w:r>
        <w:rPr>
          <w:rFonts w:ascii="Arial" w:cs="Arial" w:eastAsia="Arial" w:hAnsi="Arial"/>
          <w:sz w:val="18"/>
          <w:szCs w:val="18"/>
          <w:color w:val="auto"/>
        </w:rPr>
        <w:t>Our future capital requirements will depend on many factors, including our growth rate, the expansion of our direct sales force, strategic relationships and international operations, the timing and extent of spending to support research and development efforts and the continuing market acceptance of our solutions. We may require or opportunistically raise additional equity or debt financing. Sales of additional equity or equity-linked securities could result in dilution to our stockholders. If we raise funds by borrowing from third parties, the terms of those financing arrangements would require us to incur interest expense and may include negative covenants or other restrictions on our business that could impair our operating flexibility. We can provide no assurance that financing will be available at all or, if available, that we would be able to obtain financing on terms favorable to us. If we are unable to raise additional capital when needed, we would be required to curtail our operating activities and capital expenditures, and our business operating results and financial condition would be adversely affected.</w:t>
      </w:r>
    </w:p>
    <w:p>
      <w:pPr>
        <w:spacing w:after="0" w:line="2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Historical Cash Flows</w:t>
      </w:r>
    </w:p>
    <w:p>
      <w:pPr>
        <w:spacing w:after="0" w:line="126"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following table sets forth a summary of our cash flows for the periods indicated:</w:t>
      </w:r>
    </w:p>
    <w:p>
      <w:pPr>
        <w:spacing w:after="0" w:line="51"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7000" w:type="dxa"/>
            <w:vAlign w:val="bottom"/>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3100" w:type="dxa"/>
            <w:vAlign w:val="bottom"/>
            <w:tcBorders>
              <w:bottom w:val="single" w:sz="8" w:color="auto"/>
            </w:tcBorders>
            <w:gridSpan w:val="3"/>
          </w:tcPr>
          <w:p>
            <w:pPr>
              <w:jc w:val="right"/>
              <w:ind w:right="314"/>
              <w:spacing w:after="0"/>
              <w:rPr>
                <w:sz w:val="20"/>
                <w:szCs w:val="20"/>
                <w:color w:val="auto"/>
              </w:rPr>
            </w:pPr>
            <w:r>
              <w:rPr>
                <w:rFonts w:ascii="Arial" w:cs="Arial" w:eastAsia="Arial" w:hAnsi="Arial"/>
                <w:sz w:val="14"/>
                <w:szCs w:val="14"/>
                <w:b w:val="1"/>
                <w:bCs w:val="1"/>
                <w:color w:val="auto"/>
              </w:rPr>
              <w:t>Year Ended December 31,</w:t>
            </w:r>
          </w:p>
        </w:tc>
        <w:tc>
          <w:tcPr>
            <w:tcW w:w="26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r>
      <w:tr>
        <w:trPr>
          <w:trHeight w:val="210"/>
        </w:trPr>
        <w:tc>
          <w:tcPr>
            <w:tcW w:w="700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617"/>
              <w:spacing w:after="0"/>
              <w:rPr>
                <w:sz w:val="20"/>
                <w:szCs w:val="20"/>
                <w:color w:val="auto"/>
              </w:rPr>
            </w:pPr>
            <w:r>
              <w:rPr>
                <w:rFonts w:ascii="Arial" w:cs="Arial" w:eastAsia="Arial" w:hAnsi="Arial"/>
                <w:sz w:val="14"/>
                <w:szCs w:val="14"/>
                <w:b w:val="1"/>
                <w:bCs w:val="1"/>
                <w:color w:val="auto"/>
              </w:rPr>
              <w:t>2019</w:t>
            </w:r>
          </w:p>
        </w:tc>
        <w:tc>
          <w:tcPr>
            <w:tcW w:w="52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ind w:right="674"/>
              <w:spacing w:after="0"/>
              <w:rPr>
                <w:sz w:val="20"/>
                <w:szCs w:val="20"/>
                <w:color w:val="auto"/>
              </w:rPr>
            </w:pPr>
            <w:r>
              <w:rPr>
                <w:rFonts w:ascii="Arial" w:cs="Arial" w:eastAsia="Arial" w:hAnsi="Arial"/>
                <w:sz w:val="14"/>
                <w:szCs w:val="14"/>
                <w:b w:val="1"/>
                <w:bCs w:val="1"/>
                <w:color w:val="auto"/>
              </w:rPr>
              <w:t>2018</w:t>
            </w:r>
          </w:p>
        </w:tc>
        <w:tc>
          <w:tcPr>
            <w:tcW w:w="26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ind w:right="154"/>
              <w:spacing w:after="0"/>
              <w:rPr>
                <w:sz w:val="20"/>
                <w:szCs w:val="20"/>
                <w:color w:val="auto"/>
              </w:rPr>
            </w:pPr>
            <w:r>
              <w:rPr>
                <w:rFonts w:ascii="Arial" w:cs="Arial" w:eastAsia="Arial" w:hAnsi="Arial"/>
                <w:sz w:val="14"/>
                <w:szCs w:val="14"/>
                <w:b w:val="1"/>
                <w:bCs w:val="1"/>
                <w:color w:val="auto"/>
              </w:rPr>
              <w:t>2017</w:t>
            </w:r>
          </w:p>
        </w:tc>
        <w:tc>
          <w:tcPr>
            <w:tcW w:w="100" w:type="dxa"/>
            <w:vAlign w:val="bottom"/>
          </w:tcPr>
          <w:p>
            <w:pPr>
              <w:spacing w:after="0"/>
              <w:rPr>
                <w:sz w:val="18"/>
                <w:szCs w:val="18"/>
                <w:color w:val="auto"/>
              </w:rPr>
            </w:pPr>
          </w:p>
        </w:tc>
      </w:tr>
      <w:tr>
        <w:trPr>
          <w:trHeight w:val="169"/>
        </w:trPr>
        <w:tc>
          <w:tcPr>
            <w:tcW w:w="70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840" w:type="dxa"/>
            <w:vAlign w:val="bottom"/>
            <w:gridSpan w:val="2"/>
          </w:tcPr>
          <w:p>
            <w:pPr>
              <w:jc w:val="right"/>
              <w:ind w:right="714"/>
              <w:spacing w:after="0"/>
              <w:rPr>
                <w:sz w:val="20"/>
                <w:szCs w:val="20"/>
                <w:color w:val="auto"/>
              </w:rPr>
            </w:pPr>
            <w:r>
              <w:rPr>
                <w:rFonts w:ascii="Arial" w:cs="Arial" w:eastAsia="Arial" w:hAnsi="Arial"/>
                <w:sz w:val="14"/>
                <w:szCs w:val="14"/>
                <w:b w:val="1"/>
                <w:bCs w:val="1"/>
                <w:color w:val="auto"/>
              </w:rPr>
              <w:t>(in thousands)</w:t>
            </w:r>
          </w:p>
        </w:tc>
        <w:tc>
          <w:tcPr>
            <w:tcW w:w="2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216"/>
        </w:trPr>
        <w:tc>
          <w:tcPr>
            <w:tcW w:w="7000" w:type="dxa"/>
            <w:vAlign w:val="bottom"/>
            <w:shd w:val="clear" w:color="auto" w:fill="CFF0FC"/>
          </w:tcPr>
          <w:p>
            <w:pPr>
              <w:spacing w:after="0"/>
              <w:rPr>
                <w:sz w:val="20"/>
                <w:szCs w:val="20"/>
                <w:color w:val="auto"/>
              </w:rPr>
            </w:pPr>
            <w:r>
              <w:rPr>
                <w:rFonts w:ascii="Arial" w:cs="Arial" w:eastAsia="Arial" w:hAnsi="Arial"/>
                <w:sz w:val="18"/>
                <w:szCs w:val="18"/>
                <w:color w:val="auto"/>
              </w:rPr>
              <w:t>Net cash provided by operating activities</w:t>
            </w:r>
          </w:p>
        </w:tc>
        <w:tc>
          <w:tcPr>
            <w:tcW w:w="340" w:type="dxa"/>
            <w:vAlign w:val="bottom"/>
            <w:shd w:val="clear" w:color="auto" w:fill="CFF0FC"/>
          </w:tcPr>
          <w:p>
            <w:pPr>
              <w:jc w:val="right"/>
              <w:ind w:right="150"/>
              <w:spacing w:after="0"/>
              <w:rPr>
                <w:sz w:val="20"/>
                <w:szCs w:val="20"/>
                <w:color w:val="auto"/>
              </w:rPr>
            </w:pPr>
            <w:r>
              <w:rPr>
                <w:rFonts w:ascii="Arial" w:cs="Arial" w:eastAsia="Arial" w:hAnsi="Arial"/>
                <w:sz w:val="18"/>
                <w:szCs w:val="18"/>
                <w:color w:val="auto"/>
                <w:w w:val="79"/>
              </w:rPr>
              <w:t>$</w:t>
            </w:r>
          </w:p>
        </w:tc>
        <w:tc>
          <w:tcPr>
            <w:tcW w:w="1260" w:type="dxa"/>
            <w:vAlign w:val="bottom"/>
            <w:shd w:val="clear" w:color="auto" w:fill="CFF0FC"/>
          </w:tcPr>
          <w:p>
            <w:pPr>
              <w:jc w:val="right"/>
              <w:ind w:right="37"/>
              <w:spacing w:after="0"/>
              <w:rPr>
                <w:sz w:val="20"/>
                <w:szCs w:val="20"/>
                <w:color w:val="auto"/>
              </w:rPr>
            </w:pPr>
            <w:r>
              <w:rPr>
                <w:rFonts w:ascii="Arial" w:cs="Arial" w:eastAsia="Arial" w:hAnsi="Arial"/>
                <w:sz w:val="18"/>
                <w:szCs w:val="18"/>
                <w:color w:val="auto"/>
              </w:rPr>
              <w:t>29,724</w:t>
            </w:r>
          </w:p>
        </w:tc>
        <w:tc>
          <w:tcPr>
            <w:tcW w:w="520" w:type="dxa"/>
            <w:vAlign w:val="bottom"/>
            <w:shd w:val="clear" w:color="auto" w:fill="CFF0FC"/>
          </w:tcPr>
          <w:p>
            <w:pPr>
              <w:jc w:val="right"/>
              <w:ind w:right="154"/>
              <w:spacing w:after="0"/>
              <w:rPr>
                <w:sz w:val="20"/>
                <w:szCs w:val="20"/>
                <w:color w:val="auto"/>
              </w:rPr>
            </w:pPr>
            <w:r>
              <w:rPr>
                <w:rFonts w:ascii="Arial" w:cs="Arial" w:eastAsia="Arial" w:hAnsi="Arial"/>
                <w:sz w:val="18"/>
                <w:szCs w:val="18"/>
                <w:color w:val="auto"/>
              </w:rPr>
              <w:t>$</w:t>
            </w:r>
          </w:p>
        </w:tc>
        <w:tc>
          <w:tcPr>
            <w:tcW w:w="1320" w:type="dxa"/>
            <w:vAlign w:val="bottom"/>
            <w:shd w:val="clear" w:color="auto" w:fill="CFF0FC"/>
          </w:tcPr>
          <w:p>
            <w:pPr>
              <w:jc w:val="right"/>
              <w:ind w:right="94"/>
              <w:spacing w:after="0"/>
              <w:rPr>
                <w:sz w:val="20"/>
                <w:szCs w:val="20"/>
                <w:color w:val="auto"/>
              </w:rPr>
            </w:pPr>
            <w:r>
              <w:rPr>
                <w:rFonts w:ascii="Arial" w:cs="Arial" w:eastAsia="Arial" w:hAnsi="Arial"/>
                <w:sz w:val="18"/>
                <w:szCs w:val="18"/>
                <w:color w:val="auto"/>
              </w:rPr>
              <w:t>16,140</w:t>
            </w:r>
          </w:p>
        </w:tc>
        <w:tc>
          <w:tcPr>
            <w:tcW w:w="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6,424</w:t>
            </w:r>
          </w:p>
        </w:tc>
        <w:tc>
          <w:tcPr>
            <w:tcW w:w="100" w:type="dxa"/>
            <w:vAlign w:val="bottom"/>
            <w:shd w:val="clear" w:color="auto" w:fill="CFF0FC"/>
          </w:tcPr>
          <w:p>
            <w:pPr>
              <w:spacing w:after="0"/>
              <w:rPr>
                <w:sz w:val="18"/>
                <w:szCs w:val="18"/>
                <w:color w:val="auto"/>
              </w:rPr>
            </w:pPr>
          </w:p>
        </w:tc>
      </w:tr>
      <w:tr>
        <w:trPr>
          <w:trHeight w:val="216"/>
        </w:trPr>
        <w:tc>
          <w:tcPr>
            <w:tcW w:w="7000" w:type="dxa"/>
            <w:vAlign w:val="bottom"/>
          </w:tcPr>
          <w:p>
            <w:pPr>
              <w:spacing w:after="0"/>
              <w:rPr>
                <w:sz w:val="20"/>
                <w:szCs w:val="20"/>
                <w:color w:val="auto"/>
              </w:rPr>
            </w:pPr>
            <w:r>
              <w:rPr>
                <w:rFonts w:ascii="Arial" w:cs="Arial" w:eastAsia="Arial" w:hAnsi="Arial"/>
                <w:sz w:val="18"/>
                <w:szCs w:val="18"/>
                <w:color w:val="auto"/>
              </w:rPr>
              <w:t>Net cash used in investing activities</w:t>
            </w: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(408,450)</w:t>
            </w:r>
          </w:p>
        </w:tc>
        <w:tc>
          <w:tcPr>
            <w:tcW w:w="520" w:type="dxa"/>
            <w:vAlign w:val="bottom"/>
          </w:tcPr>
          <w:p>
            <w:pPr>
              <w:jc w:val="right"/>
              <w:ind w:right="154"/>
              <w:spacing w:after="0"/>
              <w:rPr>
                <w:sz w:val="20"/>
                <w:szCs w:val="20"/>
                <w:color w:val="auto"/>
              </w:rPr>
            </w:pPr>
            <w:r>
              <w:rPr>
                <w:rFonts w:ascii="Arial" w:cs="Arial" w:eastAsia="Arial" w:hAnsi="Arial"/>
                <w:sz w:val="18"/>
                <w:szCs w:val="18"/>
                <w:color w:val="auto"/>
              </w:rPr>
              <w:t>$</w:t>
            </w:r>
          </w:p>
        </w:tc>
        <w:tc>
          <w:tcPr>
            <w:tcW w:w="1320" w:type="dxa"/>
            <w:vAlign w:val="bottom"/>
          </w:tcPr>
          <w:p>
            <w:pPr>
              <w:jc w:val="right"/>
              <w:ind w:right="14"/>
              <w:spacing w:after="0"/>
              <w:rPr>
                <w:sz w:val="20"/>
                <w:szCs w:val="20"/>
                <w:color w:val="auto"/>
              </w:rPr>
            </w:pPr>
            <w:r>
              <w:rPr>
                <w:rFonts w:ascii="Arial" w:cs="Arial" w:eastAsia="Arial" w:hAnsi="Arial"/>
                <w:sz w:val="18"/>
                <w:szCs w:val="18"/>
                <w:color w:val="auto"/>
              </w:rPr>
              <w:t>(15,977)</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40"/>
              <w:spacing w:after="0"/>
              <w:rPr>
                <w:sz w:val="20"/>
                <w:szCs w:val="20"/>
                <w:color w:val="auto"/>
              </w:rPr>
            </w:pPr>
            <w:r>
              <w:rPr>
                <w:rFonts w:ascii="Arial" w:cs="Arial" w:eastAsia="Arial" w:hAnsi="Arial"/>
                <w:sz w:val="18"/>
                <w:szCs w:val="18"/>
                <w:color w:val="auto"/>
              </w:rPr>
              <w:t>(7,031)</w:t>
            </w:r>
          </w:p>
        </w:tc>
      </w:tr>
      <w:tr>
        <w:trPr>
          <w:trHeight w:val="216"/>
        </w:trPr>
        <w:tc>
          <w:tcPr>
            <w:tcW w:w="7000" w:type="dxa"/>
            <w:vAlign w:val="bottom"/>
            <w:shd w:val="clear" w:color="auto" w:fill="CFF0FC"/>
          </w:tcPr>
          <w:p>
            <w:pPr>
              <w:spacing w:after="0"/>
              <w:rPr>
                <w:sz w:val="20"/>
                <w:szCs w:val="20"/>
                <w:color w:val="auto"/>
              </w:rPr>
            </w:pPr>
            <w:r>
              <w:rPr>
                <w:rFonts w:ascii="Arial" w:cs="Arial" w:eastAsia="Arial" w:hAnsi="Arial"/>
                <w:sz w:val="18"/>
                <w:szCs w:val="18"/>
                <w:color w:val="auto"/>
              </w:rPr>
              <w:t>Net cash provided by financing activities</w:t>
            </w:r>
          </w:p>
        </w:tc>
        <w:tc>
          <w:tcPr>
            <w:tcW w:w="340" w:type="dxa"/>
            <w:vAlign w:val="bottom"/>
            <w:shd w:val="clear" w:color="auto" w:fill="CFF0FC"/>
          </w:tcPr>
          <w:p>
            <w:pPr>
              <w:jc w:val="right"/>
              <w:ind w:right="150"/>
              <w:spacing w:after="0"/>
              <w:rPr>
                <w:sz w:val="20"/>
                <w:szCs w:val="20"/>
                <w:color w:val="auto"/>
              </w:rPr>
            </w:pPr>
            <w:r>
              <w:rPr>
                <w:rFonts w:ascii="Arial" w:cs="Arial" w:eastAsia="Arial" w:hAnsi="Arial"/>
                <w:sz w:val="18"/>
                <w:szCs w:val="18"/>
                <w:color w:val="auto"/>
                <w:w w:val="79"/>
              </w:rPr>
              <w:t>$</w:t>
            </w:r>
          </w:p>
        </w:tc>
        <w:tc>
          <w:tcPr>
            <w:tcW w:w="1260" w:type="dxa"/>
            <w:vAlign w:val="bottom"/>
            <w:shd w:val="clear" w:color="auto" w:fill="CFF0FC"/>
          </w:tcPr>
          <w:p>
            <w:pPr>
              <w:jc w:val="right"/>
              <w:ind w:right="37"/>
              <w:spacing w:after="0"/>
              <w:rPr>
                <w:sz w:val="20"/>
                <w:szCs w:val="20"/>
                <w:color w:val="auto"/>
              </w:rPr>
            </w:pPr>
            <w:r>
              <w:rPr>
                <w:rFonts w:ascii="Arial" w:cs="Arial" w:eastAsia="Arial" w:hAnsi="Arial"/>
                <w:sz w:val="18"/>
                <w:szCs w:val="18"/>
                <w:color w:val="auto"/>
              </w:rPr>
              <w:t>452,512</w:t>
            </w:r>
          </w:p>
        </w:tc>
        <w:tc>
          <w:tcPr>
            <w:tcW w:w="520" w:type="dxa"/>
            <w:vAlign w:val="bottom"/>
            <w:shd w:val="clear" w:color="auto" w:fill="CFF0FC"/>
          </w:tcPr>
          <w:p>
            <w:pPr>
              <w:jc w:val="right"/>
              <w:ind w:right="154"/>
              <w:spacing w:after="0"/>
              <w:rPr>
                <w:sz w:val="20"/>
                <w:szCs w:val="20"/>
                <w:color w:val="auto"/>
              </w:rPr>
            </w:pPr>
            <w:r>
              <w:rPr>
                <w:rFonts w:ascii="Arial" w:cs="Arial" w:eastAsia="Arial" w:hAnsi="Arial"/>
                <w:sz w:val="18"/>
                <w:szCs w:val="18"/>
                <w:color w:val="auto"/>
              </w:rPr>
              <w:t>$</w:t>
            </w:r>
          </w:p>
        </w:tc>
        <w:tc>
          <w:tcPr>
            <w:tcW w:w="1320" w:type="dxa"/>
            <w:vAlign w:val="bottom"/>
            <w:shd w:val="clear" w:color="auto" w:fill="CFF0FC"/>
          </w:tcPr>
          <w:p>
            <w:pPr>
              <w:jc w:val="right"/>
              <w:ind w:right="94"/>
              <w:spacing w:after="0"/>
              <w:rPr>
                <w:sz w:val="20"/>
                <w:szCs w:val="20"/>
                <w:color w:val="auto"/>
              </w:rPr>
            </w:pPr>
            <w:r>
              <w:rPr>
                <w:rFonts w:ascii="Arial" w:cs="Arial" w:eastAsia="Arial" w:hAnsi="Arial"/>
                <w:sz w:val="18"/>
                <w:szCs w:val="18"/>
                <w:color w:val="auto"/>
              </w:rPr>
              <w:t>14,522</w:t>
            </w:r>
          </w:p>
        </w:tc>
        <w:tc>
          <w:tcPr>
            <w:tcW w:w="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9,593</w:t>
            </w:r>
          </w:p>
        </w:tc>
        <w:tc>
          <w:tcPr>
            <w:tcW w:w="100" w:type="dxa"/>
            <w:vAlign w:val="bottom"/>
            <w:shd w:val="clear" w:color="auto" w:fill="CFF0FC"/>
          </w:tcPr>
          <w:p>
            <w:pPr>
              <w:spacing w:after="0"/>
              <w:rPr>
                <w:sz w:val="18"/>
                <w:szCs w:val="18"/>
                <w:color w:val="auto"/>
              </w:rPr>
            </w:pPr>
          </w:p>
        </w:tc>
      </w:tr>
    </w:tbl>
    <w:p>
      <w:pPr>
        <w:spacing w:after="0" w:line="36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Cash Provided by Operating Activities</w:t>
      </w:r>
    </w:p>
    <w:p>
      <w:pPr>
        <w:spacing w:after="0" w:line="126" w:lineRule="exact"/>
        <w:rPr>
          <w:sz w:val="20"/>
          <w:szCs w:val="20"/>
          <w:color w:val="auto"/>
        </w:rPr>
      </w:pPr>
    </w:p>
    <w:p>
      <w:pPr>
        <w:ind w:right="180" w:firstLine="518"/>
        <w:spacing w:after="0" w:line="238" w:lineRule="auto"/>
        <w:rPr>
          <w:sz w:val="20"/>
          <w:szCs w:val="20"/>
          <w:color w:val="auto"/>
        </w:rPr>
      </w:pPr>
      <w:r>
        <w:rPr>
          <w:rFonts w:ascii="Arial" w:cs="Arial" w:eastAsia="Arial" w:hAnsi="Arial"/>
          <w:sz w:val="18"/>
          <w:szCs w:val="18"/>
          <w:color w:val="auto"/>
        </w:rPr>
        <w:t>Our net loss and cash flows from operating activities are significantly influenced by our investments in headcount and infrastructure to support anticipated growth. In recent periods, our net loss has generally been significantly greater than our use of cash for operating activities due to our subscription-based revenue model in which billings occur in advance of revenue recognition, as well as the substantial amount of non-cash charges which we incur. Non-cash charges primarily include depreciation and amortization, stock-based compensation, non-cash lease expense, amortization of debt discount and issuance costs, and deferred taxes.</w:t>
      </w:r>
    </w:p>
    <w:p>
      <w:pPr>
        <w:spacing w:after="0" w:line="203" w:lineRule="exact"/>
        <w:rPr>
          <w:sz w:val="20"/>
          <w:szCs w:val="20"/>
          <w:color w:val="auto"/>
        </w:rPr>
      </w:pPr>
    </w:p>
    <w:p>
      <w:pPr>
        <w:ind w:right="60" w:firstLine="518"/>
        <w:spacing w:after="0" w:line="236" w:lineRule="auto"/>
        <w:rPr>
          <w:sz w:val="20"/>
          <w:szCs w:val="20"/>
          <w:color w:val="auto"/>
        </w:rPr>
      </w:pPr>
      <w:r>
        <w:rPr>
          <w:rFonts w:ascii="Arial" w:cs="Arial" w:eastAsia="Arial" w:hAnsi="Arial"/>
          <w:sz w:val="18"/>
          <w:szCs w:val="18"/>
          <w:color w:val="auto"/>
        </w:rPr>
        <w:t>For the year ended December 31, 2019, cash provided by operations was $29.7 million, resulting from net non-cash expenses of $68.2 million, partially offset by our net loss of $ 32.1 million and net cash flow used as a result of changes in operating assets and liabilities of $6.3 million. The $6.3 million of net cash flows used as a result of changes in our operating assets and liabilities reflected a $28.0 million increase in accounts receivable; a $16.4 million increase in other assets; and a $5.5 million decrease in operating lease liabilities. These changes in our operating assets and liabilities were largely offset by a $33.4 million increase in deferred revenue as a result of the growth of our customer and user base; a $5.8 million increase in accrued expenses and other current liabilities primarily associated with increases in employee-related accruals as a result of increases in headcount and bonuses; a $3.2 million increase accounts payable; and a $1.2 million decrease in prepaid expenses and other current assets.</w:t>
      </w:r>
    </w:p>
    <w:p>
      <w:pPr>
        <w:spacing w:after="0" w:line="208" w:lineRule="exact"/>
        <w:rPr>
          <w:sz w:val="20"/>
          <w:szCs w:val="20"/>
          <w:color w:val="auto"/>
        </w:rPr>
      </w:pPr>
    </w:p>
    <w:p>
      <w:pPr>
        <w:ind w:right="60" w:firstLine="518"/>
        <w:spacing w:after="0" w:line="238" w:lineRule="auto"/>
        <w:rPr>
          <w:sz w:val="20"/>
          <w:szCs w:val="20"/>
          <w:color w:val="auto"/>
        </w:rPr>
      </w:pPr>
      <w:r>
        <w:rPr>
          <w:rFonts w:ascii="Arial" w:cs="Arial" w:eastAsia="Arial" w:hAnsi="Arial"/>
          <w:sz w:val="18"/>
          <w:szCs w:val="18"/>
          <w:color w:val="auto"/>
        </w:rPr>
        <w:t>For the year ended December 31, 2018, cash provided by operations was $16.1 million resulting from net non-cash expenses of $ 43.3 million and net cash flow provided as a result of changes in operating assets and liabilities of $1.6 million, largely offset by our net loss of $28.8 million. The $1.6 million of net cash flows provided as a result of changes in our operating assets and liabilities reflected a $24.7 million increase in deferred revenue as a result of the growth of our customer and user base and a $4.2 million increase in accrued expenses and other current liabilities primarily associated</w:t>
      </w: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2720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571" w:right="239" w:bottom="1440" w:gutter="0" w:footer="0" w:header="0"/>
        </w:sectPr>
      </w:pPr>
    </w:p>
    <w:bookmarkStart w:id="49" w:name="page50"/>
    <w:bookmarkEnd w:id="49"/>
    <w:p>
      <w:pPr>
        <w:ind w:right="20"/>
        <w:spacing w:after="0"/>
        <w:rPr>
          <w:sz w:val="20"/>
          <w:szCs w:val="20"/>
          <w:color w:val="auto"/>
        </w:rPr>
      </w:pPr>
      <w:r>
        <w:rPr>
          <w:rFonts w:ascii="Arial" w:cs="Arial" w:eastAsia="Arial" w:hAnsi="Arial"/>
          <w:sz w:val="18"/>
          <w:szCs w:val="18"/>
          <w:color w:val="auto"/>
        </w:rPr>
        <w:t>with increases in employee-related accruals as a result of increases in headcount and bonuses. This change in our operating assets and liabilities was largely offset by a $13.2 million increase in accounts receivable; a $9.5 million increase in other assets; a $4.0 million decrease in accounts payable; and a $0.4 million increase in prepaid expenses and other current assets.</w:t>
      </w:r>
    </w:p>
    <w:p>
      <w:pPr>
        <w:spacing w:after="0" w:line="203" w:lineRule="exact"/>
        <w:rPr>
          <w:sz w:val="20"/>
          <w:szCs w:val="20"/>
          <w:color w:val="auto"/>
        </w:rPr>
      </w:pPr>
    </w:p>
    <w:p>
      <w:pPr>
        <w:ind w:firstLine="518"/>
        <w:spacing w:after="0" w:line="236" w:lineRule="auto"/>
        <w:rPr>
          <w:sz w:val="20"/>
          <w:szCs w:val="20"/>
          <w:color w:val="auto"/>
        </w:rPr>
      </w:pPr>
      <w:r>
        <w:rPr>
          <w:rFonts w:ascii="Arial" w:cs="Arial" w:eastAsia="Arial" w:hAnsi="Arial"/>
          <w:sz w:val="18"/>
          <w:szCs w:val="18"/>
          <w:color w:val="auto"/>
        </w:rPr>
        <w:t>For the year ended December 31, 2017, cash provided by operations was $6.4 million resulting from net non-cash expenses of $40.8 million, largely offset by our net loss of $33.4 million and net cash flow used as a result of changes in operating assets and liabilities of $1.0 million. The $1.0 million of net cash flows used as a result of changes in our operating assets and liabilities reflected a $20.2 million increase in accounts receivable due to the growth of our customer and user base; a $7.2 million increase in other assets; a $2.0 million increase in prepaid expenses and other current assets; and a $0.2 million decrease in other long-term liabilities. These changes in our operating assets and liabilities were partially offset by a $26.5 million increase in deferred revenue as a result of the growth of our customer and user base, which are billed in advance of our revenue recognition, and a $2.1 million increase in accrued expenses and other current liabilities primarily associated with increases in employee-related accruals as a result of increases in headcount and bonuses.</w:t>
      </w:r>
    </w:p>
    <w:p>
      <w:pPr>
        <w:spacing w:after="0" w:line="2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Cash Used In Investing Activities</w:t>
      </w:r>
    </w:p>
    <w:p>
      <w:pPr>
        <w:spacing w:after="0" w:line="126" w:lineRule="exact"/>
        <w:rPr>
          <w:sz w:val="20"/>
          <w:szCs w:val="20"/>
          <w:color w:val="auto"/>
        </w:rPr>
      </w:pPr>
    </w:p>
    <w:p>
      <w:pPr>
        <w:ind w:right="200" w:firstLine="518"/>
        <w:spacing w:after="0" w:line="246" w:lineRule="auto"/>
        <w:rPr>
          <w:sz w:val="20"/>
          <w:szCs w:val="20"/>
          <w:color w:val="auto"/>
        </w:rPr>
      </w:pPr>
      <w:r>
        <w:rPr>
          <w:rFonts w:ascii="Arial" w:cs="Arial" w:eastAsia="Arial" w:hAnsi="Arial"/>
          <w:sz w:val="18"/>
          <w:szCs w:val="18"/>
          <w:color w:val="auto"/>
        </w:rPr>
        <w:t>Our investing activities consist primarily of investments in and maturities of marketable securities, capital expenditures for property and equipment and capitalized software development costs.</w:t>
      </w:r>
    </w:p>
    <w:p>
      <w:pPr>
        <w:spacing w:after="0" w:line="197" w:lineRule="exact"/>
        <w:rPr>
          <w:sz w:val="20"/>
          <w:szCs w:val="20"/>
          <w:color w:val="auto"/>
        </w:rPr>
      </w:pPr>
    </w:p>
    <w:p>
      <w:pPr>
        <w:ind w:right="80" w:firstLine="518"/>
        <w:spacing w:after="0"/>
        <w:rPr>
          <w:sz w:val="20"/>
          <w:szCs w:val="20"/>
          <w:color w:val="auto"/>
        </w:rPr>
      </w:pPr>
      <w:r>
        <w:rPr>
          <w:rFonts w:ascii="Arial" w:cs="Arial" w:eastAsia="Arial" w:hAnsi="Arial"/>
          <w:sz w:val="18"/>
          <w:szCs w:val="18"/>
          <w:color w:val="auto"/>
        </w:rPr>
        <w:t>For the year ended December 31, 2019, cash used in investing activities was $408.5 million as a result of $ 398.8 million of purchases of marketable securities, net of proceeds from maturities and sales, $5.1 million in capitalized software development costs, and $4.6 million in purchases of property and equipment.</w:t>
      </w:r>
    </w:p>
    <w:p>
      <w:pPr>
        <w:spacing w:after="0" w:line="203" w:lineRule="exact"/>
        <w:rPr>
          <w:sz w:val="20"/>
          <w:szCs w:val="20"/>
          <w:color w:val="auto"/>
        </w:rPr>
      </w:pPr>
    </w:p>
    <w:p>
      <w:pPr>
        <w:ind w:right="180" w:firstLine="518"/>
        <w:spacing w:after="0"/>
        <w:rPr>
          <w:sz w:val="20"/>
          <w:szCs w:val="20"/>
          <w:color w:val="auto"/>
        </w:rPr>
      </w:pPr>
      <w:r>
        <w:rPr>
          <w:rFonts w:ascii="Arial" w:cs="Arial" w:eastAsia="Arial" w:hAnsi="Arial"/>
          <w:sz w:val="18"/>
          <w:szCs w:val="18"/>
          <w:color w:val="auto"/>
        </w:rPr>
        <w:t>For the year ended December 31, 2018, cash used in investing activities was $16.0 million as a result of $ 6.3 million in purchases of property and equipment, $5.7 million in capitalized software development costs, and $4.0 million of purchases of marketable securities, net of proceeds from maturities and sales.</w:t>
      </w:r>
    </w:p>
    <w:p>
      <w:pPr>
        <w:spacing w:after="0" w:line="203" w:lineRule="exact"/>
        <w:rPr>
          <w:sz w:val="20"/>
          <w:szCs w:val="20"/>
          <w:color w:val="auto"/>
        </w:rPr>
      </w:pPr>
    </w:p>
    <w:p>
      <w:pPr>
        <w:ind w:right="160" w:firstLine="518"/>
        <w:spacing w:after="0"/>
        <w:rPr>
          <w:sz w:val="20"/>
          <w:szCs w:val="20"/>
          <w:color w:val="auto"/>
        </w:rPr>
      </w:pPr>
      <w:r>
        <w:rPr>
          <w:rFonts w:ascii="Arial" w:cs="Arial" w:eastAsia="Arial" w:hAnsi="Arial"/>
          <w:sz w:val="18"/>
          <w:szCs w:val="18"/>
          <w:color w:val="auto"/>
        </w:rPr>
        <w:t>For the year ended December 31, 2017, cash used in investing activities was $7.0 million as a result of $4.6 million in capitalized software development costs and $4.0 million in purchases of property and equipment, partially offset by $1.6 million proceeds from maturities, net of purchases of marketable securities.</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Cash Provided By Financing Activities</w:t>
      </w:r>
    </w:p>
    <w:p>
      <w:pPr>
        <w:spacing w:after="0" w:line="126" w:lineRule="exact"/>
        <w:rPr>
          <w:sz w:val="20"/>
          <w:szCs w:val="20"/>
          <w:color w:val="auto"/>
        </w:rPr>
      </w:pPr>
    </w:p>
    <w:p>
      <w:pPr>
        <w:ind w:right="140" w:firstLine="518"/>
        <w:spacing w:after="0" w:line="239" w:lineRule="auto"/>
        <w:rPr>
          <w:sz w:val="20"/>
          <w:szCs w:val="20"/>
          <w:color w:val="auto"/>
        </w:rPr>
      </w:pPr>
      <w:r>
        <w:rPr>
          <w:rFonts w:ascii="Arial" w:cs="Arial" w:eastAsia="Arial" w:hAnsi="Arial"/>
          <w:sz w:val="18"/>
          <w:szCs w:val="18"/>
          <w:color w:val="auto"/>
        </w:rPr>
        <w:t>For the year ended December 31, 2019, cash provided by financing activities was $ 452.5 million primarily as a result of net proceeds of $441.0 million from the issuance of the Notes and the purchase of the associated Capped Calls; $10.6 million of proceeds from exercises of stock options; and $5.3 million of proceeds from the employee stock purchase plan, partially offset by $3.9 million of acquisitions of common stock for tax withholding obligations.</w:t>
      </w:r>
    </w:p>
    <w:p>
      <w:pPr>
        <w:spacing w:after="0" w:line="94" w:lineRule="exact"/>
        <w:rPr>
          <w:sz w:val="20"/>
          <w:szCs w:val="20"/>
          <w:color w:val="auto"/>
        </w:rPr>
      </w:pPr>
    </w:p>
    <w:p>
      <w:pPr>
        <w:ind w:right="20" w:firstLine="518"/>
        <w:spacing w:after="0"/>
        <w:rPr>
          <w:sz w:val="20"/>
          <w:szCs w:val="20"/>
          <w:color w:val="auto"/>
        </w:rPr>
      </w:pPr>
      <w:r>
        <w:rPr>
          <w:rFonts w:ascii="Arial" w:cs="Arial" w:eastAsia="Arial" w:hAnsi="Arial"/>
          <w:sz w:val="18"/>
          <w:szCs w:val="18"/>
          <w:color w:val="auto"/>
        </w:rPr>
        <w:t>For the year ended December 31, 2018, cash provided by financing activities was $14.5 million primarily as a result of $14.0 million of proceeds from the exercises of stock options and a $4.3 million investment from our redeemable non-controlling interest, partially offset by $3.4 million of acquisitions of common stock for tax withholding obligations and $0.4 million of principal payments on capital lease obligations.</w:t>
      </w:r>
    </w:p>
    <w:p>
      <w:pPr>
        <w:spacing w:after="0" w:line="203" w:lineRule="exact"/>
        <w:rPr>
          <w:sz w:val="20"/>
          <w:szCs w:val="20"/>
          <w:color w:val="auto"/>
        </w:rPr>
      </w:pPr>
    </w:p>
    <w:p>
      <w:pPr>
        <w:ind w:right="360" w:firstLine="518"/>
        <w:spacing w:after="0" w:line="246" w:lineRule="auto"/>
        <w:rPr>
          <w:sz w:val="20"/>
          <w:szCs w:val="20"/>
          <w:color w:val="auto"/>
        </w:rPr>
      </w:pPr>
      <w:r>
        <w:rPr>
          <w:rFonts w:ascii="Arial" w:cs="Arial" w:eastAsia="Arial" w:hAnsi="Arial"/>
          <w:sz w:val="18"/>
          <w:szCs w:val="18"/>
          <w:color w:val="auto"/>
        </w:rPr>
        <w:t>For the year ended December 31, 2017, cash provided by financing activities was $9.6 million primarily as a result of $10.3 million of proceeds from the exercises of stock options, partially offset by $0.5 million of principal payments on capital lease obligations.</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Backlog</w:t>
      </w:r>
    </w:p>
    <w:p>
      <w:pPr>
        <w:spacing w:after="0" w:line="126" w:lineRule="exact"/>
        <w:rPr>
          <w:sz w:val="20"/>
          <w:szCs w:val="20"/>
          <w:color w:val="auto"/>
        </w:rPr>
      </w:pPr>
    </w:p>
    <w:p>
      <w:pPr>
        <w:ind w:right="80" w:firstLine="518"/>
        <w:spacing w:after="0" w:line="237" w:lineRule="auto"/>
        <w:rPr>
          <w:sz w:val="20"/>
          <w:szCs w:val="20"/>
          <w:color w:val="auto"/>
        </w:rPr>
      </w:pPr>
      <w:r>
        <w:rPr>
          <w:rFonts w:ascii="Arial" w:cs="Arial" w:eastAsia="Arial" w:hAnsi="Arial"/>
          <w:sz w:val="18"/>
          <w:szCs w:val="18"/>
          <w:color w:val="auto"/>
        </w:rPr>
        <w:t>We enter into both single and multi-year subscription contracts for our solutions. The timing of our invoices to the customer is a negotiated term and thus varies among our subscription contracts. For multi-year agreements, it is common to invoice an initial amount at contract signing followed by subsequent annual invoices. At any point in the contract term, there can be amounts that we have not yet been contractually able to invoice. Until such time as these amounts are invoiced, they are not recorded in revenues, deferred revenue or elsewhere in our consolidated financial statements and are considered by us to be backlog. At December 31, 2019 and 2018, we had backlog of approximately $366.9 million and $285.0 million, respectively. We expect backlog will change from period to period for several reasons, including the timing and duration of customer agreements, varying billing cycles of subscription agreements, and the timing and</w:t>
      </w: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2720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571" w:right="239" w:bottom="1440" w:gutter="0" w:footer="0" w:header="0"/>
        </w:sectPr>
      </w:pPr>
    </w:p>
    <w:bookmarkStart w:id="50" w:name="page51"/>
    <w:bookmarkEnd w:id="50"/>
    <w:p>
      <w:pPr>
        <w:jc w:val="both"/>
        <w:ind w:right="160"/>
        <w:spacing w:after="0"/>
        <w:rPr>
          <w:sz w:val="20"/>
          <w:szCs w:val="20"/>
          <w:color w:val="auto"/>
        </w:rPr>
      </w:pPr>
      <w:r>
        <w:rPr>
          <w:rFonts w:ascii="Arial" w:cs="Arial" w:eastAsia="Arial" w:hAnsi="Arial"/>
          <w:sz w:val="18"/>
          <w:szCs w:val="18"/>
          <w:color w:val="auto"/>
        </w:rPr>
        <w:t>duration of customer renewals. Because revenue for any period is a function of revenue recognized from deferred revenue under contracts in existence at the beginning of the period, as well as contract renewals and new customer contracts during the period, backlog at the beginning of any period is not necessarily indicative of future revenue performance. We do not utilize backlog as a key management metric internally.</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Contractual Obligations and Commitments</w:t>
      </w:r>
    </w:p>
    <w:p>
      <w:pPr>
        <w:spacing w:after="0" w:line="126"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following table summarizes our contractual obligations at December 31, 2019:</w:t>
      </w:r>
    </w:p>
    <w:p>
      <w:pPr>
        <w:spacing w:after="0" w:line="294"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3340" w:type="dxa"/>
            <w:vAlign w:val="bottom"/>
          </w:tcPr>
          <w:p>
            <w:pPr>
              <w:spacing w:after="0"/>
              <w:rPr>
                <w:sz w:val="15"/>
                <w:szCs w:val="15"/>
                <w:color w:val="auto"/>
              </w:rPr>
            </w:pPr>
          </w:p>
        </w:tc>
        <w:tc>
          <w:tcPr>
            <w:tcW w:w="16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2200" w:type="dxa"/>
            <w:vAlign w:val="bottom"/>
            <w:tcBorders>
              <w:bottom w:val="single" w:sz="8" w:color="auto"/>
            </w:tcBorders>
            <w:gridSpan w:val="4"/>
          </w:tcPr>
          <w:p>
            <w:pPr>
              <w:jc w:val="right"/>
              <w:ind w:right="239"/>
              <w:spacing w:after="0"/>
              <w:rPr>
                <w:sz w:val="20"/>
                <w:szCs w:val="20"/>
                <w:color w:val="auto"/>
              </w:rPr>
            </w:pPr>
            <w:r>
              <w:rPr>
                <w:rFonts w:ascii="Arial" w:cs="Arial" w:eastAsia="Arial" w:hAnsi="Arial"/>
                <w:sz w:val="14"/>
                <w:szCs w:val="14"/>
                <w:b w:val="1"/>
                <w:bCs w:val="1"/>
                <w:color w:val="auto"/>
              </w:rPr>
              <w:t>Payments Due by Period</w:t>
            </w:r>
          </w:p>
        </w:tc>
        <w:tc>
          <w:tcPr>
            <w:tcW w:w="120" w:type="dxa"/>
            <w:vAlign w:val="bottom"/>
            <w:tcBorders>
              <w:bottom w:val="single" w:sz="8" w:color="auto"/>
            </w:tcBorders>
          </w:tcPr>
          <w:p>
            <w:pPr>
              <w:spacing w:after="0"/>
              <w:rPr>
                <w:sz w:val="15"/>
                <w:szCs w:val="15"/>
                <w:color w:val="auto"/>
              </w:rPr>
            </w:pPr>
          </w:p>
        </w:tc>
        <w:tc>
          <w:tcPr>
            <w:tcW w:w="52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spacing w:after="0"/>
              <w:rPr>
                <w:sz w:val="15"/>
                <w:szCs w:val="15"/>
                <w:color w:val="auto"/>
              </w:rPr>
            </w:pPr>
          </w:p>
        </w:tc>
      </w:tr>
      <w:tr>
        <w:trPr>
          <w:trHeight w:val="210"/>
        </w:trPr>
        <w:tc>
          <w:tcPr>
            <w:tcW w:w="3340" w:type="dxa"/>
            <w:vAlign w:val="bottom"/>
            <w:tcBorders>
              <w:bottom w:val="single" w:sz="8" w:color="CFF0FC"/>
            </w:tcBorders>
          </w:tcPr>
          <w:p>
            <w:pPr>
              <w:spacing w:after="0"/>
              <w:rPr>
                <w:sz w:val="18"/>
                <w:szCs w:val="18"/>
                <w:color w:val="auto"/>
              </w:rPr>
            </w:pPr>
          </w:p>
        </w:tc>
        <w:tc>
          <w:tcPr>
            <w:tcW w:w="1660" w:type="dxa"/>
            <w:vAlign w:val="bottom"/>
            <w:tcBorders>
              <w:bottom w:val="single" w:sz="8" w:color="CFF0FC"/>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ind w:right="259"/>
              <w:spacing w:after="0"/>
              <w:rPr>
                <w:sz w:val="20"/>
                <w:szCs w:val="20"/>
                <w:color w:val="auto"/>
              </w:rPr>
            </w:pPr>
            <w:r>
              <w:rPr>
                <w:rFonts w:ascii="Arial" w:cs="Arial" w:eastAsia="Arial" w:hAnsi="Arial"/>
                <w:sz w:val="14"/>
                <w:szCs w:val="14"/>
                <w:b w:val="1"/>
                <w:bCs w:val="1"/>
                <w:color w:val="auto"/>
              </w:rPr>
              <w:t>Total</w:t>
            </w:r>
          </w:p>
        </w:tc>
        <w:tc>
          <w:tcPr>
            <w:tcW w:w="240" w:type="dxa"/>
            <w:vAlign w:val="bottom"/>
            <w:tcBorders>
              <w:bottom w:val="single" w:sz="8" w:color="CFF0FC"/>
            </w:tcBorders>
          </w:tcPr>
          <w:p>
            <w:pPr>
              <w:spacing w:after="0"/>
              <w:rPr>
                <w:sz w:val="18"/>
                <w:szCs w:val="18"/>
                <w:color w:val="auto"/>
              </w:rPr>
            </w:pPr>
          </w:p>
        </w:tc>
        <w:tc>
          <w:tcPr>
            <w:tcW w:w="124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rPr>
              <w:t>Less than 1 Year</w:t>
            </w:r>
          </w:p>
        </w:tc>
        <w:tc>
          <w:tcPr>
            <w:tcW w:w="120" w:type="dxa"/>
            <w:vAlign w:val="bottom"/>
            <w:tcBorders>
              <w:bottom w:val="single" w:sz="8" w:color="CFF0FC"/>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222"/>
              <w:spacing w:after="0"/>
              <w:rPr>
                <w:sz w:val="20"/>
                <w:szCs w:val="20"/>
                <w:color w:val="auto"/>
              </w:rPr>
            </w:pPr>
            <w:r>
              <w:rPr>
                <w:rFonts w:ascii="Arial" w:cs="Arial" w:eastAsia="Arial" w:hAnsi="Arial"/>
                <w:sz w:val="14"/>
                <w:szCs w:val="14"/>
                <w:b w:val="1"/>
                <w:bCs w:val="1"/>
                <w:color w:val="auto"/>
              </w:rPr>
              <w:t>1-3 Years</w:t>
            </w:r>
          </w:p>
        </w:tc>
        <w:tc>
          <w:tcPr>
            <w:tcW w:w="120" w:type="dxa"/>
            <w:vAlign w:val="bottom"/>
            <w:tcBorders>
              <w:bottom w:val="single" w:sz="8" w:color="CFF0FC"/>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219"/>
              <w:spacing w:after="0"/>
              <w:rPr>
                <w:sz w:val="20"/>
                <w:szCs w:val="20"/>
                <w:color w:val="auto"/>
              </w:rPr>
            </w:pPr>
            <w:r>
              <w:rPr>
                <w:rFonts w:ascii="Arial" w:cs="Arial" w:eastAsia="Arial" w:hAnsi="Arial"/>
                <w:sz w:val="14"/>
                <w:szCs w:val="14"/>
                <w:b w:val="1"/>
                <w:bCs w:val="1"/>
                <w:color w:val="auto"/>
              </w:rPr>
              <w:t>3-5 Years</w:t>
            </w:r>
          </w:p>
        </w:tc>
        <w:tc>
          <w:tcPr>
            <w:tcW w:w="120" w:type="dxa"/>
            <w:vAlign w:val="bottom"/>
            <w:tcBorders>
              <w:bottom w:val="single" w:sz="8" w:color="CFF0FC"/>
            </w:tcBorders>
          </w:tcPr>
          <w:p>
            <w:pPr>
              <w:spacing w:after="0"/>
              <w:rPr>
                <w:sz w:val="18"/>
                <w:szCs w:val="18"/>
                <w:color w:val="auto"/>
              </w:rPr>
            </w:pPr>
          </w:p>
        </w:tc>
        <w:tc>
          <w:tcPr>
            <w:tcW w:w="136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rPr>
              <w:t>More than 5 Years</w:t>
            </w:r>
          </w:p>
        </w:tc>
      </w:tr>
      <w:tr>
        <w:trPr>
          <w:trHeight w:val="210"/>
        </w:trPr>
        <w:tc>
          <w:tcPr>
            <w:tcW w:w="3340" w:type="dxa"/>
            <w:vAlign w:val="bottom"/>
            <w:shd w:val="clear" w:color="auto" w:fill="CFF0FC"/>
          </w:tcPr>
          <w:p>
            <w:pPr>
              <w:spacing w:after="0"/>
              <w:rPr>
                <w:sz w:val="20"/>
                <w:szCs w:val="20"/>
                <w:color w:val="auto"/>
              </w:rPr>
            </w:pPr>
            <w:r>
              <w:rPr>
                <w:rFonts w:ascii="Arial" w:cs="Arial" w:eastAsia="Arial" w:hAnsi="Arial"/>
                <w:sz w:val="18"/>
                <w:szCs w:val="18"/>
                <w:color w:val="auto"/>
              </w:rPr>
              <w:t>Purchase obligations</w:t>
            </w:r>
          </w:p>
        </w:tc>
        <w:tc>
          <w:tcPr>
            <w:tcW w:w="186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16,776</w:t>
            </w:r>
          </w:p>
        </w:tc>
        <w:tc>
          <w:tcPr>
            <w:tcW w:w="24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20"/>
                <w:szCs w:val="20"/>
                <w:color w:val="auto"/>
              </w:rPr>
            </w:pPr>
            <w:r>
              <w:rPr>
                <w:rFonts w:ascii="Arial" w:cs="Arial" w:eastAsia="Arial" w:hAnsi="Arial"/>
                <w:sz w:val="18"/>
                <w:szCs w:val="18"/>
                <w:color w:val="auto"/>
              </w:rPr>
              <w:t>$</w:t>
            </w:r>
          </w:p>
        </w:tc>
        <w:tc>
          <w:tcPr>
            <w:tcW w:w="86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5,038</w:t>
            </w:r>
          </w:p>
        </w:tc>
        <w:tc>
          <w:tcPr>
            <w:tcW w:w="120" w:type="dxa"/>
            <w:vAlign w:val="bottom"/>
            <w:shd w:val="clear" w:color="auto" w:fill="CFF0FC"/>
          </w:tcPr>
          <w:p>
            <w:pPr>
              <w:spacing w:after="0"/>
              <w:rPr>
                <w:sz w:val="18"/>
                <w:szCs w:val="18"/>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FF0FC"/>
          </w:tcPr>
          <w:p>
            <w:pPr>
              <w:jc w:val="right"/>
              <w:ind w:right="42"/>
              <w:spacing w:after="0"/>
              <w:rPr>
                <w:sz w:val="20"/>
                <w:szCs w:val="20"/>
                <w:color w:val="auto"/>
              </w:rPr>
            </w:pPr>
            <w:r>
              <w:rPr>
                <w:rFonts w:ascii="Arial" w:cs="Arial" w:eastAsia="Arial" w:hAnsi="Arial"/>
                <w:sz w:val="18"/>
                <w:szCs w:val="18"/>
                <w:color w:val="auto"/>
              </w:rPr>
              <w:t>11,332</w:t>
            </w:r>
          </w:p>
        </w:tc>
        <w:tc>
          <w:tcPr>
            <w:tcW w:w="2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w:t>
            </w:r>
          </w:p>
        </w:tc>
        <w:tc>
          <w:tcPr>
            <w:tcW w:w="960" w:type="dxa"/>
            <w:vAlign w:val="bottom"/>
            <w:shd w:val="clear" w:color="auto" w:fill="CFF0FC"/>
          </w:tcPr>
          <w:p>
            <w:pPr>
              <w:jc w:val="right"/>
              <w:ind w:right="39"/>
              <w:spacing w:after="0"/>
              <w:rPr>
                <w:sz w:val="20"/>
                <w:szCs w:val="20"/>
                <w:color w:val="auto"/>
              </w:rPr>
            </w:pPr>
            <w:r>
              <w:rPr>
                <w:rFonts w:ascii="Arial" w:cs="Arial" w:eastAsia="Arial" w:hAnsi="Arial"/>
                <w:sz w:val="18"/>
                <w:szCs w:val="18"/>
                <w:color w:val="auto"/>
              </w:rPr>
              <w:t>236</w:t>
            </w:r>
          </w:p>
        </w:tc>
        <w:tc>
          <w:tcPr>
            <w:tcW w:w="640" w:type="dxa"/>
            <w:vAlign w:val="bottom"/>
            <w:gridSpan w:val="2"/>
            <w:shd w:val="clear" w:color="auto" w:fill="CFF0FC"/>
          </w:tcPr>
          <w:p>
            <w:pPr>
              <w:ind w:left="120"/>
              <w:spacing w:after="0"/>
              <w:rPr>
                <w:sz w:val="20"/>
                <w:szCs w:val="20"/>
                <w:color w:val="auto"/>
              </w:rPr>
            </w:pPr>
            <w:r>
              <w:rPr>
                <w:rFonts w:ascii="Arial" w:cs="Arial" w:eastAsia="Arial" w:hAnsi="Arial"/>
                <w:sz w:val="18"/>
                <w:szCs w:val="18"/>
                <w:color w:val="auto"/>
              </w:rPr>
              <w:t>$</w:t>
            </w:r>
          </w:p>
        </w:tc>
        <w:tc>
          <w:tcPr>
            <w:tcW w:w="84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170</w:t>
            </w:r>
          </w:p>
        </w:tc>
      </w:tr>
    </w:tbl>
    <w:p>
      <w:pPr>
        <w:spacing w:after="0" w:line="215" w:lineRule="exact"/>
        <w:rPr>
          <w:sz w:val="20"/>
          <w:szCs w:val="20"/>
          <w:color w:val="auto"/>
        </w:rPr>
      </w:pPr>
    </w:p>
    <w:p>
      <w:pPr>
        <w:ind w:right="20" w:firstLine="518"/>
        <w:spacing w:after="0" w:line="239" w:lineRule="auto"/>
        <w:rPr>
          <w:sz w:val="20"/>
          <w:szCs w:val="20"/>
          <w:color w:val="auto"/>
        </w:rPr>
      </w:pPr>
      <w:r>
        <w:rPr>
          <w:rFonts w:ascii="Arial" w:cs="Arial" w:eastAsia="Arial" w:hAnsi="Arial"/>
          <w:sz w:val="18"/>
          <w:szCs w:val="18"/>
          <w:color w:val="auto"/>
        </w:rPr>
        <w:t>We are required to pay up to a maximum of $8.0 million of contingent consideration relating to our 2013 Acquisition if we realize a tax benefit from the use of net operating losses generated from the stock option exercises concurrent with the 2013 Acquisition. We have not included this obligation in the table above because there is a high degree of uncertainty regarding the amount and timing of future cash flows to extinguish this liability. The settlement of this liability depends on our ability to generate taxable income in the future to realize this tax benefit.</w:t>
      </w:r>
    </w:p>
    <w:p>
      <w:pPr>
        <w:spacing w:after="0" w:line="202" w:lineRule="exact"/>
        <w:rPr>
          <w:sz w:val="20"/>
          <w:szCs w:val="20"/>
          <w:color w:val="auto"/>
        </w:rPr>
      </w:pPr>
    </w:p>
    <w:p>
      <w:pPr>
        <w:ind w:right="120" w:firstLine="518"/>
        <w:spacing w:after="0" w:line="246" w:lineRule="auto"/>
        <w:rPr>
          <w:sz w:val="20"/>
          <w:szCs w:val="20"/>
          <w:color w:val="auto"/>
        </w:rPr>
      </w:pPr>
      <w:r>
        <w:rPr>
          <w:rFonts w:ascii="Arial" w:cs="Arial" w:eastAsia="Arial" w:hAnsi="Arial"/>
          <w:sz w:val="18"/>
          <w:szCs w:val="18"/>
          <w:color w:val="auto"/>
        </w:rPr>
        <w:t>At December 31, 2019, liabilities for unrecognized tax benefits of $1.7 million were not included in the table above because, due to their nature, there was a high degree of uncertainty regarding the timing of future cash outflows and other events that extinguish these liabilities.</w:t>
      </w:r>
    </w:p>
    <w:p>
      <w:pPr>
        <w:spacing w:after="0" w:line="19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Commitments under letters of credit at December 31, 2019 were scheduled to expire as follows (in thousands):</w:t>
      </w:r>
    </w:p>
    <w:p>
      <w:pPr>
        <w:spacing w:after="0" w:line="294"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5160" w:type="dxa"/>
            <w:vAlign w:val="bottom"/>
            <w:tcBorders>
              <w:bottom w:val="single" w:sz="8" w:color="CFF0FC"/>
            </w:tcBorders>
          </w:tcPr>
          <w:p>
            <w:pPr>
              <w:spacing w:after="0"/>
              <w:rPr>
                <w:sz w:val="15"/>
                <w:szCs w:val="15"/>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Total</w:t>
            </w:r>
          </w:p>
        </w:tc>
        <w:tc>
          <w:tcPr>
            <w:tcW w:w="340" w:type="dxa"/>
            <w:vAlign w:val="bottom"/>
            <w:tcBorders>
              <w:bottom w:val="single" w:sz="8" w:color="auto"/>
            </w:tcBorders>
          </w:tcPr>
          <w:p>
            <w:pPr>
              <w:spacing w:after="0"/>
              <w:rPr>
                <w:sz w:val="15"/>
                <w:szCs w:val="15"/>
                <w:color w:val="auto"/>
              </w:rPr>
            </w:pPr>
          </w:p>
        </w:tc>
        <w:tc>
          <w:tcPr>
            <w:tcW w:w="220" w:type="dxa"/>
            <w:vAlign w:val="bottom"/>
            <w:tcBorders>
              <w:bottom w:val="single" w:sz="8" w:color="CFF0FC"/>
            </w:tcBorders>
          </w:tcPr>
          <w:p>
            <w:pPr>
              <w:spacing w:after="0"/>
              <w:rPr>
                <w:sz w:val="15"/>
                <w:szCs w:val="15"/>
                <w:color w:val="auto"/>
              </w:rPr>
            </w:pPr>
          </w:p>
        </w:tc>
        <w:tc>
          <w:tcPr>
            <w:tcW w:w="126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rPr>
              <w:t>Less than 1 Year</w:t>
            </w:r>
          </w:p>
        </w:tc>
        <w:tc>
          <w:tcPr>
            <w:tcW w:w="120" w:type="dxa"/>
            <w:vAlign w:val="bottom"/>
            <w:tcBorders>
              <w:bottom w:val="single" w:sz="8" w:color="CFF0FC"/>
            </w:tcBorders>
          </w:tcPr>
          <w:p>
            <w:pPr>
              <w:spacing w:after="0"/>
              <w:rPr>
                <w:sz w:val="15"/>
                <w:szCs w:val="15"/>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1-3 Years</w:t>
            </w:r>
          </w:p>
        </w:tc>
        <w:tc>
          <w:tcPr>
            <w:tcW w:w="300" w:type="dxa"/>
            <w:vAlign w:val="bottom"/>
            <w:tcBorders>
              <w:bottom w:val="single" w:sz="8" w:color="auto"/>
            </w:tcBorders>
          </w:tcPr>
          <w:p>
            <w:pPr>
              <w:spacing w:after="0"/>
              <w:rPr>
                <w:sz w:val="15"/>
                <w:szCs w:val="15"/>
                <w:color w:val="auto"/>
              </w:rPr>
            </w:pPr>
          </w:p>
        </w:tc>
        <w:tc>
          <w:tcPr>
            <w:tcW w:w="120" w:type="dxa"/>
            <w:vAlign w:val="bottom"/>
            <w:tcBorders>
              <w:bottom w:val="single" w:sz="8" w:color="CFF0FC"/>
            </w:tcBorders>
          </w:tcPr>
          <w:p>
            <w:pPr>
              <w:spacing w:after="0"/>
              <w:rPr>
                <w:sz w:val="15"/>
                <w:szCs w:val="15"/>
                <w:color w:val="auto"/>
              </w:rPr>
            </w:pPr>
          </w:p>
        </w:tc>
        <w:tc>
          <w:tcPr>
            <w:tcW w:w="840" w:type="dxa"/>
            <w:vAlign w:val="bottom"/>
            <w:tcBorders>
              <w:bottom w:val="single" w:sz="8" w:color="auto"/>
            </w:tcBorders>
          </w:tcPr>
          <w:p>
            <w:pPr>
              <w:ind w:left="200"/>
              <w:spacing w:after="0"/>
              <w:rPr>
                <w:sz w:val="20"/>
                <w:szCs w:val="20"/>
                <w:color w:val="auto"/>
              </w:rPr>
            </w:pPr>
            <w:r>
              <w:rPr>
                <w:rFonts w:ascii="Arial" w:cs="Arial" w:eastAsia="Arial" w:hAnsi="Arial"/>
                <w:sz w:val="14"/>
                <w:szCs w:val="14"/>
                <w:b w:val="1"/>
                <w:bCs w:val="1"/>
                <w:color w:val="auto"/>
                <w:w w:val="99"/>
              </w:rPr>
              <w:t>3-5 Years</w:t>
            </w:r>
          </w:p>
        </w:tc>
        <w:tc>
          <w:tcPr>
            <w:tcW w:w="300" w:type="dxa"/>
            <w:vAlign w:val="bottom"/>
            <w:tcBorders>
              <w:bottom w:val="single" w:sz="8" w:color="auto"/>
            </w:tcBorders>
          </w:tcPr>
          <w:p>
            <w:pPr>
              <w:spacing w:after="0"/>
              <w:rPr>
                <w:sz w:val="15"/>
                <w:szCs w:val="15"/>
                <w:color w:val="auto"/>
              </w:rPr>
            </w:pPr>
          </w:p>
        </w:tc>
        <w:tc>
          <w:tcPr>
            <w:tcW w:w="120" w:type="dxa"/>
            <w:vAlign w:val="bottom"/>
            <w:tcBorders>
              <w:bottom w:val="single" w:sz="8" w:color="CFF0FC"/>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ind w:right="199"/>
              <w:spacing w:after="0"/>
              <w:rPr>
                <w:sz w:val="20"/>
                <w:szCs w:val="20"/>
                <w:color w:val="auto"/>
              </w:rPr>
            </w:pPr>
            <w:r>
              <w:rPr>
                <w:rFonts w:ascii="Arial" w:cs="Arial" w:eastAsia="Arial" w:hAnsi="Arial"/>
                <w:sz w:val="14"/>
                <w:szCs w:val="14"/>
                <w:b w:val="1"/>
                <w:bCs w:val="1"/>
                <w:color w:val="auto"/>
              </w:rPr>
              <w:t>Thereafter</w:t>
            </w:r>
          </w:p>
        </w:tc>
      </w:tr>
      <w:tr>
        <w:trPr>
          <w:trHeight w:val="210"/>
        </w:trPr>
        <w:tc>
          <w:tcPr>
            <w:tcW w:w="5160" w:type="dxa"/>
            <w:vAlign w:val="bottom"/>
            <w:shd w:val="clear" w:color="auto" w:fill="CFF0FC"/>
          </w:tcPr>
          <w:p>
            <w:pPr>
              <w:spacing w:after="0"/>
              <w:rPr>
                <w:sz w:val="20"/>
                <w:szCs w:val="20"/>
                <w:color w:val="auto"/>
              </w:rPr>
            </w:pPr>
            <w:r>
              <w:rPr>
                <w:rFonts w:ascii="Arial" w:cs="Arial" w:eastAsia="Arial" w:hAnsi="Arial"/>
                <w:sz w:val="18"/>
                <w:szCs w:val="18"/>
                <w:color w:val="auto"/>
              </w:rPr>
              <w:t>Letters of credit</w:t>
            </w:r>
          </w:p>
        </w:tc>
        <w:tc>
          <w:tcPr>
            <w:tcW w:w="680" w:type="dxa"/>
            <w:vAlign w:val="bottom"/>
            <w:shd w:val="clear" w:color="auto" w:fill="CFF0FC"/>
          </w:tcPr>
          <w:p>
            <w:pPr>
              <w:jc w:val="right"/>
              <w:ind w:right="499"/>
              <w:spacing w:after="0"/>
              <w:rPr>
                <w:sz w:val="20"/>
                <w:szCs w:val="20"/>
                <w:color w:val="auto"/>
              </w:rPr>
            </w:pPr>
            <w:r>
              <w:rPr>
                <w:rFonts w:ascii="Arial" w:cs="Arial" w:eastAsia="Arial" w:hAnsi="Arial"/>
                <w:sz w:val="18"/>
                <w:szCs w:val="18"/>
                <w:color w:val="auto"/>
                <w:w w:val="79"/>
              </w:rPr>
              <w:t>$</w:t>
            </w:r>
          </w:p>
        </w:tc>
        <w:tc>
          <w:tcPr>
            <w:tcW w:w="3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284</w:t>
            </w:r>
          </w:p>
        </w:tc>
        <w:tc>
          <w:tcPr>
            <w:tcW w:w="220" w:type="dxa"/>
            <w:vAlign w:val="bottom"/>
            <w:shd w:val="clear" w:color="auto" w:fill="CFF0FC"/>
          </w:tcPr>
          <w:p>
            <w:pPr>
              <w:spacing w:after="0"/>
              <w:rPr>
                <w:sz w:val="18"/>
                <w:szCs w:val="18"/>
                <w:color w:val="auto"/>
              </w:rPr>
            </w:pPr>
          </w:p>
        </w:tc>
        <w:tc>
          <w:tcPr>
            <w:tcW w:w="540" w:type="dxa"/>
            <w:vAlign w:val="bottom"/>
            <w:shd w:val="clear" w:color="auto" w:fill="CFF0FC"/>
          </w:tcPr>
          <w:p>
            <w:pPr>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FF0FC"/>
          </w:tcPr>
          <w:p>
            <w:pPr>
              <w:ind w:left="420"/>
              <w:spacing w:after="0"/>
              <w:rPr>
                <w:sz w:val="20"/>
                <w:szCs w:val="20"/>
                <w:color w:val="auto"/>
              </w:rPr>
            </w:pPr>
            <w:r>
              <w:rPr>
                <w:rFonts w:ascii="Arial" w:cs="Arial" w:eastAsia="Arial" w:hAnsi="Arial"/>
                <w:sz w:val="18"/>
                <w:szCs w:val="18"/>
                <w:color w:val="auto"/>
              </w:rPr>
              <w:t>—</w:t>
            </w:r>
          </w:p>
        </w:tc>
        <w:tc>
          <w:tcPr>
            <w:tcW w:w="820" w:type="dxa"/>
            <w:vAlign w:val="bottom"/>
            <w:shd w:val="clear" w:color="auto" w:fill="CFF0FC"/>
          </w:tcPr>
          <w:p>
            <w:pPr>
              <w:jc w:val="right"/>
              <w:ind w:right="639"/>
              <w:spacing w:after="0"/>
              <w:rPr>
                <w:sz w:val="20"/>
                <w:szCs w:val="20"/>
                <w:color w:val="auto"/>
              </w:rPr>
            </w:pPr>
            <w:r>
              <w:rPr>
                <w:rFonts w:ascii="Arial" w:cs="Arial" w:eastAsia="Arial" w:hAnsi="Arial"/>
                <w:sz w:val="18"/>
                <w:szCs w:val="18"/>
                <w:color w:val="auto"/>
                <w:w w:val="79"/>
              </w:rPr>
              <w:t>$</w:t>
            </w:r>
          </w:p>
        </w:tc>
        <w:tc>
          <w:tcPr>
            <w:tcW w:w="1260" w:type="dxa"/>
            <w:vAlign w:val="bottom"/>
            <w:gridSpan w:val="3"/>
            <w:shd w:val="clear" w:color="auto" w:fill="CFF0FC"/>
          </w:tcPr>
          <w:p>
            <w:pPr>
              <w:spacing w:after="0"/>
              <w:rPr>
                <w:sz w:val="20"/>
                <w:szCs w:val="20"/>
                <w:color w:val="auto"/>
              </w:rPr>
            </w:pPr>
            <w:r>
              <w:rPr>
                <w:rFonts w:ascii="Arial" w:cs="Arial" w:eastAsia="Arial" w:hAnsi="Arial"/>
                <w:sz w:val="18"/>
                <w:szCs w:val="18"/>
                <w:color w:val="auto"/>
              </w:rPr>
              <w:t>—   $</w:t>
            </w:r>
          </w:p>
        </w:tc>
        <w:tc>
          <w:tcPr>
            <w:tcW w:w="560" w:type="dxa"/>
            <w:vAlign w:val="bottom"/>
            <w:gridSpan w:val="3"/>
            <w:shd w:val="clear" w:color="auto" w:fill="CFF0FC"/>
          </w:tcPr>
          <w:p>
            <w:pPr>
              <w:spacing w:after="0"/>
              <w:rPr>
                <w:sz w:val="20"/>
                <w:szCs w:val="20"/>
                <w:color w:val="auto"/>
              </w:rPr>
            </w:pPr>
            <w:r>
              <w:rPr>
                <w:rFonts w:ascii="Arial" w:cs="Arial" w:eastAsia="Arial" w:hAnsi="Arial"/>
                <w:sz w:val="18"/>
                <w:szCs w:val="18"/>
                <w:color w:val="auto"/>
              </w:rPr>
              <w:t>—   $</w:t>
            </w:r>
          </w:p>
        </w:tc>
        <w:tc>
          <w:tcPr>
            <w:tcW w:w="1000" w:type="dxa"/>
            <w:vAlign w:val="bottom"/>
            <w:shd w:val="clear" w:color="auto" w:fill="CFF0FC"/>
          </w:tcPr>
          <w:p>
            <w:pPr>
              <w:jc w:val="right"/>
              <w:ind w:right="39"/>
              <w:spacing w:after="0"/>
              <w:rPr>
                <w:sz w:val="20"/>
                <w:szCs w:val="20"/>
                <w:color w:val="auto"/>
              </w:rPr>
            </w:pPr>
            <w:r>
              <w:rPr>
                <w:rFonts w:ascii="Arial" w:cs="Arial" w:eastAsia="Arial" w:hAnsi="Arial"/>
                <w:sz w:val="18"/>
                <w:szCs w:val="18"/>
                <w:color w:val="auto"/>
              </w:rPr>
              <w:t>284</w:t>
            </w:r>
          </w:p>
        </w:tc>
      </w:tr>
    </w:tbl>
    <w:p>
      <w:pPr>
        <w:spacing w:after="0" w:line="283" w:lineRule="exact"/>
        <w:rPr>
          <w:sz w:val="20"/>
          <w:szCs w:val="20"/>
          <w:color w:val="auto"/>
        </w:rPr>
      </w:pPr>
    </w:p>
    <w:p>
      <w:pPr>
        <w:ind w:right="460" w:firstLine="518"/>
        <w:spacing w:after="0" w:line="246" w:lineRule="auto"/>
        <w:rPr>
          <w:sz w:val="20"/>
          <w:szCs w:val="20"/>
          <w:color w:val="auto"/>
        </w:rPr>
      </w:pPr>
      <w:r>
        <w:rPr>
          <w:rFonts w:ascii="Arial" w:cs="Arial" w:eastAsia="Arial" w:hAnsi="Arial"/>
          <w:sz w:val="18"/>
          <w:szCs w:val="18"/>
          <w:color w:val="auto"/>
        </w:rPr>
        <w:t>Letters of credit are maintained pursuant to certain of our lease arrangements. The letters of credit remain in effect at varying levels through the terms of the related agreements.</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Off-Balance Sheet Arrangements</w:t>
      </w:r>
    </w:p>
    <w:p>
      <w:pPr>
        <w:spacing w:after="0" w:line="126" w:lineRule="exact"/>
        <w:rPr>
          <w:sz w:val="20"/>
          <w:szCs w:val="20"/>
          <w:color w:val="auto"/>
        </w:rPr>
      </w:pPr>
    </w:p>
    <w:p>
      <w:pPr>
        <w:ind w:right="240" w:firstLine="518"/>
        <w:spacing w:after="0" w:line="239" w:lineRule="auto"/>
        <w:rPr>
          <w:sz w:val="20"/>
          <w:szCs w:val="20"/>
          <w:color w:val="auto"/>
        </w:rPr>
      </w:pPr>
      <w:r>
        <w:rPr>
          <w:rFonts w:ascii="Arial" w:cs="Arial" w:eastAsia="Arial" w:hAnsi="Arial"/>
          <w:sz w:val="18"/>
          <w:szCs w:val="18"/>
          <w:color w:val="auto"/>
        </w:rPr>
        <w:t>As part of our ongoing business, we do not have any relationships with other entities or financial partnerships, such as entities often referred to as structured finance or special purpose entities that have been established for the purpose of facilitating off-balance sheet arrangements or other contractually narrow or limited purposes. We are therefore not exposed to any financing, liquidity, market or credit risk that could arise if we had engaged in those types of relationships.</w:t>
      </w:r>
    </w:p>
    <w:p>
      <w:pPr>
        <w:spacing w:after="0" w:line="202" w:lineRule="exact"/>
        <w:rPr>
          <w:sz w:val="20"/>
          <w:szCs w:val="20"/>
          <w:color w:val="auto"/>
        </w:rPr>
      </w:pPr>
    </w:p>
    <w:p>
      <w:pPr>
        <w:ind w:right="60" w:firstLine="518"/>
        <w:spacing w:after="0" w:line="236" w:lineRule="auto"/>
        <w:rPr>
          <w:sz w:val="20"/>
          <w:szCs w:val="20"/>
          <w:color w:val="auto"/>
        </w:rPr>
      </w:pPr>
      <w:r>
        <w:rPr>
          <w:rFonts w:ascii="Arial" w:cs="Arial" w:eastAsia="Arial" w:hAnsi="Arial"/>
          <w:sz w:val="18"/>
          <w:szCs w:val="18"/>
          <w:color w:val="auto"/>
        </w:rPr>
        <w:t>In the ordinary course of business, we may provide indemnification of varying scope and terms to customers, vendors, investors, directors and officers with respect to certain matters, including, but not limited to, losses arising out of our breach of such agreements, services to be provided by us, or from intellectual property infringement claims made by third parties. These indemnification provisions may survive termination of the underlying agreement and the maximum potential amount of future payments we could be required to make under these indemnification provisions may not be subject to maximum loss clauses. The maximum potential amount of future payments we could be required to make under these indemnification provisions is indeterminable. We have never paid a material claim, nor have we been sued in connection with these indemnification arrangements. At December 31, 2019, we had not accrued a liability for these indemnification arrangements because the likelihood of incurring a payment obligation, if any, in connection with these indemnification arrangements is not probable or reasonably estimable.</w:t>
      </w:r>
    </w:p>
    <w:p>
      <w:pPr>
        <w:spacing w:after="0" w:line="2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Critical Accounting Policies and Estimates</w:t>
      </w:r>
    </w:p>
    <w:p>
      <w:pPr>
        <w:spacing w:after="0" w:line="126" w:lineRule="exact"/>
        <w:rPr>
          <w:sz w:val="20"/>
          <w:szCs w:val="20"/>
          <w:color w:val="auto"/>
        </w:rPr>
      </w:pPr>
    </w:p>
    <w:p>
      <w:pPr>
        <w:ind w:right="100" w:firstLine="518"/>
        <w:spacing w:after="0" w:line="237" w:lineRule="auto"/>
        <w:rPr>
          <w:sz w:val="20"/>
          <w:szCs w:val="20"/>
          <w:color w:val="auto"/>
        </w:rPr>
      </w:pPr>
      <w:r>
        <w:rPr>
          <w:rFonts w:ascii="Arial" w:cs="Arial" w:eastAsia="Arial" w:hAnsi="Arial"/>
          <w:sz w:val="18"/>
          <w:szCs w:val="18"/>
          <w:color w:val="auto"/>
        </w:rPr>
        <w:t>Our financial statements and the related notes included elsewhere in this Annual Report on Form 10-K are prepared in accordance with generally accepted accounting principles, or GAAP, in the United States. The preparation of consolidated financial statements in conformity with GAAP requires management to make estimates and assumptions that affect the reported amounts of assets and liabilities and the disclosure of contingent assets and liabilities at the dates of the consolidated financial statements, and the reported amounts of revenues and expenses during the reporting period. We evaluate our estimates and assumptions on an ongoing basis. Our estimates are based on historical experience and</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2720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463" w:right="239" w:bottom="1440" w:gutter="0" w:footer="0" w:header="0"/>
        </w:sectPr>
      </w:pPr>
    </w:p>
    <w:bookmarkStart w:id="51" w:name="page52"/>
    <w:bookmarkEnd w:id="51"/>
    <w:p>
      <w:pPr>
        <w:spacing w:after="0"/>
        <w:rPr>
          <w:sz w:val="20"/>
          <w:szCs w:val="20"/>
          <w:color w:val="auto"/>
        </w:rPr>
      </w:pPr>
      <w:r>
        <w:rPr>
          <w:rFonts w:ascii="Arial" w:cs="Arial" w:eastAsia="Arial" w:hAnsi="Arial"/>
          <w:sz w:val="18"/>
          <w:szCs w:val="18"/>
          <w:color w:val="auto"/>
        </w:rPr>
        <w:t>various other assumptions that we believe to be reasonable under the circumstances. Our actual results could differ from these estimates.</w:t>
      </w:r>
    </w:p>
    <w:p>
      <w:pPr>
        <w:spacing w:after="0" w:line="212" w:lineRule="exact"/>
        <w:rPr>
          <w:sz w:val="20"/>
          <w:szCs w:val="20"/>
          <w:color w:val="auto"/>
        </w:rPr>
      </w:pPr>
    </w:p>
    <w:p>
      <w:pPr>
        <w:ind w:right="160" w:firstLine="518"/>
        <w:spacing w:after="0" w:line="239" w:lineRule="auto"/>
        <w:rPr>
          <w:sz w:val="20"/>
          <w:szCs w:val="20"/>
          <w:color w:val="auto"/>
        </w:rPr>
      </w:pPr>
      <w:r>
        <w:rPr>
          <w:rFonts w:ascii="Arial" w:cs="Arial" w:eastAsia="Arial" w:hAnsi="Arial"/>
          <w:sz w:val="18"/>
          <w:szCs w:val="18"/>
          <w:color w:val="auto"/>
        </w:rPr>
        <w:t>We believe that the following critical accounting policies involve a greater degree of judgment or complexity than our other accounting policies. Accordingly, these are the policies we believe are the most critical to a full understanding and evaluation of our consolidated financial condition and results of operations. See “Significant Accounting Policies” in Note 2 of the accompanying notes to our consolidated financial statements for additional information.</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 Recognition and Deferred Revenue</w:t>
      </w:r>
    </w:p>
    <w:p>
      <w:pPr>
        <w:spacing w:after="0" w:line="212" w:lineRule="exact"/>
        <w:rPr>
          <w:sz w:val="20"/>
          <w:szCs w:val="20"/>
          <w:color w:val="auto"/>
        </w:rPr>
      </w:pPr>
    </w:p>
    <w:p>
      <w:pPr>
        <w:ind w:right="100" w:firstLine="518"/>
        <w:spacing w:after="0" w:line="239" w:lineRule="auto"/>
        <w:rPr>
          <w:sz w:val="20"/>
          <w:szCs w:val="20"/>
          <w:color w:val="auto"/>
        </w:rPr>
      </w:pPr>
      <w:r>
        <w:rPr>
          <w:rFonts w:ascii="Arial" w:cs="Arial" w:eastAsia="Arial" w:hAnsi="Arial"/>
          <w:sz w:val="18"/>
          <w:szCs w:val="18"/>
          <w:b w:val="1"/>
          <w:bCs w:val="1"/>
          <w:i w:val="1"/>
          <w:iCs w:val="1"/>
          <w:color w:val="auto"/>
        </w:rPr>
        <w:t xml:space="preserve">Assets recognized from the costs to obtain a contract with a customer </w:t>
      </w:r>
      <w:r>
        <w:rPr>
          <w:rFonts w:ascii="Arial" w:cs="Arial" w:eastAsia="Arial" w:hAnsi="Arial"/>
          <w:sz w:val="18"/>
          <w:szCs w:val="18"/>
          <w:color w:val="auto"/>
        </w:rPr>
        <w:t>– We recognize an asset for the incremental and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recoverable costs of obtaining a contract with a customer if we expect the benefit of those costs to be one year or longer. We have determined that certain sales incentive programs to our employees ("deferred customer contract acquisition costs") and our partners ("partner referral fees") meet the requirements to be capitalized. Deferred customer acquisition costs related to new revenue contracts and upsells are deferred and then amortized straight line over the expected period of benefit that we have determined to be five years, based upon both the product turnover rate and estimated customer life. Partner referral fees are deferred and then amortized on a straight-line basis over the related contractual period, as the fees for renewals are commensurate with fees incurred for the initial contract. Deferred customer acquisition costs and partner referral fees are included within other assets and prepaid expenses and other current assets, respectively, on the consolidated balance sheets. There were no impairment losses in relation to the costs capitalized for the periods presented.</w:t>
      </w:r>
    </w:p>
    <w:p>
      <w:pPr>
        <w:spacing w:after="0" w:line="36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Capitalized Software Costs</w:t>
      </w:r>
    </w:p>
    <w:p>
      <w:pPr>
        <w:spacing w:after="0" w:line="108" w:lineRule="exact"/>
        <w:rPr>
          <w:sz w:val="20"/>
          <w:szCs w:val="20"/>
          <w:color w:val="auto"/>
        </w:rPr>
      </w:pPr>
    </w:p>
    <w:p>
      <w:pPr>
        <w:ind w:firstLine="518"/>
        <w:spacing w:after="0" w:line="238" w:lineRule="auto"/>
        <w:rPr>
          <w:sz w:val="20"/>
          <w:szCs w:val="20"/>
          <w:color w:val="auto"/>
        </w:rPr>
      </w:pPr>
      <w:r>
        <w:rPr>
          <w:rFonts w:ascii="Arial" w:cs="Arial" w:eastAsia="Arial" w:hAnsi="Arial"/>
          <w:sz w:val="18"/>
          <w:szCs w:val="18"/>
          <w:color w:val="auto"/>
        </w:rPr>
        <w:t>We account for the costs of computer software obtained or developed for internal use in accordance with ASC 350</w:t>
      </w:r>
      <w:r>
        <w:rPr>
          <w:rFonts w:ascii="Arial" w:cs="Arial" w:eastAsia="Arial" w:hAnsi="Arial"/>
          <w:sz w:val="18"/>
          <w:szCs w:val="18"/>
          <w:i w:val="1"/>
          <w:iCs w:val="1"/>
          <w:color w:val="auto"/>
        </w:rPr>
        <w:t>, Intangibles—</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Goodwill and Other </w:t>
      </w:r>
      <w:r>
        <w:rPr>
          <w:rFonts w:ascii="Arial" w:cs="Arial" w:eastAsia="Arial" w:hAnsi="Arial"/>
          <w:sz w:val="18"/>
          <w:szCs w:val="18"/>
          <w:color w:val="auto"/>
        </w:rPr>
        <w:t>(“ASC 350”). We capitalize certain implementation costs incurred in a hosting arrangement that is a service contract. These</w:t>
      </w:r>
      <w:r>
        <w:rPr>
          <w:rFonts w:ascii="Arial" w:cs="Arial" w:eastAsia="Arial" w:hAnsi="Arial"/>
          <w:sz w:val="18"/>
          <w:szCs w:val="18"/>
          <w:i w:val="1"/>
          <w:iCs w:val="1"/>
          <w:color w:val="auto"/>
        </w:rPr>
        <w:t xml:space="preserve"> </w:t>
      </w:r>
      <w:r>
        <w:rPr>
          <w:rFonts w:ascii="Arial" w:cs="Arial" w:eastAsia="Arial" w:hAnsi="Arial"/>
          <w:sz w:val="18"/>
          <w:szCs w:val="18"/>
          <w:color w:val="auto"/>
        </w:rPr>
        <w:t>capitalized costs exclude training costs, project management costs, and data migration costs. We capitalize certain costs in the development of our SaaS subscription solutions when (i) the preliminary project stage is completed, (ii) management has authorized further funding for the completion of the project and (iii) it is probable that the project will be completed and performed as intended. These capitalized costs include personnel and related expenses for employees and costs of third-party contractors who are directly associated with and who devote time to internal-use software projects and, when material, interest costs incurred during the development. Capitalization of these costs ceases once the project is substantially complete and the software is ready for its intended purpose. Costs incurred for significant upgrades and enhancements to our SaaS software solutions are also capitalized. Costs incurred for post-configuration training, maintenance and minor modifications or enhancements are expensed as incurred. Capitalized software development costs are amortized using the straight-line method over an estimated useful life of three years.</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 Accounting Pronouncements</w:t>
      </w:r>
    </w:p>
    <w:p>
      <w:pPr>
        <w:spacing w:after="0" w:line="126" w:lineRule="exact"/>
        <w:rPr>
          <w:sz w:val="20"/>
          <w:szCs w:val="20"/>
          <w:color w:val="auto"/>
        </w:rPr>
      </w:pPr>
    </w:p>
    <w:p>
      <w:pPr>
        <w:ind w:right="80" w:firstLine="518"/>
        <w:spacing w:after="0"/>
        <w:rPr>
          <w:sz w:val="20"/>
          <w:szCs w:val="20"/>
          <w:color w:val="auto"/>
        </w:rPr>
      </w:pPr>
      <w:r>
        <w:rPr>
          <w:rFonts w:ascii="Arial" w:cs="Arial" w:eastAsia="Arial" w:hAnsi="Arial"/>
          <w:sz w:val="18"/>
          <w:szCs w:val="18"/>
          <w:color w:val="auto"/>
        </w:rPr>
        <w:t>See Note 2, "Significant Accounting Policies—Recently Issued Accounting Standards,” of the Notes to Consolidated Financial Statements included in Part II, Item 8 of this Annual Report on Form 10-K for a description of recent accounting pronouncements, including the expected dates of adoption and estimated effects on our financial condition, results of operations and cash flows.</w:t>
      </w:r>
    </w:p>
    <w:p>
      <w:pPr>
        <w:spacing w:after="0" w:line="289"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7A.</w:t>
      </w:r>
      <w:r>
        <w:rPr>
          <w:sz w:val="20"/>
          <w:szCs w:val="20"/>
          <w:color w:val="auto"/>
        </w:rPr>
        <w:tab/>
      </w:r>
      <w:r>
        <w:rPr>
          <w:rFonts w:ascii="Arial" w:cs="Arial" w:eastAsia="Arial" w:hAnsi="Arial"/>
          <w:sz w:val="17"/>
          <w:szCs w:val="17"/>
          <w:b w:val="1"/>
          <w:bCs w:val="1"/>
          <w:i w:val="1"/>
          <w:iCs w:val="1"/>
          <w:color w:val="auto"/>
        </w:rPr>
        <w:t>Quantitative and Qualitative Disclosures About Market Risks</w:t>
      </w:r>
    </w:p>
    <w:p>
      <w:pPr>
        <w:spacing w:after="0" w:line="126" w:lineRule="exact"/>
        <w:rPr>
          <w:sz w:val="20"/>
          <w:szCs w:val="20"/>
          <w:color w:val="auto"/>
        </w:rPr>
      </w:pPr>
    </w:p>
    <w:p>
      <w:pPr>
        <w:ind w:right="80" w:firstLine="518"/>
        <w:spacing w:after="0" w:line="237" w:lineRule="auto"/>
        <w:rPr>
          <w:sz w:val="20"/>
          <w:szCs w:val="20"/>
          <w:color w:val="auto"/>
        </w:rPr>
      </w:pPr>
      <w:r>
        <w:rPr>
          <w:rFonts w:ascii="Arial" w:cs="Arial" w:eastAsia="Arial" w:hAnsi="Arial"/>
          <w:sz w:val="18"/>
          <w:szCs w:val="18"/>
          <w:color w:val="auto"/>
        </w:rPr>
        <w:t>We have operations both within the United States and internationally, and we are exposed to market risks in the ordinary course of our business. These risks primarily include interest rate, foreign exchange and inflation risks, as well as risks relating to changes in the general economic conditions in the countries where we conduct business. To reduce these risks, we monitor the financial condition of our clients and limit credit exposure by collecting in advance and setting credit limits as we deem appropriate. In addition, our investment strategy has historically been to invest in financial instruments that are highly liquid and readily convertible into cash and that mature within three months from the date of purchase. To date, we have not used derivative instruments to mitigate the impact of our market risk exposures. We have also not used, nor do we intend to use, derivatives for trading or speculative purposes.</w:t>
      </w: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27202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463" w:right="239" w:bottom="1440" w:gutter="0" w:footer="0" w:header="0"/>
        </w:sectPr>
      </w:pPr>
    </w:p>
    <w:bookmarkStart w:id="52" w:name="page53"/>
    <w:bookmarkEnd w:id="52"/>
    <w:p>
      <w:pPr>
        <w:spacing w:after="0"/>
        <w:rPr>
          <w:sz w:val="20"/>
          <w:szCs w:val="20"/>
          <w:color w:val="auto"/>
        </w:rPr>
      </w:pPr>
      <w:r>
        <w:rPr>
          <w:rFonts w:ascii="Arial" w:cs="Arial" w:eastAsia="Arial" w:hAnsi="Arial"/>
          <w:sz w:val="18"/>
          <w:szCs w:val="18"/>
          <w:b w:val="1"/>
          <w:bCs w:val="1"/>
          <w:i w:val="1"/>
          <w:iCs w:val="1"/>
          <w:color w:val="auto"/>
        </w:rPr>
        <w:t>Interest Rate Risk</w:t>
      </w:r>
    </w:p>
    <w:p>
      <w:pPr>
        <w:spacing w:after="0" w:line="126" w:lineRule="exact"/>
        <w:rPr>
          <w:sz w:val="20"/>
          <w:szCs w:val="20"/>
          <w:color w:val="auto"/>
        </w:rPr>
      </w:pPr>
    </w:p>
    <w:p>
      <w:pPr>
        <w:ind w:left="520"/>
        <w:spacing w:after="0"/>
        <w:rPr>
          <w:sz w:val="20"/>
          <w:szCs w:val="20"/>
          <w:color w:val="auto"/>
        </w:rPr>
      </w:pPr>
      <w:r>
        <w:rPr>
          <w:rFonts w:ascii="Arial" w:cs="Arial" w:eastAsia="Arial" w:hAnsi="Arial"/>
          <w:sz w:val="18"/>
          <w:szCs w:val="18"/>
          <w:color w:val="auto"/>
        </w:rPr>
        <w:t>We are exposed to market risk related to changes in interest rates.</w:t>
      </w:r>
    </w:p>
    <w:p>
      <w:pPr>
        <w:spacing w:after="0" w:line="104" w:lineRule="exact"/>
        <w:rPr>
          <w:sz w:val="20"/>
          <w:szCs w:val="20"/>
          <w:color w:val="auto"/>
        </w:rPr>
      </w:pPr>
    </w:p>
    <w:p>
      <w:pPr>
        <w:ind w:right="20" w:firstLine="588"/>
        <w:spacing w:after="0" w:line="237" w:lineRule="auto"/>
        <w:rPr>
          <w:sz w:val="20"/>
          <w:szCs w:val="20"/>
          <w:color w:val="auto"/>
        </w:rPr>
      </w:pPr>
      <w:r>
        <w:rPr>
          <w:rFonts w:ascii="Arial" w:cs="Arial" w:eastAsia="Arial" w:hAnsi="Arial"/>
          <w:sz w:val="18"/>
          <w:szCs w:val="18"/>
          <w:color w:val="auto"/>
        </w:rPr>
        <w:t>In August 2019, we issued $500.0 million aggregate principal amount of 0.125% convertible senior notes due 2024. The Notes have a fixed annual interest rate of 0.125%; therefore, we do not have economic interest rate exposure on the Notes. However, the fair value of the Notes is exposed to interest rate risk. Generally, the fair market value of the Notes will increase as interest rates fall and decrease as interest rates rise. In addition, the fair values of the Notes are affected by our common stock price. The fair value of the Notes will generally increase as our common stock price increases and will generally decrease as our common stock price declines. Additionally, we carry the Notes at face value less unamortized discount and issuance costs on our balance sheet, and we present the fair value for required disclosure purposes only.</w:t>
      </w:r>
    </w:p>
    <w:p>
      <w:pPr>
        <w:spacing w:after="0" w:line="205" w:lineRule="exact"/>
        <w:rPr>
          <w:sz w:val="20"/>
          <w:szCs w:val="20"/>
          <w:color w:val="auto"/>
        </w:rPr>
      </w:pPr>
    </w:p>
    <w:p>
      <w:pPr>
        <w:ind w:right="40" w:firstLine="518"/>
        <w:spacing w:after="0" w:line="236" w:lineRule="auto"/>
        <w:rPr>
          <w:sz w:val="20"/>
          <w:szCs w:val="20"/>
          <w:color w:val="auto"/>
        </w:rPr>
      </w:pPr>
      <w:r>
        <w:rPr>
          <w:rFonts w:ascii="Arial" w:cs="Arial" w:eastAsia="Arial" w:hAnsi="Arial"/>
          <w:sz w:val="18"/>
          <w:szCs w:val="18"/>
          <w:color w:val="auto"/>
        </w:rPr>
        <w:t>We had cash and cash equivalents and marketable securities of $607.7 million at December 31, 2019. Our cash equivalents and marketable securities consist of highly liquid, investment-grade commercial paper, corporate bonds, and U.S. treasury bonds. The carrying amount of our cash equivalents and marketable securities reasonably approximates fair value due to the highly liquid nature of these instruments. The primary objectives of our investment activities are the preservation of capital, the fulfillment of liquidity needs and the fiduciary control of cash and investments. We do not enter into investments for trading or speculative purposes. Our investments are exposed to market risk due to fluctuations in interest rates, which may affect our interest income and the fair market value of our investments. Due to the short-term nature of our investment portfolio, however, we do not believe an immediate 10% increase or decrease in interest rates would have a material effect on the fair market value of our portfolio. We therefore do not expect our operating results or cash flows to be materially affected by a sudden change in market interest rates.</w:t>
      </w:r>
    </w:p>
    <w:p>
      <w:pPr>
        <w:spacing w:after="0" w:line="207" w:lineRule="exact"/>
        <w:rPr>
          <w:sz w:val="20"/>
          <w:szCs w:val="20"/>
          <w:color w:val="auto"/>
        </w:rPr>
      </w:pPr>
    </w:p>
    <w:p>
      <w:pPr>
        <w:ind w:right="100" w:firstLine="518"/>
        <w:spacing w:after="0" w:line="238" w:lineRule="auto"/>
        <w:rPr>
          <w:sz w:val="20"/>
          <w:szCs w:val="20"/>
          <w:color w:val="auto"/>
        </w:rPr>
      </w:pPr>
      <w:r>
        <w:rPr>
          <w:rFonts w:ascii="Arial" w:cs="Arial" w:eastAsia="Arial" w:hAnsi="Arial"/>
          <w:sz w:val="18"/>
          <w:szCs w:val="18"/>
          <w:color w:val="auto"/>
        </w:rPr>
        <w:t>We do not believe our cash equivalents and marketable securities have significant risk of default or illiquidity. While we believe our cash equivalents and marketable securities do not contain excessive risk, we cannot provide absolute assurance that in the future our investments will not be subject to adverse changes in market value. In addition, we maintain significant amounts of cash and cash equivalents at one or more financial institutions that are in excess of federally insured limits. We cannot be assured that we will not experience losses on these deposits.</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Foreign Currency Risk</w:t>
      </w:r>
    </w:p>
    <w:p>
      <w:pPr>
        <w:spacing w:after="0" w:line="126" w:lineRule="exact"/>
        <w:rPr>
          <w:sz w:val="20"/>
          <w:szCs w:val="20"/>
          <w:color w:val="auto"/>
        </w:rPr>
      </w:pPr>
    </w:p>
    <w:p>
      <w:pPr>
        <w:ind w:firstLine="518"/>
        <w:spacing w:after="0" w:line="236" w:lineRule="auto"/>
        <w:rPr>
          <w:sz w:val="20"/>
          <w:szCs w:val="20"/>
          <w:color w:val="auto"/>
        </w:rPr>
      </w:pPr>
      <w:r>
        <w:rPr>
          <w:rFonts w:ascii="Arial" w:cs="Arial" w:eastAsia="Arial" w:hAnsi="Arial"/>
          <w:sz w:val="18"/>
          <w:szCs w:val="18"/>
          <w:color w:val="auto"/>
        </w:rPr>
        <w:t>While we primarily transact with customers in the U.S. Dollar, we also transact in foreign currencies, including the Euro, British Pound, Canadian Dollar, Australian Dollar, Singapore Dollar, Philippine Peso, South African Rand, Malaysian Ringgit, Romanian Leu, Hong Kong Dollar, Japanese Yen, and Polish Zloty, due to foreign operations and customer sales. We expect to continue to grow our foreign operations and customer sales. Our international subsidiaries maintain certain asset and liability balances that are denominated in currencies other than the functional currencies of these subsidiaries, which is the U.S. Dollar for all international subsidiaries, with the exception of BlackLine K.K., for which the Japanese Yen is the functional currency. Changes in the value of foreign currencies relative to the U.S. Dollar can result in fluctuations in our total assets, liabilities, revenue, operating expenses, and cash flows. The effect of a hypothetical 10% change in foreign currency exchange rates applicable to our business would not have had a material impact on our cash and marketable securities at December 31, 2019.</w:t>
      </w:r>
    </w:p>
    <w:p>
      <w:pPr>
        <w:spacing w:after="0" w:line="207" w:lineRule="exact"/>
        <w:rPr>
          <w:sz w:val="20"/>
          <w:szCs w:val="20"/>
          <w:color w:val="auto"/>
        </w:rPr>
      </w:pPr>
    </w:p>
    <w:p>
      <w:pPr>
        <w:ind w:right="180" w:firstLine="518"/>
        <w:spacing w:after="0" w:line="238" w:lineRule="auto"/>
        <w:rPr>
          <w:sz w:val="20"/>
          <w:szCs w:val="20"/>
          <w:color w:val="auto"/>
        </w:rPr>
      </w:pPr>
      <w:r>
        <w:rPr>
          <w:rFonts w:ascii="Arial" w:cs="Arial" w:eastAsia="Arial" w:hAnsi="Arial"/>
          <w:sz w:val="18"/>
          <w:szCs w:val="18"/>
          <w:color w:val="auto"/>
        </w:rPr>
        <w:t>As our international operations grow, our risks associated with fluctuation in currency rates will become greater, and we will continue to reassess our approach to managing this risk. In addition, currency fluctuations or a weakening U.S. Dollar can increase the costs of our international expansion. To date, we have not entered into any foreign currency hedging contracts, since exchange rate fluctuations have not had a material impact on our operating results and cash flows. Based on our current international structure, we do not plan on engaging in hedging activities in the near future.</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Inflation Risk</w:t>
      </w:r>
    </w:p>
    <w:p>
      <w:pPr>
        <w:spacing w:after="0" w:line="126" w:lineRule="exact"/>
        <w:rPr>
          <w:sz w:val="20"/>
          <w:szCs w:val="20"/>
          <w:color w:val="auto"/>
        </w:rPr>
      </w:pPr>
    </w:p>
    <w:p>
      <w:pPr>
        <w:jc w:val="both"/>
        <w:ind w:right="60" w:firstLine="518"/>
        <w:spacing w:after="0"/>
        <w:rPr>
          <w:sz w:val="20"/>
          <w:szCs w:val="20"/>
          <w:color w:val="auto"/>
        </w:rPr>
      </w:pPr>
      <w:r>
        <w:rPr>
          <w:rFonts w:ascii="Arial" w:cs="Arial" w:eastAsia="Arial" w:hAnsi="Arial"/>
          <w:sz w:val="18"/>
          <w:szCs w:val="18"/>
          <w:color w:val="auto"/>
        </w:rPr>
        <w:t>We do not believe that inflation has had a material effect on our business, financial condition or results of operations. Nonetheless, if our costs were to become subject to significant inflationary pressures, we may not be able to fully offset such higher costs through price increases. Our inability or failure to do so could harm our business, financial condition and results of operations.</w:t>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27202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00"/>
          </w:cols>
          <w:pgMar w:left="240" w:top="657" w:right="259" w:bottom="1440" w:gutter="0" w:footer="0" w:header="0"/>
        </w:sectPr>
      </w:pPr>
    </w:p>
    <w:bookmarkStart w:id="53" w:name="page54"/>
    <w:bookmarkEnd w:id="53"/>
    <w:tbl>
      <w:tblPr>
        <w:tblLayout w:type="fixed"/>
        <w:tblInd w:w="0" w:type="dxa"/>
        <w:tblCellMar>
          <w:top w:w="0" w:type="dxa"/>
          <w:left w:w="0" w:type="dxa"/>
          <w:bottom w:w="0" w:type="dxa"/>
          <w:right w:w="0" w:type="dxa"/>
        </w:tblCellMar>
      </w:tblPr>
      <w:tr>
        <w:trPr>
          <w:trHeight w:val="239"/>
        </w:trPr>
        <w:tc>
          <w:tcPr>
            <w:tcW w:w="800" w:type="dxa"/>
            <w:vAlign w:val="bottom"/>
          </w:tcPr>
          <w:p>
            <w:pPr>
              <w:spacing w:after="0"/>
              <w:rPr>
                <w:sz w:val="20"/>
                <w:szCs w:val="20"/>
                <w:color w:val="auto"/>
              </w:rPr>
            </w:pPr>
            <w:r>
              <w:rPr>
                <w:rFonts w:ascii="Arial" w:cs="Arial" w:eastAsia="Arial" w:hAnsi="Arial"/>
                <w:sz w:val="18"/>
                <w:szCs w:val="18"/>
                <w:b w:val="1"/>
                <w:bCs w:val="1"/>
                <w:color w:val="auto"/>
              </w:rPr>
              <w:t>Item 8.</w:t>
            </w:r>
          </w:p>
        </w:tc>
        <w:tc>
          <w:tcPr>
            <w:tcW w:w="9860" w:type="dxa"/>
            <w:vAlign w:val="bottom"/>
            <w:gridSpan w:val="8"/>
          </w:tcPr>
          <w:p>
            <w:pPr>
              <w:ind w:left="240"/>
              <w:spacing w:after="0"/>
              <w:rPr>
                <w:sz w:val="20"/>
                <w:szCs w:val="20"/>
                <w:color w:val="auto"/>
              </w:rPr>
            </w:pPr>
            <w:r>
              <w:rPr>
                <w:rFonts w:ascii="Arial" w:cs="Arial" w:eastAsia="Arial" w:hAnsi="Arial"/>
                <w:sz w:val="18"/>
                <w:szCs w:val="18"/>
                <w:b w:val="1"/>
                <w:bCs w:val="1"/>
                <w:i w:val="1"/>
                <w:iCs w:val="1"/>
                <w:color w:val="auto"/>
              </w:rPr>
              <w:t>Financial Statements and Supplementary Data</w:t>
            </w:r>
          </w:p>
        </w:tc>
        <w:tc>
          <w:tcPr>
            <w:tcW w:w="7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27"/>
        </w:trPr>
        <w:tc>
          <w:tcPr>
            <w:tcW w:w="800" w:type="dxa"/>
            <w:vAlign w:val="bottom"/>
          </w:tcPr>
          <w:p>
            <w:pPr>
              <w:spacing w:after="0"/>
              <w:rPr>
                <w:sz w:val="24"/>
                <w:szCs w:val="24"/>
                <w:color w:val="auto"/>
              </w:rPr>
            </w:pPr>
          </w:p>
        </w:tc>
        <w:tc>
          <w:tcPr>
            <w:tcW w:w="9860" w:type="dxa"/>
            <w:vAlign w:val="bottom"/>
            <w:gridSpan w:val="8"/>
          </w:tcPr>
          <w:p>
            <w:pPr>
              <w:jc w:val="center"/>
              <w:ind w:right="40"/>
              <w:spacing w:after="0"/>
              <w:rPr>
                <w:sz w:val="20"/>
                <w:szCs w:val="20"/>
                <w:color w:val="auto"/>
              </w:rPr>
            </w:pPr>
            <w:r>
              <w:rPr>
                <w:rFonts w:ascii="Arial" w:cs="Arial" w:eastAsia="Arial" w:hAnsi="Arial"/>
                <w:sz w:val="18"/>
                <w:szCs w:val="18"/>
                <w:b w:val="1"/>
                <w:bCs w:val="1"/>
                <w:color w:val="auto"/>
                <w:w w:val="98"/>
              </w:rPr>
              <w:t>INDEX TO CONSOLIDATED FINANCIAL STATEMENTS</w:t>
            </w:r>
          </w:p>
        </w:tc>
        <w:tc>
          <w:tcPr>
            <w:tcW w:w="7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4620" w:type="dxa"/>
            <w:vAlign w:val="bottom"/>
            <w:gridSpan w:val="3"/>
            <w:vMerge w:val="restart"/>
          </w:tcPr>
          <w:p>
            <w:pPr>
              <w:spacing w:after="0"/>
              <w:rPr>
                <w:rFonts w:ascii="Arial" w:cs="Arial" w:eastAsia="Arial" w:hAnsi="Arial"/>
                <w:sz w:val="18"/>
                <w:szCs w:val="18"/>
                <w:color w:val="0000EE"/>
                <w:w w:val="99"/>
              </w:rPr>
            </w:pPr>
            <w:hyperlink w:anchor="page55">
              <w:r>
                <w:rPr>
                  <w:rFonts w:ascii="Arial" w:cs="Arial" w:eastAsia="Arial" w:hAnsi="Arial"/>
                  <w:sz w:val="18"/>
                  <w:szCs w:val="18"/>
                  <w:color w:val="0000EE"/>
                  <w:w w:val="99"/>
                </w:rPr>
                <w:t>Report of Independent Registered Public Accounting Firm</w:t>
              </w:r>
            </w:hyperlink>
          </w:p>
        </w:tc>
        <w:tc>
          <w:tcPr>
            <w:tcW w:w="6040" w:type="dxa"/>
            <w:vAlign w:val="bottom"/>
            <w:gridSpan w:val="6"/>
            <w:vMerge w:val="restart"/>
          </w:tcPr>
          <w:p>
            <w:pPr>
              <w:spacing w:after="0"/>
              <w:rPr>
                <w:sz w:val="24"/>
                <w:szCs w:val="24"/>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PAGE</w:t>
            </w:r>
          </w:p>
        </w:tc>
        <w:tc>
          <w:tcPr>
            <w:tcW w:w="0" w:type="dxa"/>
            <w:vAlign w:val="bottom"/>
          </w:tcPr>
          <w:p>
            <w:pPr>
              <w:spacing w:after="0"/>
              <w:rPr>
                <w:sz w:val="1"/>
                <w:szCs w:val="1"/>
                <w:color w:val="auto"/>
              </w:rPr>
            </w:pPr>
          </w:p>
        </w:tc>
      </w:tr>
      <w:tr>
        <w:trPr>
          <w:trHeight w:val="174"/>
        </w:trPr>
        <w:tc>
          <w:tcPr>
            <w:tcW w:w="4620" w:type="dxa"/>
            <w:vAlign w:val="bottom"/>
            <w:tcBorders>
              <w:bottom w:val="single" w:sz="8" w:color="0000EE"/>
            </w:tcBorders>
            <w:gridSpan w:val="3"/>
            <w:vMerge w:val="continue"/>
          </w:tcPr>
          <w:p>
            <w:pPr>
              <w:spacing w:after="0"/>
              <w:rPr>
                <w:sz w:val="14"/>
                <w:szCs w:val="14"/>
                <w:color w:val="auto"/>
              </w:rPr>
            </w:pPr>
          </w:p>
        </w:tc>
        <w:tc>
          <w:tcPr>
            <w:tcW w:w="6040" w:type="dxa"/>
            <w:vAlign w:val="bottom"/>
            <w:gridSpan w:val="6"/>
            <w:vMerge w:val="continue"/>
          </w:tcPr>
          <w:p>
            <w:pPr>
              <w:spacing w:after="0"/>
              <w:rPr>
                <w:sz w:val="14"/>
                <w:szCs w:val="14"/>
                <w:color w:val="auto"/>
              </w:rPr>
            </w:pPr>
          </w:p>
        </w:tc>
        <w:tc>
          <w:tcPr>
            <w:tcW w:w="760" w:type="dxa"/>
            <w:vAlign w:val="bottom"/>
            <w:tcBorders>
              <w:top w:val="single" w:sz="8" w:color="auto"/>
            </w:tcBorders>
          </w:tcPr>
          <w:p>
            <w:pPr>
              <w:jc w:val="right"/>
              <w:spacing w:after="0" w:line="170" w:lineRule="exact"/>
              <w:rPr>
                <w:sz w:val="20"/>
                <w:szCs w:val="20"/>
                <w:color w:val="auto"/>
              </w:rPr>
            </w:pPr>
            <w:r>
              <w:rPr>
                <w:rFonts w:ascii="Arial" w:cs="Arial" w:eastAsia="Arial" w:hAnsi="Arial"/>
                <w:sz w:val="18"/>
                <w:szCs w:val="18"/>
                <w:color w:val="auto"/>
              </w:rPr>
              <w:t>55</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3"/>
        </w:trPr>
        <w:tc>
          <w:tcPr>
            <w:tcW w:w="10660" w:type="dxa"/>
            <w:vAlign w:val="bottom"/>
            <w:gridSpan w:val="9"/>
          </w:tcPr>
          <w:p>
            <w:pPr>
              <w:spacing w:after="0" w:line="182" w:lineRule="exact"/>
              <w:rPr>
                <w:rFonts w:ascii="Arial" w:cs="Arial" w:eastAsia="Arial" w:hAnsi="Arial"/>
                <w:sz w:val="18"/>
                <w:szCs w:val="18"/>
                <w:color w:val="0000EE"/>
              </w:rPr>
            </w:pPr>
            <w:hyperlink w:anchor="page57">
              <w:r>
                <w:rPr>
                  <w:rFonts w:ascii="Arial" w:cs="Arial" w:eastAsia="Arial" w:hAnsi="Arial"/>
                  <w:sz w:val="18"/>
                  <w:szCs w:val="18"/>
                  <w:color w:val="0000EE"/>
                </w:rPr>
                <w:t>Consolidated Balance Sheets at December 31, 2019 and 2018</w:t>
              </w:r>
            </w:hyperlink>
          </w:p>
        </w:tc>
        <w:tc>
          <w:tcPr>
            <w:tcW w:w="780" w:type="dxa"/>
            <w:vAlign w:val="bottom"/>
            <w:gridSpan w:val="2"/>
          </w:tcPr>
          <w:p>
            <w:pPr>
              <w:jc w:val="right"/>
              <w:ind w:right="20"/>
              <w:spacing w:after="0" w:line="182" w:lineRule="exact"/>
              <w:rPr>
                <w:sz w:val="20"/>
                <w:szCs w:val="20"/>
                <w:color w:val="auto"/>
              </w:rPr>
            </w:pPr>
            <w:r>
              <w:rPr>
                <w:rFonts w:ascii="Arial" w:cs="Arial" w:eastAsia="Arial" w:hAnsi="Arial"/>
                <w:sz w:val="18"/>
                <w:szCs w:val="18"/>
                <w:color w:val="auto"/>
              </w:rPr>
              <w:t>57</w:t>
            </w:r>
          </w:p>
        </w:tc>
        <w:tc>
          <w:tcPr>
            <w:tcW w:w="0" w:type="dxa"/>
            <w:vAlign w:val="bottom"/>
          </w:tcPr>
          <w:p>
            <w:pPr>
              <w:spacing w:after="0"/>
              <w:rPr>
                <w:sz w:val="1"/>
                <w:szCs w:val="1"/>
                <w:color w:val="auto"/>
              </w:rPr>
            </w:pPr>
          </w:p>
        </w:tc>
      </w:tr>
      <w:tr>
        <w:trPr>
          <w:trHeight w:val="20"/>
        </w:trPr>
        <w:tc>
          <w:tcPr>
            <w:tcW w:w="3500" w:type="dxa"/>
            <w:vAlign w:val="bottom"/>
            <w:gridSpan w:val="2"/>
            <w:shd w:val="clear" w:color="auto" w:fill="0000EE"/>
          </w:tcPr>
          <w:p>
            <w:pPr>
              <w:spacing w:after="0" w:line="20" w:lineRule="exact"/>
              <w:rPr>
                <w:sz w:val="1"/>
                <w:szCs w:val="1"/>
                <w:color w:val="auto"/>
              </w:rPr>
            </w:pPr>
          </w:p>
        </w:tc>
        <w:tc>
          <w:tcPr>
            <w:tcW w:w="1500" w:type="dxa"/>
            <w:vAlign w:val="bottom"/>
            <w:gridSpan w:val="2"/>
            <w:shd w:val="clear" w:color="auto" w:fill="0000EE"/>
          </w:tcPr>
          <w:p>
            <w:pPr>
              <w:spacing w:after="0" w:line="20" w:lineRule="exact"/>
              <w:rPr>
                <w:sz w:val="1"/>
                <w:szCs w:val="1"/>
                <w:color w:val="auto"/>
              </w:rPr>
            </w:pPr>
          </w:p>
        </w:tc>
        <w:tc>
          <w:tcPr>
            <w:tcW w:w="27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7740" w:type="dxa"/>
            <w:vAlign w:val="bottom"/>
            <w:tcBorders>
              <w:bottom w:val="single" w:sz="8" w:color="0000EE"/>
            </w:tcBorders>
            <w:gridSpan w:val="5"/>
          </w:tcPr>
          <w:p>
            <w:pPr>
              <w:spacing w:after="0" w:line="182" w:lineRule="exact"/>
              <w:rPr>
                <w:rFonts w:ascii="Arial" w:cs="Arial" w:eastAsia="Arial" w:hAnsi="Arial"/>
                <w:sz w:val="18"/>
                <w:szCs w:val="18"/>
                <w:color w:val="0000EE"/>
                <w:w w:val="99"/>
              </w:rPr>
            </w:pPr>
            <w:hyperlink w:anchor="page58">
              <w:r>
                <w:rPr>
                  <w:rFonts w:ascii="Arial" w:cs="Arial" w:eastAsia="Arial" w:hAnsi="Arial"/>
                  <w:sz w:val="18"/>
                  <w:szCs w:val="18"/>
                  <w:color w:val="0000EE"/>
                  <w:w w:val="99"/>
                </w:rPr>
                <w:t>Consolidated Statements of Operations for the years ended December 31, 2019, 2018, and 2017</w:t>
              </w:r>
            </w:hyperlink>
          </w:p>
        </w:tc>
        <w:tc>
          <w:tcPr>
            <w:tcW w:w="2920" w:type="dxa"/>
            <w:vAlign w:val="bottom"/>
            <w:gridSpan w:val="4"/>
          </w:tcPr>
          <w:p>
            <w:pPr>
              <w:spacing w:after="0"/>
              <w:rPr>
                <w:sz w:val="15"/>
                <w:szCs w:val="15"/>
                <w:color w:val="auto"/>
              </w:rPr>
            </w:pPr>
          </w:p>
        </w:tc>
        <w:tc>
          <w:tcPr>
            <w:tcW w:w="780" w:type="dxa"/>
            <w:vAlign w:val="bottom"/>
            <w:gridSpan w:val="2"/>
          </w:tcPr>
          <w:p>
            <w:pPr>
              <w:jc w:val="right"/>
              <w:ind w:right="20"/>
              <w:spacing w:after="0" w:line="182" w:lineRule="exact"/>
              <w:rPr>
                <w:sz w:val="20"/>
                <w:szCs w:val="20"/>
                <w:color w:val="auto"/>
              </w:rPr>
            </w:pPr>
            <w:r>
              <w:rPr>
                <w:rFonts w:ascii="Arial" w:cs="Arial" w:eastAsia="Arial" w:hAnsi="Arial"/>
                <w:sz w:val="18"/>
                <w:szCs w:val="18"/>
                <w:color w:val="auto"/>
              </w:rPr>
              <w:t>58</w:t>
            </w:r>
          </w:p>
        </w:tc>
        <w:tc>
          <w:tcPr>
            <w:tcW w:w="0" w:type="dxa"/>
            <w:vAlign w:val="bottom"/>
          </w:tcPr>
          <w:p>
            <w:pPr>
              <w:spacing w:after="0"/>
              <w:rPr>
                <w:sz w:val="1"/>
                <w:szCs w:val="1"/>
                <w:color w:val="auto"/>
              </w:rPr>
            </w:pPr>
          </w:p>
        </w:tc>
      </w:tr>
      <w:tr>
        <w:trPr>
          <w:trHeight w:val="183"/>
        </w:trPr>
        <w:tc>
          <w:tcPr>
            <w:tcW w:w="10660" w:type="dxa"/>
            <w:vAlign w:val="bottom"/>
            <w:gridSpan w:val="9"/>
          </w:tcPr>
          <w:p>
            <w:pPr>
              <w:spacing w:after="0" w:line="182" w:lineRule="exact"/>
              <w:rPr>
                <w:rFonts w:ascii="Arial" w:cs="Arial" w:eastAsia="Arial" w:hAnsi="Arial"/>
                <w:sz w:val="18"/>
                <w:szCs w:val="18"/>
                <w:color w:val="0000EE"/>
              </w:rPr>
            </w:pPr>
            <w:hyperlink w:anchor="page59">
              <w:r>
                <w:rPr>
                  <w:rFonts w:ascii="Arial" w:cs="Arial" w:eastAsia="Arial" w:hAnsi="Arial"/>
                  <w:sz w:val="18"/>
                  <w:szCs w:val="18"/>
                  <w:color w:val="0000EE"/>
                </w:rPr>
                <w:t>Consolidated Statements of Comprehensive Loss for the years ended December 31, 2019, 2018, and 2017</w:t>
              </w:r>
            </w:hyperlink>
          </w:p>
        </w:tc>
        <w:tc>
          <w:tcPr>
            <w:tcW w:w="780" w:type="dxa"/>
            <w:vAlign w:val="bottom"/>
            <w:gridSpan w:val="2"/>
          </w:tcPr>
          <w:p>
            <w:pPr>
              <w:jc w:val="right"/>
              <w:ind w:right="20"/>
              <w:spacing w:after="0" w:line="182" w:lineRule="exact"/>
              <w:rPr>
                <w:sz w:val="20"/>
                <w:szCs w:val="20"/>
                <w:color w:val="auto"/>
              </w:rPr>
            </w:pPr>
            <w:r>
              <w:rPr>
                <w:rFonts w:ascii="Arial" w:cs="Arial" w:eastAsia="Arial" w:hAnsi="Arial"/>
                <w:sz w:val="18"/>
                <w:szCs w:val="18"/>
                <w:color w:val="auto"/>
              </w:rPr>
              <w:t>59</w:t>
            </w:r>
          </w:p>
        </w:tc>
        <w:tc>
          <w:tcPr>
            <w:tcW w:w="0" w:type="dxa"/>
            <w:vAlign w:val="bottom"/>
          </w:tcPr>
          <w:p>
            <w:pPr>
              <w:spacing w:after="0"/>
              <w:rPr>
                <w:sz w:val="1"/>
                <w:szCs w:val="1"/>
                <w:color w:val="auto"/>
              </w:rPr>
            </w:pPr>
          </w:p>
        </w:tc>
      </w:tr>
      <w:tr>
        <w:trPr>
          <w:trHeight w:val="183"/>
        </w:trPr>
        <w:tc>
          <w:tcPr>
            <w:tcW w:w="8540" w:type="dxa"/>
            <w:vAlign w:val="bottom"/>
            <w:tcBorders>
              <w:top w:val="single" w:sz="8" w:color="0000EE"/>
            </w:tcBorders>
            <w:gridSpan w:val="8"/>
          </w:tcPr>
          <w:p>
            <w:pPr>
              <w:spacing w:after="0" w:line="182" w:lineRule="exact"/>
              <w:rPr>
                <w:rFonts w:ascii="Arial" w:cs="Arial" w:eastAsia="Arial" w:hAnsi="Arial"/>
                <w:sz w:val="18"/>
                <w:szCs w:val="18"/>
                <w:color w:val="0000EE"/>
              </w:rPr>
            </w:pPr>
            <w:hyperlink w:anchor="page60">
              <w:r>
                <w:rPr>
                  <w:rFonts w:ascii="Arial" w:cs="Arial" w:eastAsia="Arial" w:hAnsi="Arial"/>
                  <w:sz w:val="18"/>
                  <w:szCs w:val="18"/>
                  <w:color w:val="0000EE"/>
                </w:rPr>
                <w:t>Consolidated Statements of Stockholders’ Equity for the years ended December 31, 2019, 2018, and 2017</w:t>
              </w:r>
            </w:hyperlink>
          </w:p>
        </w:tc>
        <w:tc>
          <w:tcPr>
            <w:tcW w:w="2120" w:type="dxa"/>
            <w:vAlign w:val="bottom"/>
          </w:tcPr>
          <w:p>
            <w:pPr>
              <w:spacing w:after="0"/>
              <w:rPr>
                <w:sz w:val="15"/>
                <w:szCs w:val="15"/>
                <w:color w:val="auto"/>
              </w:rPr>
            </w:pPr>
          </w:p>
        </w:tc>
        <w:tc>
          <w:tcPr>
            <w:tcW w:w="780" w:type="dxa"/>
            <w:vAlign w:val="bottom"/>
            <w:gridSpan w:val="2"/>
          </w:tcPr>
          <w:p>
            <w:pPr>
              <w:jc w:val="right"/>
              <w:ind w:right="20"/>
              <w:spacing w:after="0" w:line="182" w:lineRule="exact"/>
              <w:rPr>
                <w:sz w:val="20"/>
                <w:szCs w:val="20"/>
                <w:color w:val="auto"/>
              </w:rPr>
            </w:pPr>
            <w:r>
              <w:rPr>
                <w:rFonts w:ascii="Arial" w:cs="Arial" w:eastAsia="Arial" w:hAnsi="Arial"/>
                <w:sz w:val="18"/>
                <w:szCs w:val="18"/>
                <w:color w:val="auto"/>
              </w:rPr>
              <w:t>60</w:t>
            </w:r>
          </w:p>
        </w:tc>
        <w:tc>
          <w:tcPr>
            <w:tcW w:w="0" w:type="dxa"/>
            <w:vAlign w:val="bottom"/>
          </w:tcPr>
          <w:p>
            <w:pPr>
              <w:spacing w:after="0"/>
              <w:rPr>
                <w:sz w:val="1"/>
                <w:szCs w:val="1"/>
                <w:color w:val="auto"/>
              </w:rPr>
            </w:pPr>
          </w:p>
        </w:tc>
      </w:tr>
      <w:tr>
        <w:trPr>
          <w:trHeight w:val="183"/>
        </w:trPr>
        <w:tc>
          <w:tcPr>
            <w:tcW w:w="7800" w:type="dxa"/>
            <w:vAlign w:val="bottom"/>
            <w:tcBorders>
              <w:top w:val="single" w:sz="8" w:color="0000EE"/>
              <w:bottom w:val="single" w:sz="8" w:color="0000EE"/>
            </w:tcBorders>
            <w:gridSpan w:val="6"/>
          </w:tcPr>
          <w:p>
            <w:pPr>
              <w:spacing w:after="0" w:line="182" w:lineRule="exact"/>
              <w:rPr>
                <w:rFonts w:ascii="Arial" w:cs="Arial" w:eastAsia="Arial" w:hAnsi="Arial"/>
                <w:sz w:val="18"/>
                <w:szCs w:val="18"/>
                <w:color w:val="0000EE"/>
                <w:w w:val="99"/>
              </w:rPr>
            </w:pPr>
            <w:hyperlink w:anchor="page61">
              <w:r>
                <w:rPr>
                  <w:rFonts w:ascii="Arial" w:cs="Arial" w:eastAsia="Arial" w:hAnsi="Arial"/>
                  <w:sz w:val="18"/>
                  <w:szCs w:val="18"/>
                  <w:color w:val="0000EE"/>
                  <w:w w:val="99"/>
                </w:rPr>
                <w:t>Consolidated Statements of Cash Flows for the years ended December 31, 2019, 2018, and 2017</w:t>
              </w:r>
            </w:hyperlink>
          </w:p>
        </w:tc>
        <w:tc>
          <w:tcPr>
            <w:tcW w:w="680" w:type="dxa"/>
            <w:vAlign w:val="bottom"/>
            <w:tcBorders>
              <w:top w:val="single" w:sz="8" w:color="0000EE"/>
            </w:tcBorders>
          </w:tcPr>
          <w:p>
            <w:pPr>
              <w:spacing w:after="0"/>
              <w:rPr>
                <w:sz w:val="15"/>
                <w:szCs w:val="15"/>
                <w:color w:val="auto"/>
              </w:rPr>
            </w:pPr>
          </w:p>
        </w:tc>
        <w:tc>
          <w:tcPr>
            <w:tcW w:w="2180" w:type="dxa"/>
            <w:vAlign w:val="bottom"/>
            <w:gridSpan w:val="2"/>
          </w:tcPr>
          <w:p>
            <w:pPr>
              <w:spacing w:after="0"/>
              <w:rPr>
                <w:sz w:val="15"/>
                <w:szCs w:val="15"/>
                <w:color w:val="auto"/>
              </w:rPr>
            </w:pPr>
          </w:p>
        </w:tc>
        <w:tc>
          <w:tcPr>
            <w:tcW w:w="780" w:type="dxa"/>
            <w:vAlign w:val="bottom"/>
            <w:gridSpan w:val="2"/>
          </w:tcPr>
          <w:p>
            <w:pPr>
              <w:jc w:val="right"/>
              <w:ind w:right="20"/>
              <w:spacing w:after="0" w:line="182" w:lineRule="exact"/>
              <w:rPr>
                <w:sz w:val="20"/>
                <w:szCs w:val="20"/>
                <w:color w:val="auto"/>
              </w:rPr>
            </w:pPr>
            <w:r>
              <w:rPr>
                <w:rFonts w:ascii="Arial" w:cs="Arial" w:eastAsia="Arial" w:hAnsi="Arial"/>
                <w:sz w:val="18"/>
                <w:szCs w:val="18"/>
                <w:color w:val="auto"/>
              </w:rPr>
              <w:t>61</w:t>
            </w:r>
          </w:p>
        </w:tc>
        <w:tc>
          <w:tcPr>
            <w:tcW w:w="0" w:type="dxa"/>
            <w:vAlign w:val="bottom"/>
          </w:tcPr>
          <w:p>
            <w:pPr>
              <w:spacing w:after="0"/>
              <w:rPr>
                <w:sz w:val="1"/>
                <w:szCs w:val="1"/>
                <w:color w:val="auto"/>
              </w:rPr>
            </w:pPr>
          </w:p>
        </w:tc>
      </w:tr>
      <w:tr>
        <w:trPr>
          <w:trHeight w:val="183"/>
        </w:trPr>
        <w:tc>
          <w:tcPr>
            <w:tcW w:w="10660" w:type="dxa"/>
            <w:vAlign w:val="bottom"/>
            <w:gridSpan w:val="9"/>
          </w:tcPr>
          <w:p>
            <w:pPr>
              <w:spacing w:after="0" w:line="182" w:lineRule="exact"/>
              <w:rPr>
                <w:rFonts w:ascii="Arial" w:cs="Arial" w:eastAsia="Arial" w:hAnsi="Arial"/>
                <w:sz w:val="18"/>
                <w:szCs w:val="18"/>
                <w:color w:val="0000EE"/>
              </w:rPr>
            </w:pPr>
            <w:hyperlink w:anchor="page63">
              <w:r>
                <w:rPr>
                  <w:rFonts w:ascii="Arial" w:cs="Arial" w:eastAsia="Arial" w:hAnsi="Arial"/>
                  <w:sz w:val="18"/>
                  <w:szCs w:val="18"/>
                  <w:color w:val="0000EE"/>
                </w:rPr>
                <w:t>Notes to Consolidated Financial Statements</w:t>
              </w:r>
            </w:hyperlink>
          </w:p>
        </w:tc>
        <w:tc>
          <w:tcPr>
            <w:tcW w:w="780" w:type="dxa"/>
            <w:vAlign w:val="bottom"/>
            <w:gridSpan w:val="2"/>
          </w:tcPr>
          <w:p>
            <w:pPr>
              <w:jc w:val="right"/>
              <w:ind w:right="20"/>
              <w:spacing w:after="0" w:line="182" w:lineRule="exact"/>
              <w:rPr>
                <w:sz w:val="20"/>
                <w:szCs w:val="20"/>
                <w:color w:val="auto"/>
              </w:rPr>
            </w:pPr>
            <w:r>
              <w:rPr>
                <w:rFonts w:ascii="Arial" w:cs="Arial" w:eastAsia="Arial" w:hAnsi="Arial"/>
                <w:sz w:val="18"/>
                <w:szCs w:val="18"/>
                <w:color w:val="auto"/>
              </w:rPr>
              <w:t>63</w:t>
            </w:r>
          </w:p>
        </w:tc>
        <w:tc>
          <w:tcPr>
            <w:tcW w:w="0" w:type="dxa"/>
            <w:vAlign w:val="bottom"/>
          </w:tcPr>
          <w:p>
            <w:pPr>
              <w:spacing w:after="0"/>
              <w:rPr>
                <w:sz w:val="1"/>
                <w:szCs w:val="1"/>
                <w:color w:val="auto"/>
              </w:rPr>
            </w:pPr>
          </w:p>
        </w:tc>
      </w:tr>
      <w:tr>
        <w:trPr>
          <w:trHeight w:val="925"/>
        </w:trPr>
        <w:tc>
          <w:tcPr>
            <w:tcW w:w="800" w:type="dxa"/>
            <w:vAlign w:val="bottom"/>
            <w:tcBorders>
              <w:top w:val="single" w:sz="8" w:color="0000EE"/>
            </w:tcBorders>
          </w:tcPr>
          <w:p>
            <w:pPr>
              <w:spacing w:after="0"/>
              <w:rPr>
                <w:sz w:val="24"/>
                <w:szCs w:val="24"/>
                <w:color w:val="auto"/>
              </w:rPr>
            </w:pPr>
          </w:p>
        </w:tc>
        <w:tc>
          <w:tcPr>
            <w:tcW w:w="2700" w:type="dxa"/>
            <w:vAlign w:val="bottom"/>
            <w:tcBorders>
              <w:top w:val="single" w:sz="8" w:color="0000EE"/>
            </w:tcBorders>
          </w:tcPr>
          <w:p>
            <w:pPr>
              <w:spacing w:after="0"/>
              <w:rPr>
                <w:sz w:val="24"/>
                <w:szCs w:val="24"/>
                <w:color w:val="auto"/>
              </w:rPr>
            </w:pPr>
          </w:p>
        </w:tc>
        <w:tc>
          <w:tcPr>
            <w:tcW w:w="4240" w:type="dxa"/>
            <w:vAlign w:val="bottom"/>
            <w:gridSpan w:val="3"/>
          </w:tcPr>
          <w:p>
            <w:pPr>
              <w:jc w:val="right"/>
              <w:ind w:right="1920"/>
              <w:spacing w:after="0"/>
              <w:rPr>
                <w:sz w:val="20"/>
                <w:szCs w:val="20"/>
                <w:color w:val="auto"/>
              </w:rPr>
            </w:pPr>
            <w:r>
              <w:rPr>
                <w:rFonts w:ascii="Arial" w:cs="Arial" w:eastAsia="Arial" w:hAnsi="Arial"/>
                <w:sz w:val="18"/>
                <w:szCs w:val="18"/>
                <w:color w:val="auto"/>
              </w:rPr>
              <w:t>54</w:t>
            </w:r>
          </w:p>
        </w:tc>
        <w:tc>
          <w:tcPr>
            <w:tcW w:w="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1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2"/>
        </w:trPr>
        <w:tc>
          <w:tcPr>
            <w:tcW w:w="800" w:type="dxa"/>
            <w:vAlign w:val="bottom"/>
            <w:tcBorders>
              <w:bottom w:val="single" w:sz="8" w:color="9A9A9A"/>
            </w:tcBorders>
          </w:tcPr>
          <w:p>
            <w:pPr>
              <w:spacing w:after="0"/>
              <w:rPr>
                <w:sz w:val="8"/>
                <w:szCs w:val="8"/>
                <w:color w:val="auto"/>
              </w:rPr>
            </w:pPr>
          </w:p>
        </w:tc>
        <w:tc>
          <w:tcPr>
            <w:tcW w:w="2700" w:type="dxa"/>
            <w:vAlign w:val="bottom"/>
            <w:tcBorders>
              <w:bottom w:val="single" w:sz="8" w:color="9A9A9A"/>
            </w:tcBorders>
          </w:tcPr>
          <w:p>
            <w:pPr>
              <w:spacing w:after="0"/>
              <w:rPr>
                <w:sz w:val="8"/>
                <w:szCs w:val="8"/>
                <w:color w:val="auto"/>
              </w:rPr>
            </w:pPr>
          </w:p>
        </w:tc>
        <w:tc>
          <w:tcPr>
            <w:tcW w:w="1120" w:type="dxa"/>
            <w:vAlign w:val="bottom"/>
            <w:tcBorders>
              <w:bottom w:val="single" w:sz="8" w:color="9A9A9A"/>
            </w:tcBorders>
          </w:tcPr>
          <w:p>
            <w:pPr>
              <w:spacing w:after="0"/>
              <w:rPr>
                <w:sz w:val="8"/>
                <w:szCs w:val="8"/>
                <w:color w:val="auto"/>
              </w:rPr>
            </w:pPr>
          </w:p>
        </w:tc>
        <w:tc>
          <w:tcPr>
            <w:tcW w:w="380" w:type="dxa"/>
            <w:vAlign w:val="bottom"/>
            <w:tcBorders>
              <w:bottom w:val="single" w:sz="8" w:color="9A9A9A"/>
            </w:tcBorders>
          </w:tcPr>
          <w:p>
            <w:pPr>
              <w:spacing w:after="0"/>
              <w:rPr>
                <w:sz w:val="8"/>
                <w:szCs w:val="8"/>
                <w:color w:val="auto"/>
              </w:rPr>
            </w:pPr>
          </w:p>
        </w:tc>
        <w:tc>
          <w:tcPr>
            <w:tcW w:w="2740" w:type="dxa"/>
            <w:vAlign w:val="bottom"/>
            <w:tcBorders>
              <w:bottom w:val="single" w:sz="8" w:color="9A9A9A"/>
            </w:tcBorders>
          </w:tcPr>
          <w:p>
            <w:pPr>
              <w:spacing w:after="0"/>
              <w:rPr>
                <w:sz w:val="8"/>
                <w:szCs w:val="8"/>
                <w:color w:val="auto"/>
              </w:rPr>
            </w:pPr>
          </w:p>
        </w:tc>
        <w:tc>
          <w:tcPr>
            <w:tcW w:w="60" w:type="dxa"/>
            <w:vAlign w:val="bottom"/>
            <w:tcBorders>
              <w:bottom w:val="single" w:sz="8" w:color="9A9A9A"/>
            </w:tcBorders>
          </w:tcPr>
          <w:p>
            <w:pPr>
              <w:spacing w:after="0"/>
              <w:rPr>
                <w:sz w:val="8"/>
                <w:szCs w:val="8"/>
                <w:color w:val="auto"/>
              </w:rPr>
            </w:pPr>
          </w:p>
        </w:tc>
        <w:tc>
          <w:tcPr>
            <w:tcW w:w="680" w:type="dxa"/>
            <w:vAlign w:val="bottom"/>
            <w:tcBorders>
              <w:bottom w:val="single" w:sz="8" w:color="9A9A9A"/>
            </w:tcBorders>
          </w:tcPr>
          <w:p>
            <w:pPr>
              <w:spacing w:after="0"/>
              <w:rPr>
                <w:sz w:val="8"/>
                <w:szCs w:val="8"/>
                <w:color w:val="auto"/>
              </w:rPr>
            </w:pPr>
          </w:p>
        </w:tc>
        <w:tc>
          <w:tcPr>
            <w:tcW w:w="60" w:type="dxa"/>
            <w:vAlign w:val="bottom"/>
            <w:tcBorders>
              <w:bottom w:val="single" w:sz="8" w:color="9A9A9A"/>
            </w:tcBorders>
          </w:tcPr>
          <w:p>
            <w:pPr>
              <w:spacing w:after="0"/>
              <w:rPr>
                <w:sz w:val="8"/>
                <w:szCs w:val="8"/>
                <w:color w:val="auto"/>
              </w:rPr>
            </w:pPr>
          </w:p>
        </w:tc>
        <w:tc>
          <w:tcPr>
            <w:tcW w:w="2120" w:type="dxa"/>
            <w:vAlign w:val="bottom"/>
            <w:tcBorders>
              <w:bottom w:val="single" w:sz="8" w:color="9A9A9A"/>
            </w:tcBorders>
          </w:tcPr>
          <w:p>
            <w:pPr>
              <w:spacing w:after="0"/>
              <w:rPr>
                <w:sz w:val="8"/>
                <w:szCs w:val="8"/>
                <w:color w:val="auto"/>
              </w:rPr>
            </w:pPr>
          </w:p>
        </w:tc>
        <w:tc>
          <w:tcPr>
            <w:tcW w:w="760" w:type="dxa"/>
            <w:vAlign w:val="bottom"/>
            <w:tcBorders>
              <w:bottom w:val="single" w:sz="8" w:color="9A9A9A"/>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7230110</wp:posOffset>
            </wp:positionH>
            <wp:positionV relativeFrom="paragraph">
              <wp:posOffset>-29210</wp:posOffset>
            </wp:positionV>
            <wp:extent cx="3429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20"/>
          </w:cols>
          <w:pgMar w:left="240" w:top="333" w:right="239" w:bottom="1440" w:gutter="0" w:footer="0" w:header="0"/>
        </w:sectPr>
      </w:pPr>
    </w:p>
    <w:bookmarkStart w:id="54" w:name="page55"/>
    <w:bookmarkEnd w:id="54"/>
    <w:p>
      <w:pPr>
        <w:ind w:left="3220"/>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color w:val="auto"/>
        </w:rPr>
        <w:t>To the Board of Directors and Stockholders of BlackLine, Inc.</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Opinions on the Financial Statements and Internal Control over Financial Reporting</w:t>
      </w:r>
    </w:p>
    <w:p>
      <w:pPr>
        <w:spacing w:after="0" w:line="18" w:lineRule="exact"/>
        <w:rPr>
          <w:sz w:val="20"/>
          <w:szCs w:val="20"/>
          <w:color w:val="auto"/>
        </w:rPr>
      </w:pPr>
    </w:p>
    <w:p>
      <w:pPr>
        <w:spacing w:after="0" w:line="237" w:lineRule="auto"/>
        <w:rPr>
          <w:sz w:val="20"/>
          <w:szCs w:val="20"/>
          <w:color w:val="auto"/>
        </w:rPr>
      </w:pPr>
      <w:r>
        <w:rPr>
          <w:rFonts w:ascii="Arial" w:cs="Arial" w:eastAsia="Arial" w:hAnsi="Arial"/>
          <w:sz w:val="18"/>
          <w:szCs w:val="18"/>
          <w:color w:val="auto"/>
        </w:rPr>
        <w:t xml:space="preserve">We have audited the accompanying consolidated balance sheets of BlackLine, Inc. and its subsidiaries (the “Company”) as of December 31, 2019 and 2018, and the related consolidated statements of operations, of comprehensive loss, of stockholders’ equity and of cash flows for each of the three years in the period ended December 31, 2019, including the related notes (collectively referred to as the “consolidated financial statements”). We also have audited the Company's internal control over financial reporting as of December 31, 2019, based on criteria established in </w:t>
      </w:r>
      <w:r>
        <w:rPr>
          <w:rFonts w:ascii="Arial" w:cs="Arial" w:eastAsia="Arial" w:hAnsi="Arial"/>
          <w:sz w:val="18"/>
          <w:szCs w:val="18"/>
          <w:i w:val="1"/>
          <w:iCs w:val="1"/>
          <w:color w:val="auto"/>
        </w:rPr>
        <w:t>Internal Control - Integrated Framework</w:t>
      </w:r>
      <w:r>
        <w:rPr>
          <w:rFonts w:ascii="Arial" w:cs="Arial" w:eastAsia="Arial" w:hAnsi="Arial"/>
          <w:sz w:val="18"/>
          <w:szCs w:val="18"/>
          <w:color w:val="auto"/>
        </w:rPr>
        <w:t xml:space="preserve"> (2013) issued by the Committee of Sponsoring Organizations of the Treadway Commission (COSO).</w:t>
      </w:r>
    </w:p>
    <w:p>
      <w:pPr>
        <w:spacing w:after="0" w:line="232" w:lineRule="exact"/>
        <w:rPr>
          <w:sz w:val="20"/>
          <w:szCs w:val="20"/>
          <w:color w:val="auto"/>
        </w:rPr>
      </w:pPr>
    </w:p>
    <w:p>
      <w:pPr>
        <w:ind w:right="60"/>
        <w:spacing w:after="0" w:line="238" w:lineRule="auto"/>
        <w:rPr>
          <w:sz w:val="20"/>
          <w:szCs w:val="20"/>
          <w:color w:val="auto"/>
        </w:rPr>
      </w:pPr>
      <w:r>
        <w:rPr>
          <w:rFonts w:ascii="Arial" w:cs="Arial" w:eastAsia="Arial" w:hAnsi="Arial"/>
          <w:sz w:val="18"/>
          <w:szCs w:val="18"/>
          <w:color w:val="auto"/>
        </w:rPr>
        <w:t xml:space="preserve">In our opinion, the consolidated financial statements referred to above present fairly, in all material respects, the financial position of the Company as of December 31, 2019 and 2018, and the results of its operations and its cash flows for each of the three years in the period ended December 31, 2019 in conformity with accounting principles generally accepted in the United States of America. Also in our opinion, the Company maintained, in all material respects, effective internal control over financial reporting as of December 31, 2019, based on criteria established in </w:t>
      </w:r>
      <w:r>
        <w:rPr>
          <w:rFonts w:ascii="Arial" w:cs="Arial" w:eastAsia="Arial" w:hAnsi="Arial"/>
          <w:sz w:val="18"/>
          <w:szCs w:val="18"/>
          <w:i w:val="1"/>
          <w:iCs w:val="1"/>
          <w:color w:val="auto"/>
        </w:rPr>
        <w:t>Internal Control - Integrated Framework</w:t>
      </w:r>
      <w:r>
        <w:rPr>
          <w:rFonts w:ascii="Arial" w:cs="Arial" w:eastAsia="Arial" w:hAnsi="Arial"/>
          <w:sz w:val="18"/>
          <w:szCs w:val="18"/>
          <w:color w:val="auto"/>
        </w:rPr>
        <w:t xml:space="preserve"> (2013) issued by the COSO.</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Change in Accounting Principle</w:t>
      </w:r>
    </w:p>
    <w:p>
      <w:pPr>
        <w:spacing w:after="0" w:line="14" w:lineRule="exact"/>
        <w:rPr>
          <w:sz w:val="20"/>
          <w:szCs w:val="20"/>
          <w:color w:val="auto"/>
        </w:rPr>
      </w:pPr>
    </w:p>
    <w:p>
      <w:pPr>
        <w:spacing w:after="0"/>
        <w:rPr>
          <w:sz w:val="20"/>
          <w:szCs w:val="20"/>
          <w:color w:val="auto"/>
        </w:rPr>
      </w:pPr>
      <w:r>
        <w:rPr>
          <w:rFonts w:ascii="Arial" w:cs="Arial" w:eastAsia="Arial" w:hAnsi="Arial"/>
          <w:sz w:val="18"/>
          <w:szCs w:val="18"/>
          <w:color w:val="auto"/>
        </w:rPr>
        <w:t>As discussed in Note 2 to the consolidated financial statements, the Company changed the manner in which it accounts for leases in 2019.</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Basis for Opinions</w:t>
      </w:r>
    </w:p>
    <w:p>
      <w:pPr>
        <w:spacing w:after="0" w:line="193" w:lineRule="exact"/>
        <w:rPr>
          <w:sz w:val="20"/>
          <w:szCs w:val="20"/>
          <w:color w:val="auto"/>
        </w:rPr>
      </w:pPr>
    </w:p>
    <w:p>
      <w:pPr>
        <w:ind w:right="100"/>
        <w:spacing w:after="0" w:line="237" w:lineRule="auto"/>
        <w:rPr>
          <w:sz w:val="20"/>
          <w:szCs w:val="20"/>
          <w:color w:val="auto"/>
        </w:rPr>
      </w:pPr>
      <w:r>
        <w:rPr>
          <w:rFonts w:ascii="Arial" w:cs="Arial" w:eastAsia="Arial" w:hAnsi="Arial"/>
          <w:sz w:val="18"/>
          <w:szCs w:val="18"/>
          <w:color w:val="auto"/>
        </w:rPr>
        <w:t>The Company's management is responsible for these consolidated financial statements, for maintaining effective internal control over financial reporting, and for its assessment of the effectiveness of internal control over financial reporting, included in Management’s Annual Report on Internal Control over Financial Reporting appearing under Item 9A. Our responsibility is to express opinions on the Company’s consolidated financial statements and on the Company's internal control over financial reporting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63" w:lineRule="exact"/>
        <w:rPr>
          <w:sz w:val="20"/>
          <w:szCs w:val="20"/>
          <w:color w:val="auto"/>
        </w:rPr>
      </w:pPr>
    </w:p>
    <w:p>
      <w:pPr>
        <w:ind w:right="280"/>
        <w:spacing w:after="0"/>
        <w:rPr>
          <w:sz w:val="20"/>
          <w:szCs w:val="20"/>
          <w:color w:val="auto"/>
        </w:rPr>
      </w:pPr>
      <w:r>
        <w:rPr>
          <w:rFonts w:ascii="Arial" w:cs="Arial" w:eastAsia="Arial" w:hAnsi="Arial"/>
          <w:sz w:val="18"/>
          <w:szCs w:val="18"/>
          <w:color w:val="auto"/>
        </w:rPr>
        <w:t>We conducted our audits in accordance with the standards of the PCAOB. Those standards require that we plan and perform the audits to obtain reasonable assurance about whether the consolidated financial statements are free of material misstatement, whether due to error or fraud, and whether effective internal control over financial reporting was maintained in all material respects.</w:t>
      </w:r>
    </w:p>
    <w:p>
      <w:pPr>
        <w:spacing w:after="0" w:line="176" w:lineRule="exact"/>
        <w:rPr>
          <w:sz w:val="20"/>
          <w:szCs w:val="20"/>
          <w:color w:val="auto"/>
        </w:rPr>
      </w:pPr>
    </w:p>
    <w:p>
      <w:pPr>
        <w:ind w:right="120"/>
        <w:spacing w:after="0" w:line="236" w:lineRule="auto"/>
        <w:rPr>
          <w:sz w:val="20"/>
          <w:szCs w:val="20"/>
          <w:color w:val="auto"/>
        </w:rPr>
      </w:pPr>
      <w:r>
        <w:rPr>
          <w:rFonts w:ascii="Arial" w:cs="Arial" w:eastAsia="Arial" w:hAnsi="Arial"/>
          <w:sz w:val="18"/>
          <w:szCs w:val="18"/>
          <w:color w:val="auto"/>
        </w:rPr>
        <w:t>Our audits of the consolidated financial statements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Our audit of internal control over financial reporting included obtaining an understanding of internal control over financial reporting, assessing the risk that a material weakness exists, and testing and evaluating the design and operating effectiveness of internal control based on the assessed risk. Our audits also included performing such other procedures as we considered necessary in the circumstances. We believe that our audits provide a reasonable basis for our opinions.</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Definition and Limitations of Internal Control over Financial Reporting</w:t>
      </w:r>
    </w:p>
    <w:p>
      <w:pPr>
        <w:spacing w:after="0" w:line="193" w:lineRule="exact"/>
        <w:rPr>
          <w:sz w:val="20"/>
          <w:szCs w:val="20"/>
          <w:color w:val="auto"/>
        </w:rPr>
      </w:pPr>
    </w:p>
    <w:p>
      <w:pPr>
        <w:spacing w:after="0" w:line="237" w:lineRule="auto"/>
        <w:rPr>
          <w:sz w:val="20"/>
          <w:szCs w:val="20"/>
          <w:color w:val="auto"/>
        </w:rPr>
      </w:pPr>
      <w:r>
        <w:rPr>
          <w:rFonts w:ascii="Arial" w:cs="Arial" w:eastAsia="Arial" w:hAnsi="Arial"/>
          <w:sz w:val="18"/>
          <w:szCs w:val="18"/>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(i) pertain to the maintenance of records that, in reasonable detail, accurately and fairly reflect the transactions and dispositions of the assets of the company; (ii)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w:t>
      </w:r>
    </w:p>
    <w:p>
      <w:pPr>
        <w:spacing w:after="0" w:line="20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27202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00"/>
          </w:cols>
          <w:pgMar w:left="240" w:top="333" w:right="259" w:bottom="1440" w:gutter="0" w:footer="0" w:header="0"/>
        </w:sectPr>
      </w:pPr>
    </w:p>
    <w:bookmarkStart w:id="55" w:name="page56"/>
    <w:bookmarkEnd w:id="55"/>
    <w:p>
      <w:pPr>
        <w:ind w:right="320"/>
        <w:spacing w:after="0" w:line="246" w:lineRule="auto"/>
        <w:rPr>
          <w:sz w:val="20"/>
          <w:szCs w:val="20"/>
          <w:color w:val="auto"/>
        </w:rPr>
      </w:pPr>
      <w:r>
        <w:rPr>
          <w:rFonts w:ascii="Arial" w:cs="Arial" w:eastAsia="Arial" w:hAnsi="Arial"/>
          <w:sz w:val="18"/>
          <w:szCs w:val="18"/>
          <w:color w:val="auto"/>
        </w:rPr>
        <w:t>management and directors of the company; and (iii) provide reasonable assurance regarding prevention or timely detection of unauthorized acquisition, use, or disposition of the company’s assets that could have a material effect on the financial statements.</w:t>
      </w:r>
    </w:p>
    <w:p>
      <w:pPr>
        <w:spacing w:after="0" w:line="170" w:lineRule="exact"/>
        <w:rPr>
          <w:sz w:val="20"/>
          <w:szCs w:val="20"/>
          <w:color w:val="auto"/>
        </w:rPr>
      </w:pPr>
    </w:p>
    <w:p>
      <w:pPr>
        <w:ind w:right="140"/>
        <w:spacing w:after="0"/>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Critical Audit Matters</w:t>
      </w:r>
    </w:p>
    <w:p>
      <w:pPr>
        <w:spacing w:after="0" w:line="261" w:lineRule="exact"/>
        <w:rPr>
          <w:sz w:val="20"/>
          <w:szCs w:val="20"/>
          <w:color w:val="auto"/>
        </w:rPr>
      </w:pPr>
    </w:p>
    <w:p>
      <w:pPr>
        <w:spacing w:after="0" w:line="237" w:lineRule="auto"/>
        <w:rPr>
          <w:sz w:val="20"/>
          <w:szCs w:val="20"/>
          <w:color w:val="auto"/>
        </w:rPr>
      </w:pPr>
      <w:r>
        <w:rPr>
          <w:rFonts w:ascii="Arial" w:cs="Arial" w:eastAsia="Arial" w:hAnsi="Arial"/>
          <w:sz w:val="18"/>
          <w:szCs w:val="18"/>
          <w:color w:val="auto"/>
        </w:rPr>
        <w:t>The critical audit matter communicated below is a matter arising from the current period audit of the consolidated financial statements that were communicated or required to be communicated to the audit committee and that (i) relate to accounts or disclosures that are material to the consolidated financial statements and (ii) involved our especially challenging, subjective, or complex judgments. The communication of critical audit matters does not alter in any way our opinion on the consolidated financial statements, taken as a whole, and we are not, by communicating the critical audit matter below, providing separate opinions on the critical audit matter or on the accounts or disclosures to which it relates.</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Convertible note transaction</w:t>
      </w:r>
    </w:p>
    <w:p>
      <w:pPr>
        <w:spacing w:after="0" w:line="14" w:lineRule="exact"/>
        <w:rPr>
          <w:sz w:val="20"/>
          <w:szCs w:val="20"/>
          <w:color w:val="auto"/>
        </w:rPr>
      </w:pPr>
    </w:p>
    <w:p>
      <w:pPr>
        <w:ind w:right="160"/>
        <w:spacing w:after="0" w:line="255" w:lineRule="auto"/>
        <w:rPr>
          <w:sz w:val="20"/>
          <w:szCs w:val="20"/>
          <w:color w:val="auto"/>
        </w:rPr>
      </w:pPr>
      <w:r>
        <w:rPr>
          <w:rFonts w:ascii="Arial" w:cs="Arial" w:eastAsia="Arial" w:hAnsi="Arial"/>
          <w:sz w:val="17"/>
          <w:szCs w:val="17"/>
          <w:color w:val="auto"/>
        </w:rPr>
        <w:t>As described in Note 9 to the consolidated financial statements, the Company issued convertible notes for aggregate gross proceeds of $ 500 million in August 2019. The nature of the convertible note transaction required management to allocate the proceeds between the liability and equity components, with the equity component representing the difference between the proceeds and the fair value of a similar liability that does not have an associated conversion feature. To estimate the fair value of a similar liability that does not have an associated conversion feature, management discounted the contractual cash flows of the notes at an estimated interest rate for a comparable non-convertible note.</w:t>
      </w:r>
    </w:p>
    <w:p>
      <w:pPr>
        <w:spacing w:after="0" w:line="218" w:lineRule="exact"/>
        <w:rPr>
          <w:sz w:val="20"/>
          <w:szCs w:val="20"/>
          <w:color w:val="auto"/>
        </w:rPr>
      </w:pPr>
    </w:p>
    <w:p>
      <w:pPr>
        <w:ind w:right="300"/>
        <w:spacing w:after="0" w:line="237" w:lineRule="auto"/>
        <w:rPr>
          <w:sz w:val="20"/>
          <w:szCs w:val="20"/>
          <w:color w:val="auto"/>
        </w:rPr>
      </w:pPr>
      <w:r>
        <w:rPr>
          <w:rFonts w:ascii="Arial" w:cs="Arial" w:eastAsia="Arial" w:hAnsi="Arial"/>
          <w:sz w:val="18"/>
          <w:szCs w:val="18"/>
          <w:color w:val="auto"/>
        </w:rPr>
        <w:t>The principal considerations for our determination that performing procedures relating to the convertible note transaction is a critical audit matter are there was significant judgment by management in determining the fair value of the notes, which in turn led to a high degree of auditor judgment, subjectivity, and effort in performing procedures and evaluating audit evidence related to the estimated interest rate of a comparable non-convertible note, which is a significant assumption in determining the fair value of a similar note that does not have an associated conversion feature. The audit effort involved the use of professionals with specialized skill and knowledge to assist in performing procedures and evaluating the audit evidence obtained from these procedures.</w:t>
      </w:r>
    </w:p>
    <w:p>
      <w:pPr>
        <w:spacing w:after="0" w:line="232" w:lineRule="exact"/>
        <w:rPr>
          <w:sz w:val="20"/>
          <w:szCs w:val="20"/>
          <w:color w:val="auto"/>
        </w:rPr>
      </w:pPr>
    </w:p>
    <w:p>
      <w:pPr>
        <w:ind w:right="40"/>
        <w:spacing w:after="0" w:line="237" w:lineRule="auto"/>
        <w:rPr>
          <w:sz w:val="20"/>
          <w:szCs w:val="20"/>
          <w:color w:val="auto"/>
        </w:rPr>
      </w:pPr>
      <w:r>
        <w:rPr>
          <w:rFonts w:ascii="Arial" w:cs="Arial" w:eastAsia="Arial" w:hAnsi="Arial"/>
          <w:sz w:val="18"/>
          <w:szCs w:val="18"/>
          <w:color w:val="auto"/>
        </w:rPr>
        <w:t>Addressing the matter involved performing procedures and evaluating audit evidence in connection with forming our overall opinion on the consolidated financial statements. These procedures included testing the effectiveness of controls relating to management’s financing process, including controls over management’s fair value determination. These procedures also included, among others, evaluating the methodology used by management to determine the fair value of a similar liability that does not have an associated conversion feature and evaluating management’s selection of the interest rate of a comparable non-convertible note. Professionals with specialized skill and knowledge were used to assist in evaluating whether the interest rate of a comparable non-convertible note used by management was reasonable considering consistency with external market and industry data.</w:t>
      </w:r>
    </w:p>
    <w:p>
      <w:pPr>
        <w:spacing w:after="0" w:line="200" w:lineRule="exact"/>
        <w:rPr>
          <w:sz w:val="20"/>
          <w:szCs w:val="20"/>
          <w:color w:val="auto"/>
        </w:rPr>
      </w:pPr>
    </w:p>
    <w:p>
      <w:pPr>
        <w:spacing w:after="0" w:line="391" w:lineRule="exact"/>
        <w:rPr>
          <w:sz w:val="20"/>
          <w:szCs w:val="20"/>
          <w:color w:val="auto"/>
        </w:rPr>
      </w:pPr>
    </w:p>
    <w:p>
      <w:pPr>
        <w:spacing w:after="0"/>
        <w:rPr>
          <w:sz w:val="20"/>
          <w:szCs w:val="20"/>
          <w:color w:val="auto"/>
        </w:rPr>
      </w:pPr>
      <w:r>
        <w:rPr>
          <w:rFonts w:ascii="Arial" w:cs="Arial" w:eastAsia="Arial" w:hAnsi="Arial"/>
          <w:sz w:val="18"/>
          <w:szCs w:val="18"/>
          <w:color w:val="auto"/>
        </w:rPr>
        <w:t>/s/ PricewaterhouseCoopers LLP</w:t>
      </w:r>
    </w:p>
    <w:p>
      <w:pPr>
        <w:spacing w:after="0" w:line="234" w:lineRule="auto"/>
        <w:rPr>
          <w:sz w:val="20"/>
          <w:szCs w:val="20"/>
          <w:color w:val="auto"/>
        </w:rPr>
      </w:pPr>
      <w:r>
        <w:rPr>
          <w:rFonts w:ascii="Arial" w:cs="Arial" w:eastAsia="Arial" w:hAnsi="Arial"/>
          <w:sz w:val="18"/>
          <w:szCs w:val="18"/>
          <w:color w:val="auto"/>
        </w:rPr>
        <w:t>Los Angeles, California</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February 27, 2020</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We have served as the Company’s auditor since 2014.</w:t>
      </w:r>
    </w:p>
    <w:p>
      <w:pPr>
        <w:spacing w:after="0" w:line="200" w:lineRule="exact"/>
        <w:rPr>
          <w:sz w:val="20"/>
          <w:szCs w:val="20"/>
          <w:color w:val="auto"/>
        </w:rPr>
      </w:pPr>
    </w:p>
    <w:p>
      <w:pPr>
        <w:spacing w:after="0" w:line="25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27202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00"/>
          </w:cols>
          <w:pgMar w:left="240" w:top="530" w:right="259" w:bottom="1440" w:gutter="0" w:footer="0" w:header="0"/>
        </w:sectPr>
      </w:pPr>
    </w:p>
    <w:bookmarkStart w:id="56" w:name="page57"/>
    <w:bookmarkEnd w:id="56"/>
    <w:p>
      <w:pPr>
        <w:jc w:val="center"/>
        <w:spacing w:after="0"/>
        <w:rPr>
          <w:sz w:val="20"/>
          <w:szCs w:val="20"/>
          <w:color w:val="auto"/>
        </w:rPr>
      </w:pPr>
      <w:r>
        <w:rPr>
          <w:rFonts w:ascii="Arial" w:cs="Arial" w:eastAsia="Arial" w:hAnsi="Arial"/>
          <w:sz w:val="18"/>
          <w:szCs w:val="18"/>
          <w:b w:val="1"/>
          <w:bCs w:val="1"/>
          <w:color w:val="auto"/>
        </w:rPr>
        <w:t>BLACKLINE, INC.</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SHEETS</w:t>
      </w:r>
    </w:p>
    <w:p>
      <w:pPr>
        <w:jc w:val="center"/>
        <w:spacing w:after="0"/>
        <w:rPr>
          <w:sz w:val="20"/>
          <w:szCs w:val="20"/>
          <w:color w:val="auto"/>
        </w:rPr>
      </w:pPr>
      <w:r>
        <w:rPr>
          <w:rFonts w:ascii="Arial" w:cs="Arial" w:eastAsia="Arial" w:hAnsi="Arial"/>
          <w:sz w:val="18"/>
          <w:szCs w:val="18"/>
          <w:b w:val="1"/>
          <w:bCs w:val="1"/>
          <w:color w:val="auto"/>
        </w:rPr>
        <w:t>(in thousands, except shares and par values)</w:t>
      </w:r>
    </w:p>
    <w:p>
      <w:pPr>
        <w:spacing w:after="0" w:line="267"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7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780" w:type="dxa"/>
            <w:vAlign w:val="bottom"/>
            <w:gridSpan w:val="2"/>
          </w:tcPr>
          <w:p>
            <w:pPr>
              <w:ind w:left="140"/>
              <w:spacing w:after="0"/>
              <w:rPr>
                <w:sz w:val="20"/>
                <w:szCs w:val="20"/>
                <w:color w:val="auto"/>
              </w:rPr>
            </w:pPr>
            <w:r>
              <w:rPr>
                <w:rFonts w:ascii="Arial" w:cs="Arial" w:eastAsia="Arial" w:hAnsi="Arial"/>
                <w:sz w:val="14"/>
                <w:szCs w:val="14"/>
                <w:b w:val="1"/>
                <w:bCs w:val="1"/>
                <w:color w:val="auto"/>
              </w:rPr>
              <w:t>December 31,</w:t>
            </w:r>
          </w:p>
        </w:tc>
        <w:tc>
          <w:tcPr>
            <w:tcW w:w="240" w:type="dxa"/>
            <w:vAlign w:val="bottom"/>
          </w:tcPr>
          <w:p>
            <w:pPr>
              <w:spacing w:after="0"/>
              <w:rPr>
                <w:sz w:val="16"/>
                <w:szCs w:val="16"/>
                <w:color w:val="auto"/>
              </w:rPr>
            </w:pPr>
          </w:p>
        </w:tc>
        <w:tc>
          <w:tcPr>
            <w:tcW w:w="1580" w:type="dxa"/>
            <w:vAlign w:val="bottom"/>
            <w:gridSpan w:val="2"/>
          </w:tcPr>
          <w:p>
            <w:pPr>
              <w:ind w:left="14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88"/>
        </w:trPr>
        <w:tc>
          <w:tcPr>
            <w:tcW w:w="6780" w:type="dxa"/>
            <w:vAlign w:val="bottom"/>
            <w:tcBorders>
              <w:bottom w:val="single" w:sz="8" w:color="CFF0FC"/>
            </w:tcBorders>
          </w:tcPr>
          <w:p>
            <w:pPr>
              <w:spacing w:after="0"/>
              <w:rPr>
                <w:sz w:val="16"/>
                <w:szCs w:val="16"/>
                <w:color w:val="auto"/>
              </w:rPr>
            </w:pPr>
          </w:p>
        </w:tc>
        <w:tc>
          <w:tcPr>
            <w:tcW w:w="780" w:type="dxa"/>
            <w:vAlign w:val="bottom"/>
            <w:tcBorders>
              <w:bottom w:val="single" w:sz="8" w:color="CFF0FC"/>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tcPr>
          <w:p>
            <w:pPr>
              <w:jc w:val="right"/>
              <w:ind w:right="631"/>
              <w:spacing w:after="0"/>
              <w:rPr>
                <w:sz w:val="20"/>
                <w:szCs w:val="20"/>
                <w:color w:val="auto"/>
              </w:rPr>
            </w:pPr>
            <w:r>
              <w:rPr>
                <w:rFonts w:ascii="Arial" w:cs="Arial" w:eastAsia="Arial" w:hAnsi="Arial"/>
                <w:sz w:val="14"/>
                <w:szCs w:val="14"/>
                <w:b w:val="1"/>
                <w:bCs w:val="1"/>
                <w:color w:val="auto"/>
              </w:rPr>
              <w:t>2019</w:t>
            </w:r>
          </w:p>
        </w:tc>
        <w:tc>
          <w:tcPr>
            <w:tcW w:w="280" w:type="dxa"/>
            <w:vAlign w:val="bottom"/>
            <w:tcBorders>
              <w:bottom w:val="single" w:sz="8" w:color="CFF0FC"/>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tcPr>
          <w:p>
            <w:pPr>
              <w:jc w:val="right"/>
              <w:ind w:right="631"/>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FF0FC"/>
            </w:tcBorders>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6780" w:type="dxa"/>
            <w:vAlign w:val="bottom"/>
            <w:shd w:val="clear" w:color="auto" w:fill="CFF0FC"/>
          </w:tcPr>
          <w:p>
            <w:pPr>
              <w:ind w:left="5300"/>
              <w:spacing w:after="0"/>
              <w:rPr>
                <w:sz w:val="20"/>
                <w:szCs w:val="20"/>
                <w:color w:val="auto"/>
              </w:rPr>
            </w:pPr>
            <w:r>
              <w:rPr>
                <w:rFonts w:ascii="Arial" w:cs="Arial" w:eastAsia="Arial" w:hAnsi="Arial"/>
                <w:sz w:val="18"/>
                <w:szCs w:val="18"/>
                <w:b w:val="1"/>
                <w:bCs w:val="1"/>
                <w:color w:val="auto"/>
              </w:rPr>
              <w:t>ASSETS</w:t>
            </w:r>
          </w:p>
        </w:tc>
        <w:tc>
          <w:tcPr>
            <w:tcW w:w="7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50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4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80" w:type="dxa"/>
            <w:vAlign w:val="bottom"/>
          </w:tcPr>
          <w:p>
            <w:pPr>
              <w:spacing w:after="0"/>
              <w:rPr>
                <w:sz w:val="20"/>
                <w:szCs w:val="20"/>
                <w:color w:val="auto"/>
              </w:rPr>
            </w:pPr>
            <w:r>
              <w:rPr>
                <w:rFonts w:ascii="Arial" w:cs="Arial" w:eastAsia="Arial" w:hAnsi="Arial"/>
                <w:sz w:val="18"/>
                <w:szCs w:val="18"/>
                <w:color w:val="auto"/>
              </w:rPr>
              <w:t>Current assets:</w:t>
            </w:r>
          </w:p>
        </w:tc>
        <w:tc>
          <w:tcPr>
            <w:tcW w:w="7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Cash and cash equivalents</w:t>
            </w:r>
          </w:p>
        </w:tc>
        <w:tc>
          <w:tcPr>
            <w:tcW w:w="1040" w:type="dxa"/>
            <w:vAlign w:val="bottom"/>
            <w:gridSpan w:val="2"/>
            <w:shd w:val="clear" w:color="auto" w:fill="CFF0FC"/>
          </w:tcPr>
          <w:p>
            <w:pPr>
              <w:ind w:left="780"/>
              <w:spacing w:after="0"/>
              <w:rPr>
                <w:sz w:val="20"/>
                <w:szCs w:val="20"/>
                <w:color w:val="auto"/>
              </w:rPr>
            </w:pPr>
            <w:r>
              <w:rPr>
                <w:rFonts w:ascii="Arial" w:cs="Arial" w:eastAsia="Arial" w:hAnsi="Arial"/>
                <w:sz w:val="18"/>
                <w:szCs w:val="18"/>
                <w:color w:val="auto"/>
              </w:rPr>
              <w:t>$</w:t>
            </w:r>
          </w:p>
        </w:tc>
        <w:tc>
          <w:tcPr>
            <w:tcW w:w="15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120,232</w:t>
            </w:r>
          </w:p>
        </w:tc>
        <w:tc>
          <w:tcPr>
            <w:tcW w:w="280" w:type="dxa"/>
            <w:vAlign w:val="bottom"/>
            <w:shd w:val="clear" w:color="auto" w:fill="CFF0FC"/>
          </w:tcPr>
          <w:p>
            <w:pPr>
              <w:spacing w:after="0"/>
              <w:rPr>
                <w:sz w:val="18"/>
                <w:szCs w:val="18"/>
                <w:color w:val="auto"/>
              </w:rPr>
            </w:pPr>
          </w:p>
        </w:tc>
        <w:tc>
          <w:tcPr>
            <w:tcW w:w="2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14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46,181</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80" w:type="dxa"/>
            <w:vAlign w:val="bottom"/>
          </w:tcPr>
          <w:p>
            <w:pPr>
              <w:ind w:left="260"/>
              <w:spacing w:after="0"/>
              <w:rPr>
                <w:sz w:val="20"/>
                <w:szCs w:val="20"/>
                <w:color w:val="auto"/>
              </w:rPr>
            </w:pPr>
            <w:r>
              <w:rPr>
                <w:rFonts w:ascii="Arial" w:cs="Arial" w:eastAsia="Arial" w:hAnsi="Arial"/>
                <w:sz w:val="18"/>
                <w:szCs w:val="18"/>
                <w:color w:val="auto"/>
              </w:rPr>
              <w:t>Marketable securities</w:t>
            </w:r>
          </w:p>
        </w:tc>
        <w:tc>
          <w:tcPr>
            <w:tcW w:w="7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487,515</w:t>
            </w: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86,396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67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Accounts receivable, net of allowances for doubtful accounts of $237</w:t>
            </w:r>
          </w:p>
        </w:tc>
        <w:tc>
          <w:tcPr>
            <w:tcW w:w="7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50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4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6780" w:type="dxa"/>
            <w:vAlign w:val="bottom"/>
            <w:shd w:val="clear" w:color="auto" w:fill="CFF0FC"/>
          </w:tcPr>
          <w:p>
            <w:pPr>
              <w:ind w:left="360"/>
              <w:spacing w:after="0" w:line="203" w:lineRule="exact"/>
              <w:rPr>
                <w:sz w:val="20"/>
                <w:szCs w:val="20"/>
                <w:color w:val="auto"/>
              </w:rPr>
            </w:pPr>
            <w:r>
              <w:rPr>
                <w:rFonts w:ascii="Arial" w:cs="Arial" w:eastAsia="Arial" w:hAnsi="Arial"/>
                <w:sz w:val="18"/>
                <w:szCs w:val="18"/>
                <w:color w:val="auto"/>
              </w:rPr>
              <w:t>and $46 at December 31, 2019 and 2018, respectively</w:t>
            </w:r>
          </w:p>
        </w:tc>
        <w:tc>
          <w:tcPr>
            <w:tcW w:w="78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500" w:type="dxa"/>
            <w:vAlign w:val="bottom"/>
            <w:shd w:val="clear" w:color="auto" w:fill="CFF0FC"/>
          </w:tcPr>
          <w:p>
            <w:pPr>
              <w:jc w:val="right"/>
              <w:spacing w:after="0" w:line="203" w:lineRule="exact"/>
              <w:rPr>
                <w:sz w:val="20"/>
                <w:szCs w:val="20"/>
                <w:color w:val="auto"/>
              </w:rPr>
            </w:pPr>
            <w:r>
              <w:rPr>
                <w:rFonts w:ascii="Arial" w:cs="Arial" w:eastAsia="Arial" w:hAnsi="Arial"/>
                <w:sz w:val="18"/>
                <w:szCs w:val="18"/>
                <w:color w:val="auto"/>
              </w:rPr>
              <w:t>102,829</w:t>
            </w:r>
          </w:p>
        </w:tc>
        <w:tc>
          <w:tcPr>
            <w:tcW w:w="28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480" w:type="dxa"/>
            <w:vAlign w:val="bottom"/>
            <w:shd w:val="clear" w:color="auto" w:fill="CFF0FC"/>
          </w:tcPr>
          <w:p>
            <w:pPr>
              <w:jc w:val="right"/>
              <w:spacing w:after="0" w:line="203" w:lineRule="exact"/>
              <w:rPr>
                <w:sz w:val="20"/>
                <w:szCs w:val="20"/>
                <w:color w:val="auto"/>
              </w:rPr>
            </w:pPr>
            <w:r>
              <w:rPr>
                <w:rFonts w:ascii="Arial" w:cs="Arial" w:eastAsia="Arial" w:hAnsi="Arial"/>
                <w:sz w:val="18"/>
                <w:szCs w:val="18"/>
                <w:color w:val="auto"/>
              </w:rPr>
              <w:t>74,902</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780" w:type="dxa"/>
            <w:vAlign w:val="bottom"/>
            <w:tcBorders>
              <w:bottom w:val="single" w:sz="8" w:color="CFF0FC"/>
            </w:tcBorders>
          </w:tcPr>
          <w:p>
            <w:pPr>
              <w:ind w:left="260"/>
              <w:spacing w:after="0"/>
              <w:rPr>
                <w:sz w:val="20"/>
                <w:szCs w:val="20"/>
                <w:color w:val="auto"/>
              </w:rPr>
            </w:pPr>
            <w:r>
              <w:rPr>
                <w:rFonts w:ascii="Arial" w:cs="Arial" w:eastAsia="Arial" w:hAnsi="Arial"/>
                <w:sz w:val="18"/>
                <w:szCs w:val="18"/>
                <w:color w:val="auto"/>
              </w:rPr>
              <w:t>Prepaid expenses and other current assets</w:t>
            </w:r>
          </w:p>
        </w:tc>
        <w:tc>
          <w:tcPr>
            <w:tcW w:w="780" w:type="dxa"/>
            <w:vAlign w:val="bottom"/>
            <w:tcBorders>
              <w:bottom w:val="single" w:sz="8" w:color="CFF0FC"/>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12,830</w:t>
            </w:r>
          </w:p>
        </w:tc>
        <w:tc>
          <w:tcPr>
            <w:tcW w:w="280" w:type="dxa"/>
            <w:vAlign w:val="bottom"/>
            <w:tcBorders>
              <w:bottom w:val="single" w:sz="8" w:color="CFF0FC"/>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14,042</w:t>
            </w:r>
          </w:p>
        </w:tc>
        <w:tc>
          <w:tcPr>
            <w:tcW w:w="100" w:type="dxa"/>
            <w:vAlign w:val="bottom"/>
            <w:tcBorders>
              <w:bottom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780" w:type="dxa"/>
            <w:vAlign w:val="bottom"/>
            <w:shd w:val="clear" w:color="auto" w:fill="CFF0FC"/>
          </w:tcPr>
          <w:p>
            <w:pPr>
              <w:ind w:left="500"/>
              <w:spacing w:after="0"/>
              <w:rPr>
                <w:sz w:val="20"/>
                <w:szCs w:val="20"/>
                <w:color w:val="auto"/>
              </w:rPr>
            </w:pPr>
            <w:r>
              <w:rPr>
                <w:rFonts w:ascii="Arial" w:cs="Arial" w:eastAsia="Arial" w:hAnsi="Arial"/>
                <w:sz w:val="18"/>
                <w:szCs w:val="18"/>
                <w:color w:val="auto"/>
              </w:rPr>
              <w:t>Total current assets</w:t>
            </w:r>
          </w:p>
        </w:tc>
        <w:tc>
          <w:tcPr>
            <w:tcW w:w="7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5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723,406</w:t>
            </w:r>
          </w:p>
        </w:tc>
        <w:tc>
          <w:tcPr>
            <w:tcW w:w="2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4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221,521</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80" w:type="dxa"/>
            <w:vAlign w:val="bottom"/>
          </w:tcPr>
          <w:p>
            <w:pPr>
              <w:ind w:left="260"/>
              <w:spacing w:after="0"/>
              <w:rPr>
                <w:sz w:val="20"/>
                <w:szCs w:val="20"/>
                <w:color w:val="auto"/>
              </w:rPr>
            </w:pPr>
            <w:r>
              <w:rPr>
                <w:rFonts w:ascii="Arial" w:cs="Arial" w:eastAsia="Arial" w:hAnsi="Arial"/>
                <w:sz w:val="18"/>
                <w:szCs w:val="18"/>
                <w:color w:val="auto"/>
              </w:rPr>
              <w:t>Capitalized software development costs, net</w:t>
            </w:r>
          </w:p>
        </w:tc>
        <w:tc>
          <w:tcPr>
            <w:tcW w:w="7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10,032</w:t>
            </w: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9,023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Property and equipment, net</w:t>
            </w:r>
          </w:p>
        </w:tc>
        <w:tc>
          <w:tcPr>
            <w:tcW w:w="7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5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13,024</w:t>
            </w:r>
          </w:p>
        </w:tc>
        <w:tc>
          <w:tcPr>
            <w:tcW w:w="2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4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13,536</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80" w:type="dxa"/>
            <w:vAlign w:val="bottom"/>
          </w:tcPr>
          <w:p>
            <w:pPr>
              <w:ind w:left="260"/>
              <w:spacing w:after="0"/>
              <w:rPr>
                <w:sz w:val="20"/>
                <w:szCs w:val="20"/>
                <w:color w:val="auto"/>
              </w:rPr>
            </w:pPr>
            <w:r>
              <w:rPr>
                <w:rFonts w:ascii="Arial" w:cs="Arial" w:eastAsia="Arial" w:hAnsi="Arial"/>
                <w:sz w:val="18"/>
                <w:szCs w:val="18"/>
                <w:color w:val="auto"/>
              </w:rPr>
              <w:t>Intangible assets, net</w:t>
            </w:r>
          </w:p>
        </w:tc>
        <w:tc>
          <w:tcPr>
            <w:tcW w:w="7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17,520</w:t>
            </w: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27,785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Goodwill</w:t>
            </w:r>
          </w:p>
        </w:tc>
        <w:tc>
          <w:tcPr>
            <w:tcW w:w="7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5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185,138</w:t>
            </w:r>
          </w:p>
        </w:tc>
        <w:tc>
          <w:tcPr>
            <w:tcW w:w="2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4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185,138</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80" w:type="dxa"/>
            <w:vAlign w:val="bottom"/>
          </w:tcPr>
          <w:p>
            <w:pPr>
              <w:ind w:left="260"/>
              <w:spacing w:after="0"/>
              <w:rPr>
                <w:sz w:val="20"/>
                <w:szCs w:val="20"/>
                <w:color w:val="auto"/>
              </w:rPr>
            </w:pPr>
            <w:r>
              <w:rPr>
                <w:rFonts w:ascii="Arial" w:cs="Arial" w:eastAsia="Arial" w:hAnsi="Arial"/>
                <w:sz w:val="18"/>
                <w:szCs w:val="18"/>
                <w:color w:val="auto"/>
              </w:rPr>
              <w:t>Operating lease right-of-use assets</w:t>
            </w:r>
          </w:p>
        </w:tc>
        <w:tc>
          <w:tcPr>
            <w:tcW w:w="7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12,549</w:t>
            </w: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7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Other assets</w:t>
            </w:r>
          </w:p>
        </w:tc>
        <w:tc>
          <w:tcPr>
            <w:tcW w:w="780" w:type="dxa"/>
            <w:vAlign w:val="bottom"/>
            <w:shd w:val="clear" w:color="auto" w:fill="CFF0FC"/>
          </w:tcPr>
          <w:p>
            <w:pPr>
              <w:spacing w:after="0"/>
              <w:rPr>
                <w:sz w:val="18"/>
                <w:szCs w:val="18"/>
                <w:color w:val="auto"/>
              </w:rPr>
            </w:pPr>
          </w:p>
        </w:tc>
        <w:tc>
          <w:tcPr>
            <w:tcW w:w="260" w:type="dxa"/>
            <w:vAlign w:val="bottom"/>
            <w:tcBorders>
              <w:bottom w:val="single" w:sz="8" w:color="auto"/>
            </w:tcBorders>
            <w:shd w:val="clear" w:color="auto" w:fill="CFF0FC"/>
          </w:tcPr>
          <w:p>
            <w:pPr>
              <w:spacing w:after="0"/>
              <w:rPr>
                <w:sz w:val="18"/>
                <w:szCs w:val="18"/>
                <w:color w:val="auto"/>
              </w:rPr>
            </w:pPr>
          </w:p>
        </w:tc>
        <w:tc>
          <w:tcPr>
            <w:tcW w:w="15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52,883</w:t>
            </w:r>
          </w:p>
        </w:tc>
        <w:tc>
          <w:tcPr>
            <w:tcW w:w="280" w:type="dxa"/>
            <w:vAlign w:val="bottom"/>
            <w:shd w:val="clear" w:color="auto" w:fill="CFF0FC"/>
          </w:tcPr>
          <w:p>
            <w:pPr>
              <w:spacing w:after="0"/>
              <w:rPr>
                <w:sz w:val="18"/>
                <w:szCs w:val="18"/>
                <w:color w:val="auto"/>
              </w:rPr>
            </w:pPr>
          </w:p>
        </w:tc>
        <w:tc>
          <w:tcPr>
            <w:tcW w:w="240" w:type="dxa"/>
            <w:vAlign w:val="bottom"/>
            <w:tcBorders>
              <w:bottom w:val="single" w:sz="8" w:color="auto"/>
            </w:tcBorders>
            <w:shd w:val="clear" w:color="auto" w:fill="CFF0FC"/>
          </w:tcPr>
          <w:p>
            <w:pPr>
              <w:spacing w:after="0"/>
              <w:rPr>
                <w:sz w:val="18"/>
                <w:szCs w:val="18"/>
                <w:color w:val="auto"/>
              </w:rPr>
            </w:pPr>
          </w:p>
        </w:tc>
        <w:tc>
          <w:tcPr>
            <w:tcW w:w="14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36,478</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780" w:type="dxa"/>
            <w:vAlign w:val="bottom"/>
          </w:tcPr>
          <w:p>
            <w:pPr>
              <w:ind w:left="500"/>
              <w:spacing w:after="0"/>
              <w:rPr>
                <w:sz w:val="20"/>
                <w:szCs w:val="20"/>
                <w:color w:val="auto"/>
              </w:rPr>
            </w:pPr>
            <w:r>
              <w:rPr>
                <w:rFonts w:ascii="Arial" w:cs="Arial" w:eastAsia="Arial" w:hAnsi="Arial"/>
                <w:sz w:val="18"/>
                <w:szCs w:val="18"/>
                <w:color w:val="auto"/>
              </w:rPr>
              <w:t>Total assets</w:t>
            </w:r>
          </w:p>
        </w:tc>
        <w:tc>
          <w:tcPr>
            <w:tcW w:w="1040" w:type="dxa"/>
            <w:vAlign w:val="bottom"/>
            <w:gridSpan w:val="2"/>
          </w:tcPr>
          <w:p>
            <w:pPr>
              <w:ind w:left="780"/>
              <w:spacing w:after="0"/>
              <w:rPr>
                <w:sz w:val="20"/>
                <w:szCs w:val="20"/>
                <w:color w:val="auto"/>
              </w:rPr>
            </w:pPr>
            <w:r>
              <w:rPr>
                <w:rFonts w:ascii="Arial" w:cs="Arial" w:eastAsia="Arial" w:hAnsi="Arial"/>
                <w:sz w:val="18"/>
                <w:szCs w:val="18"/>
                <w:color w:val="auto"/>
              </w:rPr>
              <w:t>$</w:t>
            </w:r>
          </w:p>
        </w:tc>
        <w:tc>
          <w:tcPr>
            <w:tcW w:w="1500" w:type="dxa"/>
            <w:vAlign w:val="bottom"/>
          </w:tcPr>
          <w:p>
            <w:pPr>
              <w:jc w:val="right"/>
              <w:spacing w:after="0"/>
              <w:rPr>
                <w:sz w:val="20"/>
                <w:szCs w:val="20"/>
                <w:color w:val="auto"/>
              </w:rPr>
            </w:pPr>
            <w:r>
              <w:rPr>
                <w:rFonts w:ascii="Arial" w:cs="Arial" w:eastAsia="Arial" w:hAnsi="Arial"/>
                <w:sz w:val="18"/>
                <w:szCs w:val="18"/>
                <w:color w:val="auto"/>
              </w:rPr>
              <w:t>1,014,552</w:t>
            </w:r>
          </w:p>
        </w:tc>
        <w:tc>
          <w:tcPr>
            <w:tcW w:w="280" w:type="dxa"/>
            <w:vAlign w:val="bottom"/>
          </w:tcPr>
          <w:p>
            <w:pPr>
              <w:spacing w:after="0"/>
              <w:rPr>
                <w:sz w:val="19"/>
                <w:szCs w:val="19"/>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480" w:type="dxa"/>
            <w:vAlign w:val="bottom"/>
          </w:tcPr>
          <w:p>
            <w:pPr>
              <w:jc w:val="right"/>
              <w:spacing w:after="0"/>
              <w:rPr>
                <w:sz w:val="20"/>
                <w:szCs w:val="20"/>
                <w:color w:val="auto"/>
              </w:rPr>
            </w:pPr>
            <w:r>
              <w:rPr>
                <w:rFonts w:ascii="Arial" w:cs="Arial" w:eastAsia="Arial" w:hAnsi="Arial"/>
                <w:sz w:val="18"/>
                <w:szCs w:val="18"/>
                <w:color w:val="auto"/>
              </w:rPr>
              <w:t>493,481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560" w:type="dxa"/>
            <w:vAlign w:val="bottom"/>
            <w:tcBorders>
              <w:top w:val="single" w:sz="8" w:color="CFF0FC"/>
            </w:tcBorders>
            <w:gridSpan w:val="2"/>
            <w:vMerge w:val="restart"/>
            <w:shd w:val="clear" w:color="auto" w:fill="CFF0FC"/>
          </w:tcPr>
          <w:p>
            <w:pPr>
              <w:ind w:left="1680"/>
              <w:spacing w:after="0"/>
              <w:rPr>
                <w:sz w:val="20"/>
                <w:szCs w:val="20"/>
                <w:color w:val="auto"/>
              </w:rPr>
            </w:pPr>
            <w:r>
              <w:rPr>
                <w:rFonts w:ascii="Arial" w:cs="Arial" w:eastAsia="Arial" w:hAnsi="Arial"/>
                <w:sz w:val="18"/>
                <w:szCs w:val="18"/>
                <w:b w:val="1"/>
                <w:bCs w:val="1"/>
                <w:color w:val="auto"/>
              </w:rPr>
              <w:t>LIABILITIES, REDEEMABLE NON-CONTROLLING INTEREST, AND</w:t>
            </w:r>
          </w:p>
        </w:tc>
        <w:tc>
          <w:tcPr>
            <w:tcW w:w="1760" w:type="dxa"/>
            <w:vAlign w:val="bottom"/>
            <w:tcBorders>
              <w:top w:val="single" w:sz="8" w:color="auto"/>
            </w:tcBorders>
            <w:gridSpan w:val="2"/>
            <w:shd w:val="clear" w:color="auto" w:fill="000000"/>
          </w:tcPr>
          <w:p>
            <w:pPr>
              <w:spacing w:after="0" w:line="20" w:lineRule="exact"/>
              <w:rPr>
                <w:sz w:val="1"/>
                <w:szCs w:val="1"/>
                <w:color w:val="auto"/>
              </w:rPr>
            </w:pPr>
          </w:p>
        </w:tc>
        <w:tc>
          <w:tcPr>
            <w:tcW w:w="280" w:type="dxa"/>
            <w:vAlign w:val="bottom"/>
            <w:tcBorders>
              <w:top w:val="single" w:sz="8" w:color="CFF0FC"/>
            </w:tcBorders>
            <w:shd w:val="clear" w:color="auto" w:fill="CFF0FC"/>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14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7560" w:type="dxa"/>
            <w:vAlign w:val="bottom"/>
            <w:gridSpan w:val="2"/>
            <w:vMerge w:val="continue"/>
            <w:shd w:val="clear" w:color="auto" w:fill="CFF0FC"/>
          </w:tcPr>
          <w:p>
            <w:pPr>
              <w:spacing w:after="0"/>
              <w:rPr>
                <w:sz w:val="17"/>
                <w:szCs w:val="17"/>
                <w:color w:val="auto"/>
              </w:rPr>
            </w:pPr>
          </w:p>
        </w:tc>
        <w:tc>
          <w:tcPr>
            <w:tcW w:w="2040" w:type="dxa"/>
            <w:vAlign w:val="bottom"/>
            <w:gridSpan w:val="3"/>
            <w:shd w:val="clear" w:color="auto" w:fill="CFF0FC"/>
          </w:tcPr>
          <w:p>
            <w:pPr>
              <w:spacing w:after="0" w:line="196" w:lineRule="exact"/>
              <w:rPr>
                <w:sz w:val="20"/>
                <w:szCs w:val="20"/>
                <w:color w:val="auto"/>
              </w:rPr>
            </w:pPr>
            <w:r>
              <w:rPr>
                <w:rFonts w:ascii="Arial" w:cs="Arial" w:eastAsia="Arial" w:hAnsi="Arial"/>
                <w:sz w:val="18"/>
                <w:szCs w:val="18"/>
                <w:b w:val="1"/>
                <w:bCs w:val="1"/>
                <w:color w:val="auto"/>
                <w:w w:val="88"/>
              </w:rPr>
              <w:t>STOCKHOLDERS' EQUITY</w:t>
            </w:r>
          </w:p>
        </w:tc>
        <w:tc>
          <w:tcPr>
            <w:tcW w:w="240" w:type="dxa"/>
            <w:vAlign w:val="bottom"/>
            <w:shd w:val="clear" w:color="auto" w:fill="CFF0FC"/>
          </w:tcPr>
          <w:p>
            <w:pPr>
              <w:spacing w:after="0"/>
              <w:rPr>
                <w:sz w:val="17"/>
                <w:szCs w:val="17"/>
                <w:color w:val="auto"/>
              </w:rPr>
            </w:pPr>
          </w:p>
        </w:tc>
        <w:tc>
          <w:tcPr>
            <w:tcW w:w="14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780" w:type="dxa"/>
            <w:vAlign w:val="bottom"/>
          </w:tcPr>
          <w:p>
            <w:pPr>
              <w:spacing w:after="0"/>
              <w:rPr>
                <w:sz w:val="20"/>
                <w:szCs w:val="20"/>
                <w:color w:val="auto"/>
              </w:rPr>
            </w:pPr>
            <w:r>
              <w:rPr>
                <w:rFonts w:ascii="Arial" w:cs="Arial" w:eastAsia="Arial" w:hAnsi="Arial"/>
                <w:sz w:val="18"/>
                <w:szCs w:val="18"/>
                <w:color w:val="auto"/>
              </w:rPr>
              <w:t>Current liabilities:</w:t>
            </w:r>
          </w:p>
        </w:tc>
        <w:tc>
          <w:tcPr>
            <w:tcW w:w="7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Accounts payable</w:t>
            </w:r>
          </w:p>
        </w:tc>
        <w:tc>
          <w:tcPr>
            <w:tcW w:w="1040" w:type="dxa"/>
            <w:vAlign w:val="bottom"/>
            <w:gridSpan w:val="2"/>
            <w:shd w:val="clear" w:color="auto" w:fill="CFF0FC"/>
          </w:tcPr>
          <w:p>
            <w:pPr>
              <w:ind w:left="780"/>
              <w:spacing w:after="0"/>
              <w:rPr>
                <w:sz w:val="20"/>
                <w:szCs w:val="20"/>
                <w:color w:val="auto"/>
              </w:rPr>
            </w:pPr>
            <w:r>
              <w:rPr>
                <w:rFonts w:ascii="Arial" w:cs="Arial" w:eastAsia="Arial" w:hAnsi="Arial"/>
                <w:sz w:val="18"/>
                <w:szCs w:val="18"/>
                <w:color w:val="auto"/>
              </w:rPr>
              <w:t>$</w:t>
            </w:r>
          </w:p>
        </w:tc>
        <w:tc>
          <w:tcPr>
            <w:tcW w:w="15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7,401</w:t>
            </w:r>
          </w:p>
        </w:tc>
        <w:tc>
          <w:tcPr>
            <w:tcW w:w="280" w:type="dxa"/>
            <w:vAlign w:val="bottom"/>
            <w:shd w:val="clear" w:color="auto" w:fill="CFF0FC"/>
          </w:tcPr>
          <w:p>
            <w:pPr>
              <w:spacing w:after="0"/>
              <w:rPr>
                <w:sz w:val="18"/>
                <w:szCs w:val="18"/>
                <w:color w:val="auto"/>
              </w:rPr>
            </w:pPr>
          </w:p>
        </w:tc>
        <w:tc>
          <w:tcPr>
            <w:tcW w:w="2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14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3,442</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80" w:type="dxa"/>
            <w:vAlign w:val="bottom"/>
          </w:tcPr>
          <w:p>
            <w:pPr>
              <w:ind w:left="260"/>
              <w:spacing w:after="0"/>
              <w:rPr>
                <w:sz w:val="20"/>
                <w:szCs w:val="20"/>
                <w:color w:val="auto"/>
              </w:rPr>
            </w:pPr>
            <w:r>
              <w:rPr>
                <w:rFonts w:ascii="Arial" w:cs="Arial" w:eastAsia="Arial" w:hAnsi="Arial"/>
                <w:sz w:val="18"/>
                <w:szCs w:val="18"/>
                <w:color w:val="auto"/>
              </w:rPr>
              <w:t>Accrued expenses and other current liabilities</w:t>
            </w:r>
          </w:p>
        </w:tc>
        <w:tc>
          <w:tcPr>
            <w:tcW w:w="7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30,098</w:t>
            </w: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24,479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Deferred revenue</w:t>
            </w:r>
          </w:p>
        </w:tc>
        <w:tc>
          <w:tcPr>
            <w:tcW w:w="7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5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162,552</w:t>
            </w:r>
          </w:p>
        </w:tc>
        <w:tc>
          <w:tcPr>
            <w:tcW w:w="2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4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129,074</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80" w:type="dxa"/>
            <w:vAlign w:val="bottom"/>
          </w:tcPr>
          <w:p>
            <w:pPr>
              <w:ind w:left="260"/>
              <w:spacing w:after="0"/>
              <w:rPr>
                <w:sz w:val="20"/>
                <w:szCs w:val="20"/>
                <w:color w:val="auto"/>
              </w:rPr>
            </w:pPr>
            <w:r>
              <w:rPr>
                <w:rFonts w:ascii="Arial" w:cs="Arial" w:eastAsia="Arial" w:hAnsi="Arial"/>
                <w:sz w:val="18"/>
                <w:szCs w:val="18"/>
                <w:color w:val="auto"/>
              </w:rPr>
              <w:t>Short-term portion of operating lease liabilities</w:t>
            </w:r>
          </w:p>
        </w:tc>
        <w:tc>
          <w:tcPr>
            <w:tcW w:w="7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4,938</w:t>
            </w: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7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Short-term portion of contingent consideration</w:t>
            </w:r>
          </w:p>
        </w:tc>
        <w:tc>
          <w:tcPr>
            <w:tcW w:w="780" w:type="dxa"/>
            <w:vAlign w:val="bottom"/>
            <w:shd w:val="clear" w:color="auto" w:fill="CFF0FC"/>
          </w:tcPr>
          <w:p>
            <w:pPr>
              <w:spacing w:after="0"/>
              <w:rPr>
                <w:sz w:val="18"/>
                <w:szCs w:val="18"/>
                <w:color w:val="auto"/>
              </w:rPr>
            </w:pPr>
          </w:p>
        </w:tc>
        <w:tc>
          <w:tcPr>
            <w:tcW w:w="260" w:type="dxa"/>
            <w:vAlign w:val="bottom"/>
            <w:tcBorders>
              <w:bottom w:val="single" w:sz="8" w:color="auto"/>
            </w:tcBorders>
            <w:shd w:val="clear" w:color="auto" w:fill="CFF0FC"/>
          </w:tcPr>
          <w:p>
            <w:pPr>
              <w:spacing w:after="0"/>
              <w:rPr>
                <w:sz w:val="18"/>
                <w:szCs w:val="18"/>
                <w:color w:val="auto"/>
              </w:rPr>
            </w:pPr>
          </w:p>
        </w:tc>
        <w:tc>
          <w:tcPr>
            <w:tcW w:w="15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2,008</w:t>
            </w:r>
          </w:p>
        </w:tc>
        <w:tc>
          <w:tcPr>
            <w:tcW w:w="280" w:type="dxa"/>
            <w:vAlign w:val="bottom"/>
            <w:shd w:val="clear" w:color="auto" w:fill="CFF0FC"/>
          </w:tcPr>
          <w:p>
            <w:pPr>
              <w:spacing w:after="0"/>
              <w:rPr>
                <w:sz w:val="18"/>
                <w:szCs w:val="18"/>
                <w:color w:val="auto"/>
              </w:rPr>
            </w:pPr>
          </w:p>
        </w:tc>
        <w:tc>
          <w:tcPr>
            <w:tcW w:w="240" w:type="dxa"/>
            <w:vAlign w:val="bottom"/>
            <w:tcBorders>
              <w:bottom w:val="single" w:sz="8" w:color="auto"/>
            </w:tcBorders>
            <w:shd w:val="clear" w:color="auto" w:fill="CFF0FC"/>
          </w:tcPr>
          <w:p>
            <w:pPr>
              <w:spacing w:after="0"/>
              <w:rPr>
                <w:sz w:val="18"/>
                <w:szCs w:val="18"/>
                <w:color w:val="auto"/>
              </w:rPr>
            </w:pPr>
          </w:p>
        </w:tc>
        <w:tc>
          <w:tcPr>
            <w:tcW w:w="14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2,008</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780" w:type="dxa"/>
            <w:vAlign w:val="bottom"/>
          </w:tcPr>
          <w:p>
            <w:pPr>
              <w:ind w:left="500"/>
              <w:spacing w:after="0"/>
              <w:rPr>
                <w:sz w:val="20"/>
                <w:szCs w:val="20"/>
                <w:color w:val="auto"/>
              </w:rPr>
            </w:pPr>
            <w:r>
              <w:rPr>
                <w:rFonts w:ascii="Arial" w:cs="Arial" w:eastAsia="Arial" w:hAnsi="Arial"/>
                <w:sz w:val="18"/>
                <w:szCs w:val="18"/>
                <w:color w:val="auto"/>
              </w:rPr>
              <w:t>Total current liabilities</w:t>
            </w:r>
          </w:p>
        </w:tc>
        <w:tc>
          <w:tcPr>
            <w:tcW w:w="7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206,997</w:t>
            </w: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159,003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Operating lease liabilities, noncurrent</w:t>
            </w:r>
          </w:p>
        </w:tc>
        <w:tc>
          <w:tcPr>
            <w:tcW w:w="7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5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10,606</w:t>
            </w:r>
          </w:p>
        </w:tc>
        <w:tc>
          <w:tcPr>
            <w:tcW w:w="2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58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780" w:type="dxa"/>
            <w:vAlign w:val="bottom"/>
          </w:tcPr>
          <w:p>
            <w:pPr>
              <w:ind w:left="260"/>
              <w:spacing w:after="0"/>
              <w:rPr>
                <w:sz w:val="20"/>
                <w:szCs w:val="20"/>
                <w:color w:val="auto"/>
              </w:rPr>
            </w:pPr>
            <w:r>
              <w:rPr>
                <w:rFonts w:ascii="Arial" w:cs="Arial" w:eastAsia="Arial" w:hAnsi="Arial"/>
                <w:sz w:val="18"/>
                <w:szCs w:val="18"/>
                <w:color w:val="auto"/>
              </w:rPr>
              <w:t>Convertible senior notes, net</w:t>
            </w:r>
          </w:p>
        </w:tc>
        <w:tc>
          <w:tcPr>
            <w:tcW w:w="7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384,343</w:t>
            </w: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7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Contingent consideration</w:t>
            </w:r>
          </w:p>
        </w:tc>
        <w:tc>
          <w:tcPr>
            <w:tcW w:w="7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5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4,354</w:t>
            </w:r>
          </w:p>
        </w:tc>
        <w:tc>
          <w:tcPr>
            <w:tcW w:w="2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4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4,308</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80" w:type="dxa"/>
            <w:vAlign w:val="bottom"/>
          </w:tcPr>
          <w:p>
            <w:pPr>
              <w:ind w:left="260"/>
              <w:spacing w:after="0"/>
              <w:rPr>
                <w:sz w:val="20"/>
                <w:szCs w:val="20"/>
                <w:color w:val="auto"/>
              </w:rPr>
            </w:pPr>
            <w:r>
              <w:rPr>
                <w:rFonts w:ascii="Arial" w:cs="Arial" w:eastAsia="Arial" w:hAnsi="Arial"/>
                <w:sz w:val="18"/>
                <w:szCs w:val="18"/>
                <w:color w:val="auto"/>
              </w:rPr>
              <w:t>Deferred tax liabilities, net</w:t>
            </w:r>
          </w:p>
        </w:tc>
        <w:tc>
          <w:tcPr>
            <w:tcW w:w="7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4,571</w:t>
            </w: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3,257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Deferred revenue, noncurrent</w:t>
            </w:r>
          </w:p>
        </w:tc>
        <w:tc>
          <w:tcPr>
            <w:tcW w:w="7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5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163</w:t>
            </w:r>
          </w:p>
        </w:tc>
        <w:tc>
          <w:tcPr>
            <w:tcW w:w="2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4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277</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80" w:type="dxa"/>
            <w:vAlign w:val="bottom"/>
          </w:tcPr>
          <w:p>
            <w:pPr>
              <w:ind w:left="260"/>
              <w:spacing w:after="0"/>
              <w:rPr>
                <w:sz w:val="20"/>
                <w:szCs w:val="20"/>
                <w:color w:val="auto"/>
              </w:rPr>
            </w:pPr>
            <w:r>
              <w:rPr>
                <w:rFonts w:ascii="Arial" w:cs="Arial" w:eastAsia="Arial" w:hAnsi="Arial"/>
                <w:sz w:val="18"/>
                <w:szCs w:val="18"/>
                <w:color w:val="auto"/>
              </w:rPr>
              <w:t>Other long-term liabilities</w:t>
            </w:r>
          </w:p>
        </w:tc>
        <w:tc>
          <w:tcPr>
            <w:tcW w:w="7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78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2,982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780" w:type="dxa"/>
            <w:vAlign w:val="bottom"/>
            <w:tcBorders>
              <w:top w:val="single" w:sz="8" w:color="CFF0FC"/>
            </w:tcBorders>
            <w:shd w:val="clear" w:color="auto" w:fill="CFF0FC"/>
          </w:tcPr>
          <w:p>
            <w:pPr>
              <w:ind w:left="500"/>
              <w:spacing w:after="0"/>
              <w:rPr>
                <w:sz w:val="20"/>
                <w:szCs w:val="20"/>
                <w:color w:val="auto"/>
              </w:rPr>
            </w:pPr>
            <w:r>
              <w:rPr>
                <w:rFonts w:ascii="Arial" w:cs="Arial" w:eastAsia="Arial" w:hAnsi="Arial"/>
                <w:sz w:val="18"/>
                <w:szCs w:val="18"/>
                <w:color w:val="auto"/>
              </w:rPr>
              <w:t>Total liabilities</w:t>
            </w:r>
          </w:p>
        </w:tc>
        <w:tc>
          <w:tcPr>
            <w:tcW w:w="780" w:type="dxa"/>
            <w:vAlign w:val="bottom"/>
            <w:tcBorders>
              <w:top w:val="single" w:sz="8" w:color="CFF0FC"/>
            </w:tcBorders>
            <w:shd w:val="clear" w:color="auto" w:fill="CFF0FC"/>
          </w:tcPr>
          <w:p>
            <w:pPr>
              <w:spacing w:after="0"/>
              <w:rPr>
                <w:sz w:val="18"/>
                <w:szCs w:val="18"/>
                <w:color w:val="auto"/>
              </w:rPr>
            </w:pPr>
          </w:p>
        </w:tc>
        <w:tc>
          <w:tcPr>
            <w:tcW w:w="260" w:type="dxa"/>
            <w:vAlign w:val="bottom"/>
            <w:tcBorders>
              <w:top w:val="single" w:sz="8" w:color="auto"/>
            </w:tcBorders>
            <w:shd w:val="clear" w:color="auto" w:fill="CFF0FC"/>
          </w:tcPr>
          <w:p>
            <w:pPr>
              <w:spacing w:after="0"/>
              <w:rPr>
                <w:sz w:val="18"/>
                <w:szCs w:val="18"/>
                <w:color w:val="auto"/>
              </w:rPr>
            </w:pPr>
          </w:p>
        </w:tc>
        <w:tc>
          <w:tcPr>
            <w:tcW w:w="15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611,034</w:t>
            </w:r>
          </w:p>
        </w:tc>
        <w:tc>
          <w:tcPr>
            <w:tcW w:w="280" w:type="dxa"/>
            <w:vAlign w:val="bottom"/>
            <w:tcBorders>
              <w:top w:val="single" w:sz="8" w:color="CFF0FC"/>
            </w:tcBorders>
            <w:shd w:val="clear" w:color="auto" w:fill="CFF0FC"/>
          </w:tcPr>
          <w:p>
            <w:pPr>
              <w:spacing w:after="0"/>
              <w:rPr>
                <w:sz w:val="18"/>
                <w:szCs w:val="18"/>
                <w:color w:val="auto"/>
              </w:rPr>
            </w:pPr>
          </w:p>
        </w:tc>
        <w:tc>
          <w:tcPr>
            <w:tcW w:w="240" w:type="dxa"/>
            <w:vAlign w:val="bottom"/>
            <w:tcBorders>
              <w:top w:val="single" w:sz="8" w:color="auto"/>
            </w:tcBorders>
            <w:shd w:val="clear" w:color="auto" w:fill="CFF0FC"/>
          </w:tcPr>
          <w:p>
            <w:pPr>
              <w:spacing w:after="0"/>
              <w:rPr>
                <w:sz w:val="18"/>
                <w:szCs w:val="18"/>
                <w:color w:val="auto"/>
              </w:rPr>
            </w:pPr>
          </w:p>
        </w:tc>
        <w:tc>
          <w:tcPr>
            <w:tcW w:w="14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169,827</w:t>
            </w:r>
          </w:p>
        </w:tc>
        <w:tc>
          <w:tcPr>
            <w:tcW w:w="10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6780" w:type="dxa"/>
            <w:vAlign w:val="bottom"/>
          </w:tcPr>
          <w:p>
            <w:pPr>
              <w:spacing w:after="0"/>
              <w:rPr>
                <w:sz w:val="20"/>
                <w:szCs w:val="20"/>
                <w:color w:val="auto"/>
              </w:rPr>
            </w:pPr>
            <w:r>
              <w:rPr>
                <w:rFonts w:ascii="Arial" w:cs="Arial" w:eastAsia="Arial" w:hAnsi="Arial"/>
                <w:sz w:val="18"/>
                <w:szCs w:val="18"/>
                <w:color w:val="auto"/>
              </w:rPr>
              <w:t>Commitments and contingencies (Note 14)</w:t>
            </w:r>
          </w:p>
        </w:tc>
        <w:tc>
          <w:tcPr>
            <w:tcW w:w="7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3716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ectPr>
          <w:pgSz w:w="11900" w:h="16838" w:orient="portrait"/>
          <w:cols w:equalWidth="0" w:num="1">
            <w:col w:w="11420"/>
          </w:cols>
          <w:pgMar w:left="240" w:top="333" w:right="239" w:bottom="1440" w:gutter="0" w:footer="0" w:header="0"/>
        </w:sectPr>
      </w:pPr>
    </w:p>
    <w:p>
      <w:pPr>
        <w:spacing w:after="0"/>
        <w:rPr>
          <w:sz w:val="20"/>
          <w:szCs w:val="20"/>
          <w:color w:val="auto"/>
        </w:rPr>
      </w:pPr>
      <w:r>
        <w:rPr>
          <w:rFonts w:ascii="Arial" w:cs="Arial" w:eastAsia="Arial" w:hAnsi="Arial"/>
          <w:sz w:val="18"/>
          <w:szCs w:val="18"/>
          <w:color w:val="auto"/>
        </w:rPr>
        <w:t>Redeemable non-controlling interest (Note 4)</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Stockholders' equity: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7246620" cy="26606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46620" cy="266065"/>
                    </a:xfrm>
                    <a:prstGeom prst="rect">
                      <a:avLst/>
                    </a:prstGeom>
                    <a:noFill/>
                  </pic:spPr>
                </pic:pic>
              </a:graphicData>
            </a:graphic>
          </wp:anchor>
        </w:drawing>
      </w:r>
    </w:p>
    <w:p>
      <w:pPr>
        <w:ind w:left="360" w:right="2280" w:hanging="99"/>
        <w:spacing w:after="0" w:line="257" w:lineRule="auto"/>
        <w:rPr>
          <w:sz w:val="20"/>
          <w:szCs w:val="20"/>
          <w:color w:val="auto"/>
        </w:rPr>
      </w:pPr>
      <w:r>
        <w:rPr>
          <w:rFonts w:ascii="Arial" w:cs="Arial" w:eastAsia="Arial" w:hAnsi="Arial"/>
          <w:sz w:val="17"/>
          <w:szCs w:val="17"/>
          <w:color w:val="auto"/>
        </w:rPr>
        <w:t>Preferred stock, $0.01 par value, 50,000,000 shares authorized, no shares issued and outstanding at December 31, 2019 and 2018</w:t>
      </w:r>
    </w:p>
    <w:p>
      <w:pPr>
        <w:jc w:val="both"/>
        <w:ind w:left="360" w:right="2460" w:hanging="99"/>
        <w:spacing w:after="0" w:line="254" w:lineRule="auto"/>
        <w:rPr>
          <w:sz w:val="20"/>
          <w:szCs w:val="20"/>
          <w:color w:val="auto"/>
        </w:rPr>
      </w:pPr>
      <w:r>
        <w:rPr>
          <w:rFonts w:ascii="Arial" w:cs="Arial" w:eastAsia="Arial" w:hAnsi="Arial"/>
          <w:sz w:val="17"/>
          <w:szCs w:val="17"/>
          <w:color w:val="auto"/>
        </w:rPr>
        <w:t>Common stock, $0.01 par value, 500,000,000 shares authorized, 55,930,994 issued and outstanding at December 31, 2019 and 54,682,647 issued and outstanding at December 31,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246620" cy="13716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ind w:left="260"/>
        <w:spacing w:after="0"/>
        <w:rPr>
          <w:sz w:val="20"/>
          <w:szCs w:val="20"/>
          <w:color w:val="auto"/>
        </w:rPr>
      </w:pPr>
      <w:r>
        <w:rPr>
          <w:rFonts w:ascii="Arial" w:cs="Arial" w:eastAsia="Arial" w:hAnsi="Arial"/>
          <w:sz w:val="18"/>
          <w:szCs w:val="18"/>
          <w:color w:val="auto"/>
        </w:rPr>
        <w:t>Additional paid-in capital</w:t>
      </w:r>
    </w:p>
    <w:p>
      <w:pPr>
        <w:spacing w:after="0" w:line="9" w:lineRule="exact"/>
        <w:rPr>
          <w:sz w:val="20"/>
          <w:szCs w:val="20"/>
          <w:color w:val="auto"/>
        </w:rPr>
      </w:pPr>
    </w:p>
    <w:p>
      <w:pPr>
        <w:ind w:left="260"/>
        <w:spacing w:after="0"/>
        <w:rPr>
          <w:sz w:val="20"/>
          <w:szCs w:val="20"/>
          <w:color w:val="auto"/>
        </w:rPr>
      </w:pPr>
      <w:r>
        <w:rPr>
          <w:rFonts w:ascii="Arial" w:cs="Arial" w:eastAsia="Arial" w:hAnsi="Arial"/>
          <w:sz w:val="18"/>
          <w:szCs w:val="18"/>
          <w:color w:val="auto"/>
        </w:rPr>
        <w:t>Accumulated other comprehensive income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7246620" cy="13716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ind w:left="260"/>
        <w:spacing w:after="0"/>
        <w:rPr>
          <w:sz w:val="20"/>
          <w:szCs w:val="20"/>
          <w:color w:val="auto"/>
        </w:rPr>
      </w:pPr>
      <w:r>
        <w:rPr>
          <w:rFonts w:ascii="Arial" w:cs="Arial" w:eastAsia="Arial" w:hAnsi="Arial"/>
          <w:sz w:val="18"/>
          <w:szCs w:val="18"/>
          <w:color w:val="auto"/>
        </w:rPr>
        <w:t>Accumulated deficit</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7"/>
        </w:trPr>
        <w:tc>
          <w:tcPr>
            <w:tcW w:w="1380" w:type="dxa"/>
            <w:vAlign w:val="bottom"/>
          </w:tcPr>
          <w:p>
            <w:pPr>
              <w:jc w:val="right"/>
              <w:ind w:right="570"/>
              <w:spacing w:after="0"/>
              <w:rPr>
                <w:sz w:val="20"/>
                <w:szCs w:val="20"/>
                <w:color w:val="auto"/>
              </w:rPr>
            </w:pPr>
            <w:r>
              <w:rPr>
                <w:rFonts w:ascii="Arial" w:cs="Arial" w:eastAsia="Arial" w:hAnsi="Arial"/>
                <w:sz w:val="18"/>
                <w:szCs w:val="18"/>
                <w:color w:val="auto"/>
              </w:rPr>
              <w:t>4,905</w:t>
            </w:r>
          </w:p>
        </w:tc>
        <w:tc>
          <w:tcPr>
            <w:tcW w:w="1400" w:type="dxa"/>
            <w:vAlign w:val="bottom"/>
          </w:tcPr>
          <w:p>
            <w:pPr>
              <w:jc w:val="right"/>
              <w:spacing w:after="0"/>
              <w:rPr>
                <w:sz w:val="20"/>
                <w:szCs w:val="20"/>
                <w:color w:val="auto"/>
              </w:rPr>
            </w:pPr>
            <w:r>
              <w:rPr>
                <w:rFonts w:ascii="Arial" w:cs="Arial" w:eastAsia="Arial" w:hAnsi="Arial"/>
                <w:sz w:val="18"/>
                <w:szCs w:val="18"/>
                <w:color w:val="auto"/>
              </w:rPr>
              <w:t>4,387</w:t>
            </w:r>
          </w:p>
        </w:tc>
      </w:tr>
      <w:tr>
        <w:trPr>
          <w:trHeight w:val="527"/>
        </w:trPr>
        <w:tc>
          <w:tcPr>
            <w:tcW w:w="1380" w:type="dxa"/>
            <w:vAlign w:val="bottom"/>
          </w:tcPr>
          <w:p>
            <w:pPr>
              <w:jc w:val="right"/>
              <w:ind w:right="570"/>
              <w:spacing w:after="0"/>
              <w:rPr>
                <w:sz w:val="20"/>
                <w:szCs w:val="20"/>
                <w:color w:val="auto"/>
              </w:rPr>
            </w:pPr>
            <w:r>
              <w:rPr>
                <w:rFonts w:ascii="Arial" w:cs="Arial" w:eastAsia="Arial" w:hAnsi="Arial"/>
                <w:sz w:val="18"/>
                <w:szCs w:val="18"/>
                <w:color w:val="auto"/>
              </w:rPr>
              <w:t>—</w:t>
            </w:r>
          </w:p>
        </w:tc>
        <w:tc>
          <w:tcPr>
            <w:tcW w:w="14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728"/>
        </w:trPr>
        <w:tc>
          <w:tcPr>
            <w:tcW w:w="1380" w:type="dxa"/>
            <w:vAlign w:val="bottom"/>
          </w:tcPr>
          <w:p>
            <w:pPr>
              <w:jc w:val="right"/>
              <w:ind w:right="570"/>
              <w:spacing w:after="0"/>
              <w:rPr>
                <w:sz w:val="20"/>
                <w:szCs w:val="20"/>
                <w:color w:val="auto"/>
              </w:rPr>
            </w:pPr>
            <w:r>
              <w:rPr>
                <w:rFonts w:ascii="Arial" w:cs="Arial" w:eastAsia="Arial" w:hAnsi="Arial"/>
                <w:sz w:val="18"/>
                <w:szCs w:val="18"/>
                <w:color w:val="auto"/>
              </w:rPr>
              <w:t>559</w:t>
            </w:r>
          </w:p>
        </w:tc>
        <w:tc>
          <w:tcPr>
            <w:tcW w:w="1400" w:type="dxa"/>
            <w:vAlign w:val="bottom"/>
          </w:tcPr>
          <w:p>
            <w:pPr>
              <w:jc w:val="right"/>
              <w:spacing w:after="0"/>
              <w:rPr>
                <w:sz w:val="20"/>
                <w:szCs w:val="20"/>
                <w:color w:val="auto"/>
              </w:rPr>
            </w:pPr>
            <w:r>
              <w:rPr>
                <w:rFonts w:ascii="Arial" w:cs="Arial" w:eastAsia="Arial" w:hAnsi="Arial"/>
                <w:sz w:val="18"/>
                <w:szCs w:val="18"/>
                <w:color w:val="auto"/>
              </w:rPr>
              <w:t>547</w:t>
            </w:r>
          </w:p>
        </w:tc>
      </w:tr>
      <w:tr>
        <w:trPr>
          <w:trHeight w:val="216"/>
        </w:trPr>
        <w:tc>
          <w:tcPr>
            <w:tcW w:w="1380" w:type="dxa"/>
            <w:vAlign w:val="bottom"/>
          </w:tcPr>
          <w:p>
            <w:pPr>
              <w:jc w:val="right"/>
              <w:ind w:right="570"/>
              <w:spacing w:after="0"/>
              <w:rPr>
                <w:sz w:val="20"/>
                <w:szCs w:val="20"/>
                <w:color w:val="auto"/>
              </w:rPr>
            </w:pPr>
            <w:r>
              <w:rPr>
                <w:rFonts w:ascii="Arial" w:cs="Arial" w:eastAsia="Arial" w:hAnsi="Arial"/>
                <w:sz w:val="18"/>
                <w:szCs w:val="18"/>
                <w:color w:val="auto"/>
              </w:rPr>
              <w:t>561,275</w:t>
            </w:r>
          </w:p>
        </w:tc>
        <w:tc>
          <w:tcPr>
            <w:tcW w:w="1400" w:type="dxa"/>
            <w:vAlign w:val="bottom"/>
          </w:tcPr>
          <w:p>
            <w:pPr>
              <w:jc w:val="right"/>
              <w:spacing w:after="0"/>
              <w:rPr>
                <w:sz w:val="20"/>
                <w:szCs w:val="20"/>
                <w:color w:val="auto"/>
              </w:rPr>
            </w:pPr>
            <w:r>
              <w:rPr>
                <w:rFonts w:ascii="Arial" w:cs="Arial" w:eastAsia="Arial" w:hAnsi="Arial"/>
                <w:sz w:val="18"/>
                <w:szCs w:val="18"/>
                <w:color w:val="auto"/>
              </w:rPr>
              <w:t>451,571</w:t>
            </w:r>
          </w:p>
        </w:tc>
      </w:tr>
      <w:tr>
        <w:trPr>
          <w:trHeight w:val="216"/>
        </w:trPr>
        <w:tc>
          <w:tcPr>
            <w:tcW w:w="1380" w:type="dxa"/>
            <w:vAlign w:val="bottom"/>
          </w:tcPr>
          <w:p>
            <w:pPr>
              <w:jc w:val="right"/>
              <w:ind w:right="570"/>
              <w:spacing w:after="0"/>
              <w:rPr>
                <w:sz w:val="20"/>
                <w:szCs w:val="20"/>
                <w:color w:val="auto"/>
              </w:rPr>
            </w:pPr>
            <w:r>
              <w:rPr>
                <w:rFonts w:ascii="Arial" w:cs="Arial" w:eastAsia="Arial" w:hAnsi="Arial"/>
                <w:sz w:val="18"/>
                <w:szCs w:val="18"/>
                <w:color w:val="auto"/>
              </w:rPr>
              <w:t>377</w:t>
            </w:r>
          </w:p>
        </w:tc>
        <w:tc>
          <w:tcPr>
            <w:tcW w:w="1400" w:type="dxa"/>
            <w:vAlign w:val="bottom"/>
          </w:tcPr>
          <w:p>
            <w:pPr>
              <w:jc w:val="right"/>
              <w:spacing w:after="0"/>
              <w:rPr>
                <w:sz w:val="20"/>
                <w:szCs w:val="20"/>
                <w:color w:val="auto"/>
              </w:rPr>
            </w:pPr>
            <w:r>
              <w:rPr>
                <w:rFonts w:ascii="Arial" w:cs="Arial" w:eastAsia="Arial" w:hAnsi="Arial"/>
                <w:sz w:val="18"/>
                <w:szCs w:val="18"/>
                <w:color w:val="auto"/>
              </w:rPr>
              <w:t>45</w:t>
            </w:r>
          </w:p>
        </w:tc>
      </w:tr>
      <w:tr>
        <w:trPr>
          <w:trHeight w:val="203"/>
        </w:trPr>
        <w:tc>
          <w:tcPr>
            <w:tcW w:w="1380" w:type="dxa"/>
            <w:vAlign w:val="bottom"/>
          </w:tcPr>
          <w:p>
            <w:pPr>
              <w:jc w:val="right"/>
              <w:ind w:right="510"/>
              <w:spacing w:after="0" w:line="203" w:lineRule="exact"/>
              <w:rPr>
                <w:sz w:val="20"/>
                <w:szCs w:val="20"/>
                <w:color w:val="auto"/>
              </w:rPr>
            </w:pPr>
            <w:r>
              <w:rPr>
                <w:rFonts w:ascii="Arial" w:cs="Arial" w:eastAsia="Arial" w:hAnsi="Arial"/>
                <w:sz w:val="18"/>
                <w:szCs w:val="18"/>
                <w:color w:val="auto"/>
                <w:w w:val="98"/>
              </w:rPr>
              <w:t>(163,598)</w:t>
            </w:r>
          </w:p>
        </w:tc>
        <w:tc>
          <w:tcPr>
            <w:tcW w:w="1400" w:type="dxa"/>
            <w:vAlign w:val="bottom"/>
          </w:tcPr>
          <w:p>
            <w:pPr>
              <w:jc w:val="right"/>
              <w:spacing w:after="0" w:line="203" w:lineRule="exact"/>
              <w:rPr>
                <w:sz w:val="20"/>
                <w:szCs w:val="20"/>
                <w:color w:val="auto"/>
              </w:rPr>
            </w:pPr>
            <w:r>
              <w:rPr>
                <w:rFonts w:ascii="Arial" w:cs="Arial" w:eastAsia="Arial" w:hAnsi="Arial"/>
                <w:sz w:val="18"/>
                <w:szCs w:val="18"/>
                <w:color w:val="auto"/>
              </w:rPr>
              <w:t>(132,896)</w:t>
            </w:r>
          </w:p>
        </w:tc>
      </w:tr>
    </w:tbl>
    <w:p>
      <w:pPr>
        <w:spacing w:after="0" w:line="1" w:lineRule="exact"/>
        <w:rPr>
          <w:sz w:val="20"/>
          <w:szCs w:val="20"/>
          <w:color w:val="auto"/>
        </w:rPr>
      </w:pPr>
    </w:p>
    <w:p>
      <w:pPr>
        <w:sectPr>
          <w:pgSz w:w="11900" w:h="16838" w:orient="portrait"/>
          <w:cols w:equalWidth="0" w:num="2">
            <w:col w:w="7880" w:space="720"/>
            <w:col w:w="2820"/>
          </w:cols>
          <w:pgMar w:left="240" w:top="333" w:right="239" w:bottom="1440" w:gutter="0" w:footer="0" w:header="0"/>
          <w:type w:val="continuous"/>
        </w:sectPr>
      </w:pPr>
    </w:p>
    <w:tbl>
      <w:tblPr>
        <w:tblLayout w:type="fixed"/>
        <w:tblInd w:w="0" w:type="dxa"/>
        <w:tblCellMar>
          <w:top w:w="0" w:type="dxa"/>
          <w:left w:w="0" w:type="dxa"/>
          <w:bottom w:w="0" w:type="dxa"/>
          <w:right w:w="0" w:type="dxa"/>
        </w:tblCellMar>
      </w:tblPr>
      <w:tr>
        <w:trPr>
          <w:trHeight w:val="210"/>
        </w:trPr>
        <w:tc>
          <w:tcPr>
            <w:tcW w:w="7060" w:type="dxa"/>
            <w:vAlign w:val="bottom"/>
            <w:tcBorders>
              <w:bottom w:val="single" w:sz="8" w:color="CFF0FC"/>
            </w:tcBorders>
          </w:tcPr>
          <w:p>
            <w:pPr>
              <w:ind w:left="500"/>
              <w:spacing w:after="0"/>
              <w:rPr>
                <w:sz w:val="20"/>
                <w:szCs w:val="20"/>
                <w:color w:val="auto"/>
              </w:rPr>
            </w:pPr>
            <w:r>
              <w:rPr>
                <w:rFonts w:ascii="Arial" w:cs="Arial" w:eastAsia="Arial" w:hAnsi="Arial"/>
                <w:sz w:val="18"/>
                <w:szCs w:val="18"/>
                <w:color w:val="auto"/>
              </w:rPr>
              <w:t>Total stockholders' equity</w:t>
            </w:r>
          </w:p>
        </w:tc>
        <w:tc>
          <w:tcPr>
            <w:tcW w:w="500" w:type="dxa"/>
            <w:vAlign w:val="bottom"/>
            <w:tcBorders>
              <w:bottom w:val="single" w:sz="8" w:color="CFF0FC"/>
            </w:tcBorders>
          </w:tcPr>
          <w:p>
            <w:pPr>
              <w:spacing w:after="0"/>
              <w:rPr>
                <w:sz w:val="18"/>
                <w:szCs w:val="18"/>
                <w:color w:val="auto"/>
              </w:rPr>
            </w:pPr>
          </w:p>
        </w:tc>
        <w:tc>
          <w:tcPr>
            <w:tcW w:w="520" w:type="dxa"/>
            <w:vAlign w:val="bottom"/>
            <w:tcBorders>
              <w:top w:val="single" w:sz="8" w:color="auto"/>
              <w:bottom w:val="single" w:sz="8" w:color="auto"/>
            </w:tcBorders>
          </w:tcPr>
          <w:p>
            <w:pPr>
              <w:spacing w:after="0"/>
              <w:rPr>
                <w:sz w:val="18"/>
                <w:szCs w:val="18"/>
                <w:color w:val="auto"/>
              </w:rPr>
            </w:pP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398,613</w:t>
            </w:r>
          </w:p>
        </w:tc>
        <w:tc>
          <w:tcPr>
            <w:tcW w:w="280" w:type="dxa"/>
            <w:vAlign w:val="bottom"/>
            <w:tcBorders>
              <w:bottom w:val="single" w:sz="8" w:color="CFF0FC"/>
            </w:tcBorders>
          </w:tcPr>
          <w:p>
            <w:pPr>
              <w:spacing w:after="0"/>
              <w:rPr>
                <w:sz w:val="18"/>
                <w:szCs w:val="18"/>
                <w:color w:val="auto"/>
              </w:rPr>
            </w:pPr>
          </w:p>
        </w:tc>
        <w:tc>
          <w:tcPr>
            <w:tcW w:w="580" w:type="dxa"/>
            <w:vAlign w:val="bottom"/>
            <w:tcBorders>
              <w:top w:val="single" w:sz="8" w:color="auto"/>
              <w:bottom w:val="single" w:sz="8" w:color="auto"/>
            </w:tcBorders>
          </w:tcPr>
          <w:p>
            <w:pPr>
              <w:spacing w:after="0"/>
              <w:rPr>
                <w:sz w:val="18"/>
                <w:szCs w:val="18"/>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319,267</w:t>
            </w:r>
          </w:p>
        </w:tc>
        <w:tc>
          <w:tcPr>
            <w:tcW w:w="100" w:type="dxa"/>
            <w:vAlign w:val="bottom"/>
            <w:tcBorders>
              <w:bottom w:val="single" w:sz="8" w:color="CFF0FC"/>
            </w:tcBorders>
          </w:tcPr>
          <w:p>
            <w:pPr>
              <w:spacing w:after="0"/>
              <w:rPr>
                <w:sz w:val="18"/>
                <w:szCs w:val="18"/>
                <w:color w:val="auto"/>
              </w:rPr>
            </w:pPr>
          </w:p>
        </w:tc>
      </w:tr>
      <w:tr>
        <w:trPr>
          <w:trHeight w:val="210"/>
        </w:trPr>
        <w:tc>
          <w:tcPr>
            <w:tcW w:w="7060" w:type="dxa"/>
            <w:vAlign w:val="bottom"/>
            <w:shd w:val="clear" w:color="auto" w:fill="CFF0FC"/>
          </w:tcPr>
          <w:p>
            <w:pPr>
              <w:ind w:left="500"/>
              <w:spacing w:after="0"/>
              <w:rPr>
                <w:sz w:val="20"/>
                <w:szCs w:val="20"/>
                <w:color w:val="auto"/>
              </w:rPr>
            </w:pPr>
            <w:r>
              <w:rPr>
                <w:rFonts w:ascii="Arial" w:cs="Arial" w:eastAsia="Arial" w:hAnsi="Arial"/>
                <w:sz w:val="18"/>
                <w:szCs w:val="18"/>
                <w:color w:val="auto"/>
              </w:rPr>
              <w:t>Total liabilities, redeemable non-controlling interest, and stockholders' equity</w:t>
            </w:r>
          </w:p>
        </w:tc>
        <w:tc>
          <w:tcPr>
            <w:tcW w:w="1020" w:type="dxa"/>
            <w:vAlign w:val="bottom"/>
            <w:gridSpan w:val="2"/>
            <w:shd w:val="clear" w:color="auto" w:fill="CFF0FC"/>
          </w:tcPr>
          <w:p>
            <w:pPr>
              <w:jc w:val="right"/>
              <w:ind w:right="420"/>
              <w:spacing w:after="0"/>
              <w:rPr>
                <w:sz w:val="20"/>
                <w:szCs w:val="20"/>
                <w:color w:val="auto"/>
              </w:rPr>
            </w:pPr>
            <w:r>
              <w:rPr>
                <w:rFonts w:ascii="Arial" w:cs="Arial" w:eastAsia="Arial" w:hAnsi="Arial"/>
                <w:sz w:val="18"/>
                <w:szCs w:val="18"/>
                <w:color w:val="auto"/>
              </w:rPr>
              <w:t>$</w:t>
            </w: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1,014,552</w:t>
            </w:r>
          </w:p>
        </w:tc>
        <w:tc>
          <w:tcPr>
            <w:tcW w:w="280" w:type="dxa"/>
            <w:vAlign w:val="bottom"/>
            <w:shd w:val="clear" w:color="auto" w:fill="CFF0FC"/>
          </w:tcPr>
          <w:p>
            <w:pPr>
              <w:spacing w:after="0"/>
              <w:rPr>
                <w:sz w:val="18"/>
                <w:szCs w:val="18"/>
                <w:color w:val="auto"/>
              </w:rPr>
            </w:pPr>
          </w:p>
        </w:tc>
        <w:tc>
          <w:tcPr>
            <w:tcW w:w="580" w:type="dxa"/>
            <w:vAlign w:val="bottom"/>
            <w:shd w:val="clear" w:color="auto" w:fill="CFF0FC"/>
          </w:tcPr>
          <w:p>
            <w:pPr>
              <w:jc w:val="right"/>
              <w:ind w:right="390"/>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493,481</w:t>
            </w:r>
          </w:p>
        </w:tc>
        <w:tc>
          <w:tcPr>
            <w:tcW w:w="100" w:type="dxa"/>
            <w:vAlign w:val="bottom"/>
            <w:shd w:val="clear" w:color="auto" w:fill="CFF0FC"/>
          </w:tcPr>
          <w:p>
            <w:pPr>
              <w:spacing w:after="0"/>
              <w:rPr>
                <w:sz w:val="18"/>
                <w:szCs w:val="18"/>
                <w:color w:val="auto"/>
              </w:rPr>
            </w:pPr>
          </w:p>
        </w:tc>
      </w:tr>
      <w:tr>
        <w:trPr>
          <w:trHeight w:val="20"/>
        </w:trPr>
        <w:tc>
          <w:tcPr>
            <w:tcW w:w="7060" w:type="dxa"/>
            <w:vAlign w:val="bottom"/>
            <w:tcBorders>
              <w:top w:val="single" w:sz="8" w:color="CFF0FC"/>
            </w:tcBorders>
          </w:tcPr>
          <w:p>
            <w:pPr>
              <w:spacing w:after="0" w:line="20" w:lineRule="exact"/>
              <w:rPr>
                <w:sz w:val="1"/>
                <w:szCs w:val="1"/>
                <w:color w:val="auto"/>
              </w:rPr>
            </w:pPr>
          </w:p>
        </w:tc>
        <w:tc>
          <w:tcPr>
            <w:tcW w:w="500" w:type="dxa"/>
            <w:vAlign w:val="bottom"/>
            <w:tcBorders>
              <w:top w:val="single" w:sz="8" w:color="CFF0FC"/>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FF0FC"/>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r>
    </w:tbl>
    <w:p>
      <w:pPr>
        <w:spacing w:after="0" w:line="2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272020"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333" w:right="239" w:bottom="1440" w:gutter="0" w:footer="0" w:header="0"/>
          <w:type w:val="continuous"/>
        </w:sectPr>
      </w:pPr>
    </w:p>
    <w:bookmarkStart w:id="57" w:name="page58"/>
    <w:bookmarkEnd w:id="57"/>
    <w:p>
      <w:pPr>
        <w:jc w:val="center"/>
        <w:spacing w:after="0"/>
        <w:rPr>
          <w:sz w:val="20"/>
          <w:szCs w:val="20"/>
          <w:color w:val="auto"/>
        </w:rPr>
      </w:pPr>
      <w:r>
        <w:rPr>
          <w:rFonts w:ascii="Arial" w:cs="Arial" w:eastAsia="Arial" w:hAnsi="Arial"/>
          <w:sz w:val="18"/>
          <w:szCs w:val="18"/>
          <w:b w:val="1"/>
          <w:bCs w:val="1"/>
          <w:color w:val="auto"/>
        </w:rPr>
        <w:t>BLACKLINE, INC.</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OPERATIONS</w:t>
      </w:r>
    </w:p>
    <w:p>
      <w:pPr>
        <w:jc w:val="center"/>
        <w:spacing w:after="0"/>
        <w:rPr>
          <w:sz w:val="20"/>
          <w:szCs w:val="20"/>
          <w:color w:val="auto"/>
        </w:rPr>
      </w:pPr>
      <w:r>
        <w:rPr>
          <w:rFonts w:ascii="Arial" w:cs="Arial" w:eastAsia="Arial" w:hAnsi="Arial"/>
          <w:sz w:val="18"/>
          <w:szCs w:val="18"/>
          <w:b w:val="1"/>
          <w:bCs w:val="1"/>
          <w:color w:val="auto"/>
        </w:rPr>
        <w:t>(in thousands, except per share data)</w:t>
      </w:r>
    </w:p>
    <w:p>
      <w:pPr>
        <w:spacing w:after="0" w:line="240"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53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900" w:type="dxa"/>
            <w:vAlign w:val="bottom"/>
            <w:tcBorders>
              <w:bottom w:val="single" w:sz="8" w:color="auto"/>
            </w:tcBorders>
            <w:gridSpan w:val="4"/>
          </w:tcPr>
          <w:p>
            <w:pPr>
              <w:jc w:val="right"/>
              <w:ind w:right="80"/>
              <w:spacing w:after="0"/>
              <w:rPr>
                <w:sz w:val="20"/>
                <w:szCs w:val="20"/>
                <w:color w:val="auto"/>
              </w:rPr>
            </w:pPr>
            <w:r>
              <w:rPr>
                <w:rFonts w:ascii="Arial" w:cs="Arial" w:eastAsia="Arial" w:hAnsi="Arial"/>
                <w:sz w:val="14"/>
                <w:szCs w:val="14"/>
                <w:b w:val="1"/>
                <w:bCs w:val="1"/>
                <w:color w:val="auto"/>
              </w:rPr>
              <w:t>Year Ended December 31,</w:t>
            </w:r>
          </w:p>
        </w:tc>
        <w:tc>
          <w:tcPr>
            <w:tcW w:w="80" w:type="dxa"/>
            <w:vAlign w:val="bottom"/>
            <w:tcBorders>
              <w:bottom w:val="single" w:sz="8" w:color="auto"/>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r>
      <w:tr>
        <w:trPr>
          <w:trHeight w:val="169"/>
        </w:trPr>
        <w:tc>
          <w:tcPr>
            <w:tcW w:w="5340" w:type="dxa"/>
            <w:vAlign w:val="bottom"/>
            <w:tcBorders>
              <w:bottom w:val="single" w:sz="8" w:color="CFF0FC"/>
            </w:tcBorders>
          </w:tcPr>
          <w:p>
            <w:pPr>
              <w:spacing w:after="0"/>
              <w:rPr>
                <w:sz w:val="14"/>
                <w:szCs w:val="14"/>
                <w:color w:val="auto"/>
              </w:rPr>
            </w:pPr>
          </w:p>
        </w:tc>
        <w:tc>
          <w:tcPr>
            <w:tcW w:w="740" w:type="dxa"/>
            <w:vAlign w:val="bottom"/>
            <w:tcBorders>
              <w:bottom w:val="single" w:sz="8" w:color="CFF0FC"/>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jc w:val="right"/>
              <w:ind w:right="551"/>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FF0FC"/>
            </w:tcBorders>
          </w:tcPr>
          <w:p>
            <w:pPr>
              <w:spacing w:after="0"/>
              <w:rPr>
                <w:sz w:val="14"/>
                <w:szCs w:val="14"/>
                <w:color w:val="auto"/>
              </w:rPr>
            </w:pPr>
          </w:p>
        </w:tc>
        <w:tc>
          <w:tcPr>
            <w:tcW w:w="160" w:type="dxa"/>
            <w:vAlign w:val="bottom"/>
            <w:tcBorders>
              <w:bottom w:val="single" w:sz="8" w:color="CFF0FC"/>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jc w:val="right"/>
              <w:ind w:right="531"/>
              <w:spacing w:after="0"/>
              <w:rPr>
                <w:sz w:val="20"/>
                <w:szCs w:val="20"/>
                <w:color w:val="auto"/>
              </w:rPr>
            </w:pPr>
            <w:r>
              <w:rPr>
                <w:rFonts w:ascii="Arial" w:cs="Arial" w:eastAsia="Arial" w:hAnsi="Arial"/>
                <w:sz w:val="14"/>
                <w:szCs w:val="14"/>
                <w:b w:val="1"/>
                <w:bCs w:val="1"/>
                <w:color w:val="auto"/>
              </w:rPr>
              <w:t>2018</w:t>
            </w:r>
          </w:p>
        </w:tc>
        <w:tc>
          <w:tcPr>
            <w:tcW w:w="180" w:type="dxa"/>
            <w:vAlign w:val="bottom"/>
            <w:tcBorders>
              <w:bottom w:val="single" w:sz="8" w:color="CFF0FC"/>
            </w:tcBorders>
          </w:tcPr>
          <w:p>
            <w:pPr>
              <w:spacing w:after="0"/>
              <w:rPr>
                <w:sz w:val="14"/>
                <w:szCs w:val="14"/>
                <w:color w:val="auto"/>
              </w:rPr>
            </w:pPr>
          </w:p>
        </w:tc>
        <w:tc>
          <w:tcPr>
            <w:tcW w:w="80" w:type="dxa"/>
            <w:vAlign w:val="bottom"/>
            <w:tcBorders>
              <w:bottom w:val="single" w:sz="8" w:color="CFF0FC"/>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tcPr>
          <w:p>
            <w:pPr>
              <w:jc w:val="right"/>
              <w:ind w:right="551"/>
              <w:spacing w:after="0"/>
              <w:rPr>
                <w:sz w:val="20"/>
                <w:szCs w:val="20"/>
                <w:color w:val="auto"/>
              </w:rPr>
            </w:pPr>
            <w:r>
              <w:rPr>
                <w:rFonts w:ascii="Arial" w:cs="Arial" w:eastAsia="Arial" w:hAnsi="Arial"/>
                <w:sz w:val="14"/>
                <w:szCs w:val="14"/>
                <w:b w:val="1"/>
                <w:bCs w:val="1"/>
                <w:color w:val="auto"/>
              </w:rPr>
              <w:t>2017</w:t>
            </w:r>
          </w:p>
        </w:tc>
        <w:tc>
          <w:tcPr>
            <w:tcW w:w="120" w:type="dxa"/>
            <w:vAlign w:val="bottom"/>
            <w:tcBorders>
              <w:bottom w:val="single" w:sz="8" w:color="CFF0FC"/>
            </w:tcBorders>
          </w:tcPr>
          <w:p>
            <w:pPr>
              <w:spacing w:after="0"/>
              <w:rPr>
                <w:sz w:val="14"/>
                <w:szCs w:val="14"/>
                <w:color w:val="auto"/>
              </w:rPr>
            </w:pPr>
          </w:p>
        </w:tc>
      </w:tr>
      <w:tr>
        <w:trPr>
          <w:trHeight w:val="210"/>
        </w:trPr>
        <w:tc>
          <w:tcPr>
            <w:tcW w:w="5340" w:type="dxa"/>
            <w:vAlign w:val="bottom"/>
            <w:shd w:val="clear" w:color="auto" w:fill="CFF0FC"/>
          </w:tcPr>
          <w:p>
            <w:pPr>
              <w:spacing w:after="0"/>
              <w:rPr>
                <w:sz w:val="20"/>
                <w:szCs w:val="20"/>
                <w:color w:val="auto"/>
              </w:rPr>
            </w:pPr>
            <w:r>
              <w:rPr>
                <w:rFonts w:ascii="Arial" w:cs="Arial" w:eastAsia="Arial" w:hAnsi="Arial"/>
                <w:sz w:val="18"/>
                <w:szCs w:val="18"/>
                <w:color w:val="auto"/>
              </w:rPr>
              <w:t>Revenues</w:t>
            </w:r>
          </w:p>
        </w:tc>
        <w:tc>
          <w:tcPr>
            <w:tcW w:w="74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2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16"/>
        </w:trPr>
        <w:tc>
          <w:tcPr>
            <w:tcW w:w="5340" w:type="dxa"/>
            <w:vAlign w:val="bottom"/>
          </w:tcPr>
          <w:p>
            <w:pPr>
              <w:ind w:left="260"/>
              <w:spacing w:after="0"/>
              <w:rPr>
                <w:sz w:val="20"/>
                <w:szCs w:val="20"/>
                <w:color w:val="auto"/>
              </w:rPr>
            </w:pPr>
            <w:r>
              <w:rPr>
                <w:rFonts w:ascii="Arial" w:cs="Arial" w:eastAsia="Arial" w:hAnsi="Arial"/>
                <w:sz w:val="18"/>
                <w:szCs w:val="18"/>
                <w:color w:val="auto"/>
              </w:rPr>
              <w:t>Subscription and support</w:t>
            </w:r>
          </w:p>
        </w:tc>
        <w:tc>
          <w:tcPr>
            <w:tcW w:w="11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272,447</w:t>
            </w:r>
          </w:p>
        </w:tc>
        <w:tc>
          <w:tcPr>
            <w:tcW w:w="100" w:type="dxa"/>
            <w:vAlign w:val="bottom"/>
          </w:tcPr>
          <w:p>
            <w:pPr>
              <w:spacing w:after="0"/>
              <w:rPr>
                <w:sz w:val="18"/>
                <w:szCs w:val="18"/>
                <w:color w:val="auto"/>
              </w:rPr>
            </w:pPr>
          </w:p>
        </w:tc>
        <w:tc>
          <w:tcPr>
            <w:tcW w:w="5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217,406</w:t>
            </w:r>
          </w:p>
        </w:tc>
        <w:tc>
          <w:tcPr>
            <w:tcW w:w="180" w:type="dxa"/>
            <w:vAlign w:val="bottom"/>
          </w:tcPr>
          <w:p>
            <w:pPr>
              <w:spacing w:after="0"/>
              <w:rPr>
                <w:sz w:val="18"/>
                <w:szCs w:val="18"/>
                <w:color w:val="auto"/>
              </w:rPr>
            </w:pPr>
          </w:p>
        </w:tc>
        <w:tc>
          <w:tcPr>
            <w:tcW w:w="4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167,081</w:t>
            </w:r>
          </w:p>
        </w:tc>
        <w:tc>
          <w:tcPr>
            <w:tcW w:w="120" w:type="dxa"/>
            <w:vAlign w:val="bottom"/>
          </w:tcPr>
          <w:p>
            <w:pPr>
              <w:spacing w:after="0"/>
              <w:rPr>
                <w:sz w:val="18"/>
                <w:szCs w:val="18"/>
                <w:color w:val="auto"/>
              </w:rPr>
            </w:pPr>
          </w:p>
        </w:tc>
      </w:tr>
      <w:tr>
        <w:trPr>
          <w:trHeight w:val="216"/>
        </w:trPr>
        <w:tc>
          <w:tcPr>
            <w:tcW w:w="53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Professional services</w:t>
            </w:r>
          </w:p>
        </w:tc>
        <w:tc>
          <w:tcPr>
            <w:tcW w:w="740" w:type="dxa"/>
            <w:vAlign w:val="bottom"/>
            <w:shd w:val="clear" w:color="auto" w:fill="CFF0FC"/>
          </w:tcPr>
          <w:p>
            <w:pPr>
              <w:spacing w:after="0"/>
              <w:rPr>
                <w:sz w:val="18"/>
                <w:szCs w:val="18"/>
                <w:color w:val="auto"/>
              </w:rPr>
            </w:pPr>
          </w:p>
        </w:tc>
        <w:tc>
          <w:tcPr>
            <w:tcW w:w="360" w:type="dxa"/>
            <w:vAlign w:val="bottom"/>
            <w:tcBorders>
              <w:bottom w:val="single" w:sz="8" w:color="auto"/>
            </w:tcBorders>
            <w:shd w:val="clear" w:color="auto" w:fill="CFF0FC"/>
          </w:tcPr>
          <w:p>
            <w:pPr>
              <w:spacing w:after="0"/>
              <w:rPr>
                <w:sz w:val="18"/>
                <w:szCs w:val="18"/>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16,529</w:t>
            </w:r>
          </w:p>
        </w:tc>
        <w:tc>
          <w:tcPr>
            <w:tcW w:w="1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360" w:type="dxa"/>
            <w:vAlign w:val="bottom"/>
            <w:tcBorders>
              <w:bottom w:val="single" w:sz="8" w:color="auto"/>
            </w:tcBorders>
            <w:shd w:val="clear" w:color="auto" w:fill="CFF0FC"/>
          </w:tcPr>
          <w:p>
            <w:pPr>
              <w:spacing w:after="0"/>
              <w:rPr>
                <w:sz w:val="18"/>
                <w:szCs w:val="18"/>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10,382</w:t>
            </w:r>
          </w:p>
        </w:tc>
        <w:tc>
          <w:tcPr>
            <w:tcW w:w="18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360" w:type="dxa"/>
            <w:vAlign w:val="bottom"/>
            <w:tcBorders>
              <w:bottom w:val="single" w:sz="8" w:color="auto"/>
            </w:tcBorders>
            <w:shd w:val="clear" w:color="auto" w:fill="CFF0FC"/>
          </w:tcPr>
          <w:p>
            <w:pPr>
              <w:spacing w:after="0"/>
              <w:rPr>
                <w:sz w:val="18"/>
                <w:szCs w:val="18"/>
                <w:color w:val="auto"/>
              </w:rPr>
            </w:pPr>
          </w:p>
        </w:tc>
        <w:tc>
          <w:tcPr>
            <w:tcW w:w="12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8,522</w:t>
            </w:r>
          </w:p>
        </w:tc>
        <w:tc>
          <w:tcPr>
            <w:tcW w:w="120" w:type="dxa"/>
            <w:vAlign w:val="bottom"/>
            <w:shd w:val="clear" w:color="auto" w:fill="CFF0FC"/>
          </w:tcPr>
          <w:p>
            <w:pPr>
              <w:spacing w:after="0"/>
              <w:rPr>
                <w:sz w:val="18"/>
                <w:szCs w:val="18"/>
                <w:color w:val="auto"/>
              </w:rPr>
            </w:pPr>
          </w:p>
        </w:tc>
      </w:tr>
      <w:tr>
        <w:trPr>
          <w:trHeight w:val="210"/>
        </w:trPr>
        <w:tc>
          <w:tcPr>
            <w:tcW w:w="5340" w:type="dxa"/>
            <w:vAlign w:val="bottom"/>
            <w:tcBorders>
              <w:bottom w:val="single" w:sz="8" w:color="CFF0FC"/>
            </w:tcBorders>
          </w:tcPr>
          <w:p>
            <w:pPr>
              <w:ind w:left="380"/>
              <w:spacing w:after="0"/>
              <w:rPr>
                <w:sz w:val="20"/>
                <w:szCs w:val="20"/>
                <w:color w:val="auto"/>
              </w:rPr>
            </w:pPr>
            <w:r>
              <w:rPr>
                <w:rFonts w:ascii="Arial" w:cs="Arial" w:eastAsia="Arial" w:hAnsi="Arial"/>
                <w:sz w:val="18"/>
                <w:szCs w:val="18"/>
                <w:color w:val="auto"/>
              </w:rPr>
              <w:t>Total revenues</w:t>
            </w:r>
          </w:p>
        </w:tc>
        <w:tc>
          <w:tcPr>
            <w:tcW w:w="740" w:type="dxa"/>
            <w:vAlign w:val="bottom"/>
            <w:tcBorders>
              <w:bottom w:val="single" w:sz="8" w:color="CFF0FC"/>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288,976</w:t>
            </w:r>
          </w:p>
        </w:tc>
        <w:tc>
          <w:tcPr>
            <w:tcW w:w="100" w:type="dxa"/>
            <w:vAlign w:val="bottom"/>
            <w:tcBorders>
              <w:bottom w:val="single" w:sz="8" w:color="CFF0FC"/>
            </w:tcBorders>
          </w:tcPr>
          <w:p>
            <w:pPr>
              <w:spacing w:after="0"/>
              <w:rPr>
                <w:sz w:val="18"/>
                <w:szCs w:val="18"/>
                <w:color w:val="auto"/>
              </w:rPr>
            </w:pPr>
          </w:p>
        </w:tc>
        <w:tc>
          <w:tcPr>
            <w:tcW w:w="160" w:type="dxa"/>
            <w:vAlign w:val="bottom"/>
            <w:tcBorders>
              <w:bottom w:val="single" w:sz="8" w:color="CFF0FC"/>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227,788</w:t>
            </w:r>
          </w:p>
        </w:tc>
        <w:tc>
          <w:tcPr>
            <w:tcW w:w="180" w:type="dxa"/>
            <w:vAlign w:val="bottom"/>
            <w:tcBorders>
              <w:bottom w:val="single" w:sz="8" w:color="CFF0FC"/>
            </w:tcBorders>
          </w:tcPr>
          <w:p>
            <w:pPr>
              <w:spacing w:after="0"/>
              <w:rPr>
                <w:sz w:val="18"/>
                <w:szCs w:val="18"/>
                <w:color w:val="auto"/>
              </w:rPr>
            </w:pPr>
          </w:p>
        </w:tc>
        <w:tc>
          <w:tcPr>
            <w:tcW w:w="80" w:type="dxa"/>
            <w:vAlign w:val="bottom"/>
            <w:tcBorders>
              <w:bottom w:val="single" w:sz="8" w:color="CFF0FC"/>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175,603</w:t>
            </w:r>
          </w:p>
        </w:tc>
        <w:tc>
          <w:tcPr>
            <w:tcW w:w="120" w:type="dxa"/>
            <w:vAlign w:val="bottom"/>
            <w:tcBorders>
              <w:bottom w:val="single" w:sz="8" w:color="CFF0FC"/>
            </w:tcBorders>
          </w:tcPr>
          <w:p>
            <w:pPr>
              <w:spacing w:after="0"/>
              <w:rPr>
                <w:sz w:val="18"/>
                <w:szCs w:val="18"/>
                <w:color w:val="auto"/>
              </w:rPr>
            </w:pPr>
          </w:p>
        </w:tc>
      </w:tr>
      <w:tr>
        <w:trPr>
          <w:trHeight w:val="210"/>
        </w:trPr>
        <w:tc>
          <w:tcPr>
            <w:tcW w:w="5340" w:type="dxa"/>
            <w:vAlign w:val="bottom"/>
            <w:shd w:val="clear" w:color="auto" w:fill="CFF0FC"/>
          </w:tcPr>
          <w:p>
            <w:pPr>
              <w:spacing w:after="0"/>
              <w:rPr>
                <w:sz w:val="20"/>
                <w:szCs w:val="20"/>
                <w:color w:val="auto"/>
              </w:rPr>
            </w:pPr>
            <w:r>
              <w:rPr>
                <w:rFonts w:ascii="Arial" w:cs="Arial" w:eastAsia="Arial" w:hAnsi="Arial"/>
                <w:sz w:val="18"/>
                <w:szCs w:val="18"/>
                <w:color w:val="auto"/>
              </w:rPr>
              <w:t>Cost of revenues</w:t>
            </w:r>
          </w:p>
        </w:tc>
        <w:tc>
          <w:tcPr>
            <w:tcW w:w="74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2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16"/>
        </w:trPr>
        <w:tc>
          <w:tcPr>
            <w:tcW w:w="5340" w:type="dxa"/>
            <w:vAlign w:val="bottom"/>
          </w:tcPr>
          <w:p>
            <w:pPr>
              <w:ind w:left="260"/>
              <w:spacing w:after="0"/>
              <w:rPr>
                <w:sz w:val="20"/>
                <w:szCs w:val="20"/>
                <w:color w:val="auto"/>
              </w:rPr>
            </w:pPr>
            <w:r>
              <w:rPr>
                <w:rFonts w:ascii="Arial" w:cs="Arial" w:eastAsia="Arial" w:hAnsi="Arial"/>
                <w:sz w:val="18"/>
                <w:szCs w:val="18"/>
                <w:color w:val="auto"/>
              </w:rPr>
              <w:t>Subscription and support</w:t>
            </w:r>
          </w:p>
        </w:tc>
        <w:tc>
          <w:tcPr>
            <w:tcW w:w="7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44,968</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41,428</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33,530</w:t>
            </w:r>
          </w:p>
        </w:tc>
        <w:tc>
          <w:tcPr>
            <w:tcW w:w="120" w:type="dxa"/>
            <w:vAlign w:val="bottom"/>
          </w:tcPr>
          <w:p>
            <w:pPr>
              <w:spacing w:after="0"/>
              <w:rPr>
                <w:sz w:val="18"/>
                <w:szCs w:val="18"/>
                <w:color w:val="auto"/>
              </w:rPr>
            </w:pPr>
          </w:p>
        </w:tc>
      </w:tr>
      <w:tr>
        <w:trPr>
          <w:trHeight w:val="216"/>
        </w:trPr>
        <w:tc>
          <w:tcPr>
            <w:tcW w:w="53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Professional services</w:t>
            </w:r>
          </w:p>
        </w:tc>
        <w:tc>
          <w:tcPr>
            <w:tcW w:w="740" w:type="dxa"/>
            <w:vAlign w:val="bottom"/>
            <w:shd w:val="clear" w:color="auto" w:fill="CFF0FC"/>
          </w:tcPr>
          <w:p>
            <w:pPr>
              <w:spacing w:after="0"/>
              <w:rPr>
                <w:sz w:val="18"/>
                <w:szCs w:val="18"/>
                <w:color w:val="auto"/>
              </w:rPr>
            </w:pPr>
          </w:p>
        </w:tc>
        <w:tc>
          <w:tcPr>
            <w:tcW w:w="360" w:type="dxa"/>
            <w:vAlign w:val="bottom"/>
            <w:tcBorders>
              <w:bottom w:val="single" w:sz="8" w:color="auto"/>
            </w:tcBorders>
            <w:shd w:val="clear" w:color="auto" w:fill="CFF0FC"/>
          </w:tcPr>
          <w:p>
            <w:pPr>
              <w:spacing w:after="0"/>
              <w:rPr>
                <w:sz w:val="18"/>
                <w:szCs w:val="18"/>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14,007</w:t>
            </w:r>
          </w:p>
        </w:tc>
        <w:tc>
          <w:tcPr>
            <w:tcW w:w="1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360" w:type="dxa"/>
            <w:vAlign w:val="bottom"/>
            <w:tcBorders>
              <w:bottom w:val="single" w:sz="8" w:color="auto"/>
            </w:tcBorders>
            <w:shd w:val="clear" w:color="auto" w:fill="CFF0FC"/>
          </w:tcPr>
          <w:p>
            <w:pPr>
              <w:spacing w:after="0"/>
              <w:rPr>
                <w:sz w:val="18"/>
                <w:szCs w:val="18"/>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9,446</w:t>
            </w:r>
          </w:p>
        </w:tc>
        <w:tc>
          <w:tcPr>
            <w:tcW w:w="18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360" w:type="dxa"/>
            <w:vAlign w:val="bottom"/>
            <w:tcBorders>
              <w:bottom w:val="single" w:sz="8" w:color="auto"/>
            </w:tcBorders>
            <w:shd w:val="clear" w:color="auto" w:fill="CFF0FC"/>
          </w:tcPr>
          <w:p>
            <w:pPr>
              <w:spacing w:after="0"/>
              <w:rPr>
                <w:sz w:val="18"/>
                <w:szCs w:val="18"/>
                <w:color w:val="auto"/>
              </w:rPr>
            </w:pPr>
          </w:p>
        </w:tc>
        <w:tc>
          <w:tcPr>
            <w:tcW w:w="12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7,855</w:t>
            </w:r>
          </w:p>
        </w:tc>
        <w:tc>
          <w:tcPr>
            <w:tcW w:w="120" w:type="dxa"/>
            <w:vAlign w:val="bottom"/>
            <w:shd w:val="clear" w:color="auto" w:fill="CFF0FC"/>
          </w:tcPr>
          <w:p>
            <w:pPr>
              <w:spacing w:after="0"/>
              <w:rPr>
                <w:sz w:val="18"/>
                <w:szCs w:val="18"/>
                <w:color w:val="auto"/>
              </w:rPr>
            </w:pPr>
          </w:p>
        </w:tc>
      </w:tr>
      <w:tr>
        <w:trPr>
          <w:trHeight w:val="210"/>
        </w:trPr>
        <w:tc>
          <w:tcPr>
            <w:tcW w:w="5340" w:type="dxa"/>
            <w:vAlign w:val="bottom"/>
            <w:tcBorders>
              <w:bottom w:val="single" w:sz="8" w:color="CFF0FC"/>
            </w:tcBorders>
          </w:tcPr>
          <w:p>
            <w:pPr>
              <w:ind w:left="380"/>
              <w:spacing w:after="0"/>
              <w:rPr>
                <w:sz w:val="20"/>
                <w:szCs w:val="20"/>
                <w:color w:val="auto"/>
              </w:rPr>
            </w:pPr>
            <w:r>
              <w:rPr>
                <w:rFonts w:ascii="Arial" w:cs="Arial" w:eastAsia="Arial" w:hAnsi="Arial"/>
                <w:sz w:val="18"/>
                <w:szCs w:val="18"/>
                <w:color w:val="auto"/>
              </w:rPr>
              <w:t>Total cost of revenues</w:t>
            </w:r>
          </w:p>
        </w:tc>
        <w:tc>
          <w:tcPr>
            <w:tcW w:w="740" w:type="dxa"/>
            <w:vAlign w:val="bottom"/>
            <w:tcBorders>
              <w:bottom w:val="single" w:sz="8" w:color="CFF0FC"/>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58,975</w:t>
            </w:r>
          </w:p>
        </w:tc>
        <w:tc>
          <w:tcPr>
            <w:tcW w:w="100" w:type="dxa"/>
            <w:vAlign w:val="bottom"/>
            <w:tcBorders>
              <w:bottom w:val="single" w:sz="8" w:color="CFF0FC"/>
            </w:tcBorders>
          </w:tcPr>
          <w:p>
            <w:pPr>
              <w:spacing w:after="0"/>
              <w:rPr>
                <w:sz w:val="18"/>
                <w:szCs w:val="18"/>
                <w:color w:val="auto"/>
              </w:rPr>
            </w:pPr>
          </w:p>
        </w:tc>
        <w:tc>
          <w:tcPr>
            <w:tcW w:w="160" w:type="dxa"/>
            <w:vAlign w:val="bottom"/>
            <w:tcBorders>
              <w:bottom w:val="single" w:sz="8" w:color="CFF0FC"/>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50,874</w:t>
            </w:r>
          </w:p>
        </w:tc>
        <w:tc>
          <w:tcPr>
            <w:tcW w:w="180" w:type="dxa"/>
            <w:vAlign w:val="bottom"/>
            <w:tcBorders>
              <w:bottom w:val="single" w:sz="8" w:color="CFF0FC"/>
            </w:tcBorders>
          </w:tcPr>
          <w:p>
            <w:pPr>
              <w:spacing w:after="0"/>
              <w:rPr>
                <w:sz w:val="18"/>
                <w:szCs w:val="18"/>
                <w:color w:val="auto"/>
              </w:rPr>
            </w:pPr>
          </w:p>
        </w:tc>
        <w:tc>
          <w:tcPr>
            <w:tcW w:w="80" w:type="dxa"/>
            <w:vAlign w:val="bottom"/>
            <w:tcBorders>
              <w:bottom w:val="single" w:sz="8" w:color="CFF0FC"/>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41,385</w:t>
            </w:r>
          </w:p>
        </w:tc>
        <w:tc>
          <w:tcPr>
            <w:tcW w:w="120" w:type="dxa"/>
            <w:vAlign w:val="bottom"/>
            <w:tcBorders>
              <w:bottom w:val="single" w:sz="8" w:color="CFF0FC"/>
            </w:tcBorders>
          </w:tcPr>
          <w:p>
            <w:pPr>
              <w:spacing w:after="0"/>
              <w:rPr>
                <w:sz w:val="18"/>
                <w:szCs w:val="18"/>
                <w:color w:val="auto"/>
              </w:rPr>
            </w:pPr>
          </w:p>
        </w:tc>
      </w:tr>
      <w:tr>
        <w:trPr>
          <w:trHeight w:val="210"/>
        </w:trPr>
        <w:tc>
          <w:tcPr>
            <w:tcW w:w="5340" w:type="dxa"/>
            <w:vAlign w:val="bottom"/>
            <w:shd w:val="clear" w:color="auto" w:fill="CFF0FC"/>
          </w:tcPr>
          <w:p>
            <w:pPr>
              <w:spacing w:after="0"/>
              <w:rPr>
                <w:sz w:val="20"/>
                <w:szCs w:val="20"/>
                <w:color w:val="auto"/>
              </w:rPr>
            </w:pPr>
            <w:r>
              <w:rPr>
                <w:rFonts w:ascii="Arial" w:cs="Arial" w:eastAsia="Arial" w:hAnsi="Arial"/>
                <w:sz w:val="18"/>
                <w:szCs w:val="18"/>
                <w:color w:val="auto"/>
              </w:rPr>
              <w:t>Gross profit</w:t>
            </w:r>
          </w:p>
        </w:tc>
        <w:tc>
          <w:tcPr>
            <w:tcW w:w="740" w:type="dxa"/>
            <w:vAlign w:val="bottom"/>
            <w:shd w:val="clear" w:color="auto" w:fill="CFF0FC"/>
          </w:tcPr>
          <w:p>
            <w:pPr>
              <w:spacing w:after="0"/>
              <w:rPr>
                <w:sz w:val="18"/>
                <w:szCs w:val="18"/>
                <w:color w:val="auto"/>
              </w:rPr>
            </w:pPr>
          </w:p>
        </w:tc>
        <w:tc>
          <w:tcPr>
            <w:tcW w:w="360" w:type="dxa"/>
            <w:vAlign w:val="bottom"/>
            <w:tcBorders>
              <w:bottom w:val="single" w:sz="8" w:color="auto"/>
            </w:tcBorders>
            <w:shd w:val="clear" w:color="auto" w:fill="CFF0FC"/>
          </w:tcPr>
          <w:p>
            <w:pPr>
              <w:spacing w:after="0"/>
              <w:rPr>
                <w:sz w:val="18"/>
                <w:szCs w:val="18"/>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230,001</w:t>
            </w:r>
          </w:p>
        </w:tc>
        <w:tc>
          <w:tcPr>
            <w:tcW w:w="1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360" w:type="dxa"/>
            <w:vAlign w:val="bottom"/>
            <w:tcBorders>
              <w:bottom w:val="single" w:sz="8" w:color="auto"/>
            </w:tcBorders>
            <w:shd w:val="clear" w:color="auto" w:fill="CFF0FC"/>
          </w:tcPr>
          <w:p>
            <w:pPr>
              <w:spacing w:after="0"/>
              <w:rPr>
                <w:sz w:val="18"/>
                <w:szCs w:val="18"/>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176,914</w:t>
            </w:r>
          </w:p>
        </w:tc>
        <w:tc>
          <w:tcPr>
            <w:tcW w:w="18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360" w:type="dxa"/>
            <w:vAlign w:val="bottom"/>
            <w:tcBorders>
              <w:bottom w:val="single" w:sz="8" w:color="auto"/>
            </w:tcBorders>
            <w:shd w:val="clear" w:color="auto" w:fill="CFF0FC"/>
          </w:tcPr>
          <w:p>
            <w:pPr>
              <w:spacing w:after="0"/>
              <w:rPr>
                <w:sz w:val="18"/>
                <w:szCs w:val="18"/>
                <w:color w:val="auto"/>
              </w:rPr>
            </w:pPr>
          </w:p>
        </w:tc>
        <w:tc>
          <w:tcPr>
            <w:tcW w:w="12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134,218</w:t>
            </w:r>
          </w:p>
        </w:tc>
        <w:tc>
          <w:tcPr>
            <w:tcW w:w="120" w:type="dxa"/>
            <w:vAlign w:val="bottom"/>
            <w:shd w:val="clear" w:color="auto" w:fill="CFF0FC"/>
          </w:tcPr>
          <w:p>
            <w:pPr>
              <w:spacing w:after="0"/>
              <w:rPr>
                <w:sz w:val="18"/>
                <w:szCs w:val="18"/>
                <w:color w:val="auto"/>
              </w:rPr>
            </w:pPr>
          </w:p>
        </w:tc>
      </w:tr>
      <w:tr>
        <w:trPr>
          <w:trHeight w:val="210"/>
        </w:trPr>
        <w:tc>
          <w:tcPr>
            <w:tcW w:w="5340" w:type="dxa"/>
            <w:vAlign w:val="bottom"/>
          </w:tcPr>
          <w:p>
            <w:pPr>
              <w:spacing w:after="0"/>
              <w:rPr>
                <w:sz w:val="20"/>
                <w:szCs w:val="20"/>
                <w:color w:val="auto"/>
              </w:rPr>
            </w:pPr>
            <w:r>
              <w:rPr>
                <w:rFonts w:ascii="Arial" w:cs="Arial" w:eastAsia="Arial" w:hAnsi="Arial"/>
                <w:sz w:val="18"/>
                <w:szCs w:val="18"/>
                <w:color w:val="auto"/>
              </w:rPr>
              <w:t>Operating expenses</w:t>
            </w:r>
          </w:p>
        </w:tc>
        <w:tc>
          <w:tcPr>
            <w:tcW w:w="7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53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Sales and marketing</w:t>
            </w:r>
          </w:p>
        </w:tc>
        <w:tc>
          <w:tcPr>
            <w:tcW w:w="74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158,837</w:t>
            </w:r>
          </w:p>
        </w:tc>
        <w:tc>
          <w:tcPr>
            <w:tcW w:w="1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128,808</w:t>
            </w:r>
          </w:p>
        </w:tc>
        <w:tc>
          <w:tcPr>
            <w:tcW w:w="18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103,967</w:t>
            </w:r>
          </w:p>
        </w:tc>
        <w:tc>
          <w:tcPr>
            <w:tcW w:w="120" w:type="dxa"/>
            <w:vAlign w:val="bottom"/>
            <w:shd w:val="clear" w:color="auto" w:fill="CFF0FC"/>
          </w:tcPr>
          <w:p>
            <w:pPr>
              <w:spacing w:after="0"/>
              <w:rPr>
                <w:sz w:val="18"/>
                <w:szCs w:val="18"/>
                <w:color w:val="auto"/>
              </w:rPr>
            </w:pPr>
          </w:p>
        </w:tc>
      </w:tr>
      <w:tr>
        <w:trPr>
          <w:trHeight w:val="216"/>
        </w:trPr>
        <w:tc>
          <w:tcPr>
            <w:tcW w:w="5340" w:type="dxa"/>
            <w:vAlign w:val="bottom"/>
          </w:tcPr>
          <w:p>
            <w:pPr>
              <w:ind w:left="260"/>
              <w:spacing w:after="0"/>
              <w:rPr>
                <w:sz w:val="20"/>
                <w:szCs w:val="20"/>
                <w:color w:val="auto"/>
              </w:rPr>
            </w:pPr>
            <w:r>
              <w:rPr>
                <w:rFonts w:ascii="Arial" w:cs="Arial" w:eastAsia="Arial" w:hAnsi="Arial"/>
                <w:sz w:val="18"/>
                <w:szCs w:val="18"/>
                <w:color w:val="auto"/>
              </w:rPr>
              <w:t>Research and development</w:t>
            </w:r>
          </w:p>
        </w:tc>
        <w:tc>
          <w:tcPr>
            <w:tcW w:w="7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43,006</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30,754</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23,874</w:t>
            </w:r>
          </w:p>
        </w:tc>
        <w:tc>
          <w:tcPr>
            <w:tcW w:w="120" w:type="dxa"/>
            <w:vAlign w:val="bottom"/>
          </w:tcPr>
          <w:p>
            <w:pPr>
              <w:spacing w:after="0"/>
              <w:rPr>
                <w:sz w:val="18"/>
                <w:szCs w:val="18"/>
                <w:color w:val="auto"/>
              </w:rPr>
            </w:pPr>
          </w:p>
        </w:tc>
      </w:tr>
      <w:tr>
        <w:trPr>
          <w:trHeight w:val="216"/>
        </w:trPr>
        <w:tc>
          <w:tcPr>
            <w:tcW w:w="53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General and administrative</w:t>
            </w:r>
          </w:p>
        </w:tc>
        <w:tc>
          <w:tcPr>
            <w:tcW w:w="740" w:type="dxa"/>
            <w:vAlign w:val="bottom"/>
            <w:shd w:val="clear" w:color="auto" w:fill="CFF0FC"/>
          </w:tcPr>
          <w:p>
            <w:pPr>
              <w:spacing w:after="0"/>
              <w:rPr>
                <w:sz w:val="18"/>
                <w:szCs w:val="18"/>
                <w:color w:val="auto"/>
              </w:rPr>
            </w:pPr>
          </w:p>
        </w:tc>
        <w:tc>
          <w:tcPr>
            <w:tcW w:w="360" w:type="dxa"/>
            <w:vAlign w:val="bottom"/>
            <w:tcBorders>
              <w:bottom w:val="single" w:sz="8" w:color="auto"/>
            </w:tcBorders>
            <w:shd w:val="clear" w:color="auto" w:fill="CFF0FC"/>
          </w:tcPr>
          <w:p>
            <w:pPr>
              <w:spacing w:after="0"/>
              <w:rPr>
                <w:sz w:val="18"/>
                <w:szCs w:val="18"/>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56,057</w:t>
            </w:r>
          </w:p>
        </w:tc>
        <w:tc>
          <w:tcPr>
            <w:tcW w:w="1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360" w:type="dxa"/>
            <w:vAlign w:val="bottom"/>
            <w:tcBorders>
              <w:bottom w:val="single" w:sz="8" w:color="auto"/>
            </w:tcBorders>
            <w:shd w:val="clear" w:color="auto" w:fill="CFF0FC"/>
          </w:tcPr>
          <w:p>
            <w:pPr>
              <w:spacing w:after="0"/>
              <w:rPr>
                <w:sz w:val="18"/>
                <w:szCs w:val="18"/>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47,188</w:t>
            </w:r>
          </w:p>
        </w:tc>
        <w:tc>
          <w:tcPr>
            <w:tcW w:w="18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360" w:type="dxa"/>
            <w:vAlign w:val="bottom"/>
            <w:tcBorders>
              <w:bottom w:val="single" w:sz="8" w:color="auto"/>
            </w:tcBorders>
            <w:shd w:val="clear" w:color="auto" w:fill="CFF0FC"/>
          </w:tcPr>
          <w:p>
            <w:pPr>
              <w:spacing w:after="0"/>
              <w:rPr>
                <w:sz w:val="18"/>
                <w:szCs w:val="18"/>
                <w:color w:val="auto"/>
              </w:rPr>
            </w:pPr>
          </w:p>
        </w:tc>
        <w:tc>
          <w:tcPr>
            <w:tcW w:w="12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36,786</w:t>
            </w:r>
          </w:p>
        </w:tc>
        <w:tc>
          <w:tcPr>
            <w:tcW w:w="120" w:type="dxa"/>
            <w:vAlign w:val="bottom"/>
            <w:shd w:val="clear" w:color="auto" w:fill="CFF0FC"/>
          </w:tcPr>
          <w:p>
            <w:pPr>
              <w:spacing w:after="0"/>
              <w:rPr>
                <w:sz w:val="18"/>
                <w:szCs w:val="18"/>
                <w:color w:val="auto"/>
              </w:rPr>
            </w:pPr>
          </w:p>
        </w:tc>
      </w:tr>
      <w:tr>
        <w:trPr>
          <w:trHeight w:val="210"/>
        </w:trPr>
        <w:tc>
          <w:tcPr>
            <w:tcW w:w="5340" w:type="dxa"/>
            <w:vAlign w:val="bottom"/>
            <w:tcBorders>
              <w:bottom w:val="single" w:sz="8" w:color="CFF0FC"/>
            </w:tcBorders>
          </w:tcPr>
          <w:p>
            <w:pPr>
              <w:ind w:left="380"/>
              <w:spacing w:after="0"/>
              <w:rPr>
                <w:sz w:val="20"/>
                <w:szCs w:val="20"/>
                <w:color w:val="auto"/>
              </w:rPr>
            </w:pPr>
            <w:r>
              <w:rPr>
                <w:rFonts w:ascii="Arial" w:cs="Arial" w:eastAsia="Arial" w:hAnsi="Arial"/>
                <w:sz w:val="18"/>
                <w:szCs w:val="18"/>
                <w:color w:val="auto"/>
              </w:rPr>
              <w:t>Total operating expenses</w:t>
            </w:r>
          </w:p>
        </w:tc>
        <w:tc>
          <w:tcPr>
            <w:tcW w:w="740" w:type="dxa"/>
            <w:vAlign w:val="bottom"/>
            <w:tcBorders>
              <w:bottom w:val="single" w:sz="8" w:color="CFF0FC"/>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257,900</w:t>
            </w:r>
          </w:p>
        </w:tc>
        <w:tc>
          <w:tcPr>
            <w:tcW w:w="100" w:type="dxa"/>
            <w:vAlign w:val="bottom"/>
            <w:tcBorders>
              <w:bottom w:val="single" w:sz="8" w:color="CFF0FC"/>
            </w:tcBorders>
          </w:tcPr>
          <w:p>
            <w:pPr>
              <w:spacing w:after="0"/>
              <w:rPr>
                <w:sz w:val="18"/>
                <w:szCs w:val="18"/>
                <w:color w:val="auto"/>
              </w:rPr>
            </w:pPr>
          </w:p>
        </w:tc>
        <w:tc>
          <w:tcPr>
            <w:tcW w:w="160" w:type="dxa"/>
            <w:vAlign w:val="bottom"/>
            <w:tcBorders>
              <w:bottom w:val="single" w:sz="8" w:color="CFF0FC"/>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206,750</w:t>
            </w:r>
          </w:p>
        </w:tc>
        <w:tc>
          <w:tcPr>
            <w:tcW w:w="180" w:type="dxa"/>
            <w:vAlign w:val="bottom"/>
            <w:tcBorders>
              <w:bottom w:val="single" w:sz="8" w:color="CFF0FC"/>
            </w:tcBorders>
          </w:tcPr>
          <w:p>
            <w:pPr>
              <w:spacing w:after="0"/>
              <w:rPr>
                <w:sz w:val="18"/>
                <w:szCs w:val="18"/>
                <w:color w:val="auto"/>
              </w:rPr>
            </w:pPr>
          </w:p>
        </w:tc>
        <w:tc>
          <w:tcPr>
            <w:tcW w:w="80" w:type="dxa"/>
            <w:vAlign w:val="bottom"/>
            <w:tcBorders>
              <w:bottom w:val="single" w:sz="8" w:color="CFF0FC"/>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164,627</w:t>
            </w:r>
          </w:p>
        </w:tc>
        <w:tc>
          <w:tcPr>
            <w:tcW w:w="120" w:type="dxa"/>
            <w:vAlign w:val="bottom"/>
            <w:tcBorders>
              <w:bottom w:val="single" w:sz="8" w:color="CFF0FC"/>
            </w:tcBorders>
          </w:tcPr>
          <w:p>
            <w:pPr>
              <w:spacing w:after="0"/>
              <w:rPr>
                <w:sz w:val="18"/>
                <w:szCs w:val="18"/>
                <w:color w:val="auto"/>
              </w:rPr>
            </w:pPr>
          </w:p>
        </w:tc>
      </w:tr>
      <w:tr>
        <w:trPr>
          <w:trHeight w:val="210"/>
        </w:trPr>
        <w:tc>
          <w:tcPr>
            <w:tcW w:w="5340" w:type="dxa"/>
            <w:vAlign w:val="bottom"/>
            <w:shd w:val="clear" w:color="auto" w:fill="CFF0FC"/>
          </w:tcPr>
          <w:p>
            <w:pPr>
              <w:spacing w:after="0"/>
              <w:rPr>
                <w:sz w:val="20"/>
                <w:szCs w:val="20"/>
                <w:color w:val="auto"/>
              </w:rPr>
            </w:pPr>
            <w:r>
              <w:rPr>
                <w:rFonts w:ascii="Arial" w:cs="Arial" w:eastAsia="Arial" w:hAnsi="Arial"/>
                <w:sz w:val="18"/>
                <w:szCs w:val="18"/>
                <w:color w:val="auto"/>
              </w:rPr>
              <w:t>Loss from operations</w:t>
            </w:r>
          </w:p>
        </w:tc>
        <w:tc>
          <w:tcPr>
            <w:tcW w:w="74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30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(27,899)</w:t>
            </w:r>
          </w:p>
        </w:tc>
        <w:tc>
          <w:tcPr>
            <w:tcW w:w="16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38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(29,836)</w:t>
            </w:r>
          </w:p>
        </w:tc>
        <w:tc>
          <w:tcPr>
            <w:tcW w:w="8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34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(30,409)</w:t>
            </w:r>
          </w:p>
        </w:tc>
      </w:tr>
      <w:tr>
        <w:trPr>
          <w:trHeight w:val="210"/>
        </w:trPr>
        <w:tc>
          <w:tcPr>
            <w:tcW w:w="5340" w:type="dxa"/>
            <w:vAlign w:val="bottom"/>
          </w:tcPr>
          <w:p>
            <w:pPr>
              <w:spacing w:after="0"/>
              <w:rPr>
                <w:sz w:val="20"/>
                <w:szCs w:val="20"/>
                <w:color w:val="auto"/>
              </w:rPr>
            </w:pPr>
            <w:r>
              <w:rPr>
                <w:rFonts w:ascii="Arial" w:cs="Arial" w:eastAsia="Arial" w:hAnsi="Arial"/>
                <w:sz w:val="18"/>
                <w:szCs w:val="18"/>
                <w:color w:val="auto"/>
              </w:rPr>
              <w:t>Other income (expense)</w:t>
            </w:r>
          </w:p>
        </w:tc>
        <w:tc>
          <w:tcPr>
            <w:tcW w:w="740" w:type="dxa"/>
            <w:vAlign w:val="bottom"/>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53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Interest income</w:t>
            </w:r>
          </w:p>
        </w:tc>
        <w:tc>
          <w:tcPr>
            <w:tcW w:w="74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6,128</w:t>
            </w:r>
          </w:p>
        </w:tc>
        <w:tc>
          <w:tcPr>
            <w:tcW w:w="1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2,136</w:t>
            </w:r>
          </w:p>
        </w:tc>
        <w:tc>
          <w:tcPr>
            <w:tcW w:w="18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1,069</w:t>
            </w:r>
          </w:p>
        </w:tc>
        <w:tc>
          <w:tcPr>
            <w:tcW w:w="120" w:type="dxa"/>
            <w:vAlign w:val="bottom"/>
            <w:shd w:val="clear" w:color="auto" w:fill="CFF0FC"/>
          </w:tcPr>
          <w:p>
            <w:pPr>
              <w:spacing w:after="0"/>
              <w:rPr>
                <w:sz w:val="18"/>
                <w:szCs w:val="18"/>
                <w:color w:val="auto"/>
              </w:rPr>
            </w:pPr>
          </w:p>
        </w:tc>
      </w:tr>
      <w:tr>
        <w:trPr>
          <w:trHeight w:val="216"/>
        </w:trPr>
        <w:tc>
          <w:tcPr>
            <w:tcW w:w="5340" w:type="dxa"/>
            <w:vAlign w:val="bottom"/>
          </w:tcPr>
          <w:p>
            <w:pPr>
              <w:ind w:left="260"/>
              <w:spacing w:after="0"/>
              <w:rPr>
                <w:sz w:val="20"/>
                <w:szCs w:val="20"/>
                <w:color w:val="auto"/>
              </w:rPr>
            </w:pPr>
            <w:r>
              <w:rPr>
                <w:rFonts w:ascii="Arial" w:cs="Arial" w:eastAsia="Arial" w:hAnsi="Arial"/>
                <w:sz w:val="18"/>
                <w:szCs w:val="18"/>
                <w:color w:val="auto"/>
              </w:rPr>
              <w:t>Interest expense</w:t>
            </w:r>
          </w:p>
        </w:tc>
        <w:tc>
          <w:tcPr>
            <w:tcW w:w="7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00" w:type="dxa"/>
            <w:vAlign w:val="bottom"/>
            <w:gridSpan w:val="2"/>
          </w:tcPr>
          <w:p>
            <w:pPr>
              <w:jc w:val="right"/>
              <w:ind w:right="40"/>
              <w:spacing w:after="0"/>
              <w:rPr>
                <w:sz w:val="20"/>
                <w:szCs w:val="20"/>
                <w:color w:val="auto"/>
              </w:rPr>
            </w:pPr>
            <w:r>
              <w:rPr>
                <w:rFonts w:ascii="Arial" w:cs="Arial" w:eastAsia="Arial" w:hAnsi="Arial"/>
                <w:sz w:val="18"/>
                <w:szCs w:val="18"/>
                <w:color w:val="auto"/>
              </w:rPr>
              <w:t>(8,650)</w:t>
            </w:r>
          </w:p>
        </w:tc>
        <w:tc>
          <w:tcPr>
            <w:tcW w:w="1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80" w:type="dxa"/>
            <w:vAlign w:val="bottom"/>
            <w:gridSpan w:val="2"/>
          </w:tcPr>
          <w:p>
            <w:pPr>
              <w:jc w:val="right"/>
              <w:ind w:right="120"/>
              <w:spacing w:after="0"/>
              <w:rPr>
                <w:sz w:val="20"/>
                <w:szCs w:val="20"/>
                <w:color w:val="auto"/>
              </w:rPr>
            </w:pPr>
            <w:r>
              <w:rPr>
                <w:rFonts w:ascii="Arial" w:cs="Arial" w:eastAsia="Arial" w:hAnsi="Arial"/>
                <w:sz w:val="18"/>
                <w:szCs w:val="18"/>
                <w:color w:val="auto"/>
              </w:rPr>
              <w:t>(4)</w:t>
            </w: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40" w:type="dxa"/>
            <w:vAlign w:val="bottom"/>
            <w:gridSpan w:val="2"/>
          </w:tcPr>
          <w:p>
            <w:pPr>
              <w:jc w:val="right"/>
              <w:ind w:right="60"/>
              <w:spacing w:after="0"/>
              <w:rPr>
                <w:sz w:val="20"/>
                <w:szCs w:val="20"/>
                <w:color w:val="auto"/>
              </w:rPr>
            </w:pPr>
            <w:r>
              <w:rPr>
                <w:rFonts w:ascii="Arial" w:cs="Arial" w:eastAsia="Arial" w:hAnsi="Arial"/>
                <w:sz w:val="18"/>
                <w:szCs w:val="18"/>
                <w:color w:val="auto"/>
              </w:rPr>
              <w:t>(13)</w:t>
            </w:r>
          </w:p>
        </w:tc>
      </w:tr>
      <w:tr>
        <w:trPr>
          <w:trHeight w:val="215"/>
        </w:trPr>
        <w:tc>
          <w:tcPr>
            <w:tcW w:w="53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Change in fair value of the common</w:t>
            </w:r>
          </w:p>
        </w:tc>
        <w:tc>
          <w:tcPr>
            <w:tcW w:w="74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2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03"/>
        </w:trPr>
        <w:tc>
          <w:tcPr>
            <w:tcW w:w="5340" w:type="dxa"/>
            <w:vAlign w:val="bottom"/>
            <w:shd w:val="clear" w:color="auto" w:fill="CFF0FC"/>
          </w:tcPr>
          <w:p>
            <w:pPr>
              <w:ind w:left="400"/>
              <w:spacing w:after="0" w:line="203" w:lineRule="exact"/>
              <w:rPr>
                <w:sz w:val="20"/>
                <w:szCs w:val="20"/>
                <w:color w:val="auto"/>
              </w:rPr>
            </w:pPr>
            <w:r>
              <w:rPr>
                <w:rFonts w:ascii="Arial" w:cs="Arial" w:eastAsia="Arial" w:hAnsi="Arial"/>
                <w:sz w:val="18"/>
                <w:szCs w:val="18"/>
                <w:color w:val="auto"/>
              </w:rPr>
              <w:t>stock warrant liability</w:t>
            </w:r>
          </w:p>
        </w:tc>
        <w:tc>
          <w:tcPr>
            <w:tcW w:w="74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1200" w:type="dxa"/>
            <w:vAlign w:val="bottom"/>
            <w:shd w:val="clear" w:color="auto" w:fill="CFF0FC"/>
          </w:tcPr>
          <w:p>
            <w:pPr>
              <w:jc w:val="right"/>
              <w:spacing w:after="0" w:line="203" w:lineRule="exact"/>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1200" w:type="dxa"/>
            <w:vAlign w:val="bottom"/>
            <w:shd w:val="clear" w:color="auto" w:fill="CFF0FC"/>
          </w:tcPr>
          <w:p>
            <w:pPr>
              <w:jc w:val="right"/>
              <w:spacing w:after="0" w:line="203" w:lineRule="exact"/>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1340" w:type="dxa"/>
            <w:vAlign w:val="bottom"/>
            <w:gridSpan w:val="2"/>
            <w:shd w:val="clear" w:color="auto" w:fill="CFF0FC"/>
          </w:tcPr>
          <w:p>
            <w:pPr>
              <w:jc w:val="right"/>
              <w:ind w:right="60"/>
              <w:spacing w:after="0" w:line="203" w:lineRule="exact"/>
              <w:rPr>
                <w:sz w:val="20"/>
                <w:szCs w:val="20"/>
                <w:color w:val="auto"/>
              </w:rPr>
            </w:pPr>
            <w:r>
              <w:rPr>
                <w:rFonts w:ascii="Arial" w:cs="Arial" w:eastAsia="Arial" w:hAnsi="Arial"/>
                <w:sz w:val="18"/>
                <w:szCs w:val="18"/>
                <w:color w:val="auto"/>
              </w:rPr>
              <w:t>(3,490)</w:t>
            </w:r>
          </w:p>
        </w:tc>
      </w:tr>
      <w:tr>
        <w:trPr>
          <w:trHeight w:val="20"/>
        </w:trPr>
        <w:tc>
          <w:tcPr>
            <w:tcW w:w="53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10"/>
        </w:trPr>
        <w:tc>
          <w:tcPr>
            <w:tcW w:w="5340" w:type="dxa"/>
            <w:vAlign w:val="bottom"/>
          </w:tcPr>
          <w:p>
            <w:pPr>
              <w:spacing w:after="0"/>
              <w:rPr>
                <w:sz w:val="20"/>
                <w:szCs w:val="20"/>
                <w:color w:val="auto"/>
              </w:rPr>
            </w:pPr>
            <w:r>
              <w:rPr>
                <w:rFonts w:ascii="Arial" w:cs="Arial" w:eastAsia="Arial" w:hAnsi="Arial"/>
                <w:sz w:val="18"/>
                <w:szCs w:val="18"/>
                <w:color w:val="auto"/>
              </w:rPr>
              <w:t>Other income (expense), net</w:t>
            </w:r>
          </w:p>
        </w:tc>
        <w:tc>
          <w:tcPr>
            <w:tcW w:w="7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00" w:type="dxa"/>
            <w:vAlign w:val="bottom"/>
            <w:gridSpan w:val="2"/>
          </w:tcPr>
          <w:p>
            <w:pPr>
              <w:jc w:val="right"/>
              <w:ind w:right="40"/>
              <w:spacing w:after="0"/>
              <w:rPr>
                <w:sz w:val="20"/>
                <w:szCs w:val="20"/>
                <w:color w:val="auto"/>
              </w:rPr>
            </w:pPr>
            <w:r>
              <w:rPr>
                <w:rFonts w:ascii="Arial" w:cs="Arial" w:eastAsia="Arial" w:hAnsi="Arial"/>
                <w:sz w:val="18"/>
                <w:szCs w:val="18"/>
                <w:color w:val="auto"/>
              </w:rPr>
              <w:t>(2,522)</w:t>
            </w:r>
          </w:p>
        </w:tc>
        <w:tc>
          <w:tcPr>
            <w:tcW w:w="1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2,132</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40" w:type="dxa"/>
            <w:vAlign w:val="bottom"/>
            <w:gridSpan w:val="2"/>
          </w:tcPr>
          <w:p>
            <w:pPr>
              <w:jc w:val="right"/>
              <w:ind w:right="60"/>
              <w:spacing w:after="0"/>
              <w:rPr>
                <w:sz w:val="20"/>
                <w:szCs w:val="20"/>
                <w:color w:val="auto"/>
              </w:rPr>
            </w:pPr>
            <w:r>
              <w:rPr>
                <w:rFonts w:ascii="Arial" w:cs="Arial" w:eastAsia="Arial" w:hAnsi="Arial"/>
                <w:sz w:val="18"/>
                <w:szCs w:val="18"/>
                <w:color w:val="auto"/>
              </w:rPr>
              <w:t>(2,434)</w:t>
            </w:r>
          </w:p>
        </w:tc>
      </w:tr>
      <w:tr>
        <w:trPr>
          <w:trHeight w:val="20"/>
        </w:trPr>
        <w:tc>
          <w:tcPr>
            <w:tcW w:w="5340" w:type="dxa"/>
            <w:vAlign w:val="bottom"/>
            <w:shd w:val="clear" w:color="auto" w:fill="CFF0FC"/>
          </w:tcPr>
          <w:p>
            <w:pPr>
              <w:spacing w:after="0" w:line="20" w:lineRule="exact"/>
              <w:rPr>
                <w:sz w:val="1"/>
                <w:szCs w:val="1"/>
                <w:color w:val="auto"/>
              </w:rPr>
            </w:pPr>
          </w:p>
        </w:tc>
        <w:tc>
          <w:tcPr>
            <w:tcW w:w="740" w:type="dxa"/>
            <w:vAlign w:val="bottom"/>
            <w:shd w:val="clear" w:color="auto" w:fill="CFF0FC"/>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r>
      <w:tr>
        <w:trPr>
          <w:trHeight w:val="210"/>
        </w:trPr>
        <w:tc>
          <w:tcPr>
            <w:tcW w:w="5340" w:type="dxa"/>
            <w:vAlign w:val="bottom"/>
            <w:shd w:val="clear" w:color="auto" w:fill="CFF0FC"/>
          </w:tcPr>
          <w:p>
            <w:pPr>
              <w:spacing w:after="0"/>
              <w:rPr>
                <w:sz w:val="20"/>
                <w:szCs w:val="20"/>
                <w:color w:val="auto"/>
              </w:rPr>
            </w:pPr>
            <w:r>
              <w:rPr>
                <w:rFonts w:ascii="Arial" w:cs="Arial" w:eastAsia="Arial" w:hAnsi="Arial"/>
                <w:sz w:val="18"/>
                <w:szCs w:val="18"/>
                <w:color w:val="auto"/>
              </w:rPr>
              <w:t>Loss before income taxes</w:t>
            </w:r>
          </w:p>
        </w:tc>
        <w:tc>
          <w:tcPr>
            <w:tcW w:w="74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30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(30,421)</w:t>
            </w:r>
          </w:p>
        </w:tc>
        <w:tc>
          <w:tcPr>
            <w:tcW w:w="16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38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(27,704)</w:t>
            </w:r>
          </w:p>
        </w:tc>
        <w:tc>
          <w:tcPr>
            <w:tcW w:w="8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34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(32,843)</w:t>
            </w:r>
          </w:p>
        </w:tc>
      </w:tr>
      <w:tr>
        <w:trPr>
          <w:trHeight w:val="216"/>
        </w:trPr>
        <w:tc>
          <w:tcPr>
            <w:tcW w:w="534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Provision for income taxes</w:t>
            </w:r>
          </w:p>
        </w:tc>
        <w:tc>
          <w:tcPr>
            <w:tcW w:w="740" w:type="dxa"/>
            <w:vAlign w:val="bottom"/>
            <w:tcBorders>
              <w:bottom w:val="single" w:sz="8" w:color="CFF0FC"/>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1,725</w:t>
            </w:r>
          </w:p>
        </w:tc>
        <w:tc>
          <w:tcPr>
            <w:tcW w:w="100" w:type="dxa"/>
            <w:vAlign w:val="bottom"/>
            <w:tcBorders>
              <w:bottom w:val="single" w:sz="8" w:color="CFF0FC"/>
            </w:tcBorders>
          </w:tcPr>
          <w:p>
            <w:pPr>
              <w:spacing w:after="0"/>
              <w:rPr>
                <w:sz w:val="18"/>
                <w:szCs w:val="18"/>
                <w:color w:val="auto"/>
              </w:rPr>
            </w:pPr>
          </w:p>
        </w:tc>
        <w:tc>
          <w:tcPr>
            <w:tcW w:w="160" w:type="dxa"/>
            <w:vAlign w:val="bottom"/>
            <w:tcBorders>
              <w:bottom w:val="single" w:sz="8" w:color="CFF0FC"/>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1,072</w:t>
            </w:r>
          </w:p>
        </w:tc>
        <w:tc>
          <w:tcPr>
            <w:tcW w:w="180" w:type="dxa"/>
            <w:vAlign w:val="bottom"/>
            <w:tcBorders>
              <w:bottom w:val="single" w:sz="8" w:color="CFF0FC"/>
            </w:tcBorders>
          </w:tcPr>
          <w:p>
            <w:pPr>
              <w:spacing w:after="0"/>
              <w:rPr>
                <w:sz w:val="18"/>
                <w:szCs w:val="18"/>
                <w:color w:val="auto"/>
              </w:rPr>
            </w:pPr>
          </w:p>
        </w:tc>
        <w:tc>
          <w:tcPr>
            <w:tcW w:w="80" w:type="dxa"/>
            <w:vAlign w:val="bottom"/>
            <w:tcBorders>
              <w:bottom w:val="single" w:sz="8" w:color="CFF0FC"/>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565</w:t>
            </w:r>
          </w:p>
        </w:tc>
        <w:tc>
          <w:tcPr>
            <w:tcW w:w="120" w:type="dxa"/>
            <w:vAlign w:val="bottom"/>
            <w:tcBorders>
              <w:bottom w:val="single" w:sz="8" w:color="CFF0FC"/>
            </w:tcBorders>
          </w:tcPr>
          <w:p>
            <w:pPr>
              <w:spacing w:after="0"/>
              <w:rPr>
                <w:sz w:val="18"/>
                <w:szCs w:val="18"/>
                <w:color w:val="auto"/>
              </w:rPr>
            </w:pPr>
          </w:p>
        </w:tc>
      </w:tr>
      <w:tr>
        <w:trPr>
          <w:trHeight w:val="210"/>
        </w:trPr>
        <w:tc>
          <w:tcPr>
            <w:tcW w:w="5340" w:type="dxa"/>
            <w:vAlign w:val="bottom"/>
            <w:shd w:val="clear" w:color="auto" w:fill="CFF0FC"/>
          </w:tcPr>
          <w:p>
            <w:pPr>
              <w:spacing w:after="0"/>
              <w:rPr>
                <w:sz w:val="20"/>
                <w:szCs w:val="20"/>
                <w:color w:val="auto"/>
              </w:rPr>
            </w:pPr>
            <w:r>
              <w:rPr>
                <w:rFonts w:ascii="Arial" w:cs="Arial" w:eastAsia="Arial" w:hAnsi="Arial"/>
                <w:sz w:val="18"/>
                <w:szCs w:val="18"/>
                <w:color w:val="auto"/>
              </w:rPr>
              <w:t>Net loss</w:t>
            </w:r>
          </w:p>
        </w:tc>
        <w:tc>
          <w:tcPr>
            <w:tcW w:w="74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30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(32,146)</w:t>
            </w:r>
          </w:p>
        </w:tc>
        <w:tc>
          <w:tcPr>
            <w:tcW w:w="16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38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(28,776)</w:t>
            </w:r>
          </w:p>
        </w:tc>
        <w:tc>
          <w:tcPr>
            <w:tcW w:w="8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34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(33,408)</w:t>
            </w:r>
          </w:p>
        </w:tc>
      </w:tr>
      <w:tr>
        <w:trPr>
          <w:trHeight w:val="20"/>
        </w:trPr>
        <w:tc>
          <w:tcPr>
            <w:tcW w:w="53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10"/>
        </w:trPr>
        <w:tc>
          <w:tcPr>
            <w:tcW w:w="5340" w:type="dxa"/>
            <w:vAlign w:val="bottom"/>
          </w:tcPr>
          <w:p>
            <w:pPr>
              <w:spacing w:after="0"/>
              <w:rPr>
                <w:sz w:val="20"/>
                <w:szCs w:val="20"/>
                <w:color w:val="auto"/>
              </w:rPr>
            </w:pPr>
            <w:r>
              <w:rPr>
                <w:rFonts w:ascii="Arial" w:cs="Arial" w:eastAsia="Arial" w:hAnsi="Arial"/>
                <w:sz w:val="18"/>
                <w:szCs w:val="18"/>
                <w:color w:val="auto"/>
              </w:rPr>
              <w:t>Net loss attributable to non-controlling interest (note 4)</w:t>
            </w:r>
          </w:p>
        </w:tc>
        <w:tc>
          <w:tcPr>
            <w:tcW w:w="7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00" w:type="dxa"/>
            <w:vAlign w:val="bottom"/>
            <w:gridSpan w:val="2"/>
          </w:tcPr>
          <w:p>
            <w:pPr>
              <w:jc w:val="right"/>
              <w:ind w:right="40"/>
              <w:spacing w:after="0"/>
              <w:rPr>
                <w:sz w:val="20"/>
                <w:szCs w:val="20"/>
                <w:color w:val="auto"/>
              </w:rPr>
            </w:pPr>
            <w:r>
              <w:rPr>
                <w:rFonts w:ascii="Arial" w:cs="Arial" w:eastAsia="Arial" w:hAnsi="Arial"/>
                <w:sz w:val="18"/>
                <w:szCs w:val="18"/>
                <w:color w:val="auto"/>
              </w:rPr>
              <w:t>(1,444)</w:t>
            </w:r>
          </w:p>
        </w:tc>
        <w:tc>
          <w:tcPr>
            <w:tcW w:w="1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80" w:type="dxa"/>
            <w:vAlign w:val="bottom"/>
            <w:gridSpan w:val="2"/>
          </w:tcPr>
          <w:p>
            <w:pPr>
              <w:jc w:val="right"/>
              <w:ind w:right="120"/>
              <w:spacing w:after="0"/>
              <w:rPr>
                <w:sz w:val="20"/>
                <w:szCs w:val="20"/>
                <w:color w:val="auto"/>
              </w:rPr>
            </w:pPr>
            <w:r>
              <w:rPr>
                <w:rFonts w:ascii="Arial" w:cs="Arial" w:eastAsia="Arial" w:hAnsi="Arial"/>
                <w:sz w:val="18"/>
                <w:szCs w:val="18"/>
                <w:color w:val="auto"/>
              </w:rPr>
              <w:t>(62)</w:t>
            </w: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r>
      <w:tr>
        <w:trPr>
          <w:trHeight w:val="216"/>
        </w:trPr>
        <w:tc>
          <w:tcPr>
            <w:tcW w:w="5340" w:type="dxa"/>
            <w:vAlign w:val="bottom"/>
            <w:shd w:val="clear" w:color="auto" w:fill="CFF0FC"/>
          </w:tcPr>
          <w:p>
            <w:pPr>
              <w:spacing w:after="0"/>
              <w:rPr>
                <w:sz w:val="20"/>
                <w:szCs w:val="20"/>
                <w:color w:val="auto"/>
              </w:rPr>
            </w:pPr>
            <w:r>
              <w:rPr>
                <w:rFonts w:ascii="Arial" w:cs="Arial" w:eastAsia="Arial" w:hAnsi="Arial"/>
                <w:sz w:val="18"/>
                <w:szCs w:val="18"/>
                <w:color w:val="auto"/>
              </w:rPr>
              <w:t>Adjustment attributable to non-controlling interest (note 4)</w:t>
            </w:r>
          </w:p>
        </w:tc>
        <w:tc>
          <w:tcPr>
            <w:tcW w:w="740" w:type="dxa"/>
            <w:vAlign w:val="bottom"/>
            <w:shd w:val="clear" w:color="auto" w:fill="CFF0FC"/>
          </w:tcPr>
          <w:p>
            <w:pPr>
              <w:spacing w:after="0"/>
              <w:rPr>
                <w:sz w:val="18"/>
                <w:szCs w:val="18"/>
                <w:color w:val="auto"/>
              </w:rPr>
            </w:pPr>
          </w:p>
        </w:tc>
        <w:tc>
          <w:tcPr>
            <w:tcW w:w="360" w:type="dxa"/>
            <w:vAlign w:val="bottom"/>
            <w:tcBorders>
              <w:bottom w:val="single" w:sz="8" w:color="auto"/>
            </w:tcBorders>
            <w:shd w:val="clear" w:color="auto" w:fill="CFF0FC"/>
          </w:tcPr>
          <w:p>
            <w:pPr>
              <w:spacing w:after="0"/>
              <w:rPr>
                <w:sz w:val="18"/>
                <w:szCs w:val="18"/>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1,833</w:t>
            </w:r>
          </w:p>
        </w:tc>
        <w:tc>
          <w:tcPr>
            <w:tcW w:w="1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360" w:type="dxa"/>
            <w:vAlign w:val="bottom"/>
            <w:tcBorders>
              <w:bottom w:val="single" w:sz="8" w:color="auto"/>
            </w:tcBorders>
            <w:shd w:val="clear" w:color="auto" w:fill="CFF0FC"/>
          </w:tcPr>
          <w:p>
            <w:pPr>
              <w:spacing w:after="0"/>
              <w:rPr>
                <w:sz w:val="18"/>
                <w:szCs w:val="18"/>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360" w:type="dxa"/>
            <w:vAlign w:val="bottom"/>
            <w:tcBorders>
              <w:bottom w:val="single" w:sz="8" w:color="auto"/>
            </w:tcBorders>
            <w:shd w:val="clear" w:color="auto" w:fill="CFF0FC"/>
          </w:tcPr>
          <w:p>
            <w:pPr>
              <w:spacing w:after="0"/>
              <w:rPr>
                <w:sz w:val="18"/>
                <w:szCs w:val="18"/>
                <w:color w:val="auto"/>
              </w:rPr>
            </w:pPr>
          </w:p>
        </w:tc>
        <w:tc>
          <w:tcPr>
            <w:tcW w:w="12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8"/>
                <w:szCs w:val="18"/>
                <w:color w:val="auto"/>
              </w:rPr>
            </w:pPr>
          </w:p>
        </w:tc>
      </w:tr>
      <w:tr>
        <w:trPr>
          <w:trHeight w:val="230"/>
        </w:trPr>
        <w:tc>
          <w:tcPr>
            <w:tcW w:w="5340" w:type="dxa"/>
            <w:vAlign w:val="bottom"/>
          </w:tcPr>
          <w:p>
            <w:pPr>
              <w:spacing w:after="0"/>
              <w:rPr>
                <w:sz w:val="20"/>
                <w:szCs w:val="20"/>
                <w:color w:val="auto"/>
              </w:rPr>
            </w:pPr>
            <w:r>
              <w:rPr>
                <w:rFonts w:ascii="Arial" w:cs="Arial" w:eastAsia="Arial" w:hAnsi="Arial"/>
                <w:sz w:val="18"/>
                <w:szCs w:val="18"/>
                <w:color w:val="auto"/>
              </w:rPr>
              <w:t>Net loss attributable to BlackLine, Inc.</w:t>
            </w:r>
          </w:p>
        </w:tc>
        <w:tc>
          <w:tcPr>
            <w:tcW w:w="11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300" w:type="dxa"/>
            <w:vAlign w:val="bottom"/>
            <w:gridSpan w:val="2"/>
          </w:tcPr>
          <w:p>
            <w:pPr>
              <w:jc w:val="right"/>
              <w:ind w:right="40"/>
              <w:spacing w:after="0"/>
              <w:rPr>
                <w:sz w:val="20"/>
                <w:szCs w:val="20"/>
                <w:color w:val="auto"/>
              </w:rPr>
            </w:pPr>
            <w:r>
              <w:rPr>
                <w:rFonts w:ascii="Arial" w:cs="Arial" w:eastAsia="Arial" w:hAnsi="Arial"/>
                <w:sz w:val="18"/>
                <w:szCs w:val="18"/>
                <w:color w:val="auto"/>
              </w:rPr>
              <w:t>(32,535)</w:t>
            </w:r>
          </w:p>
        </w:tc>
        <w:tc>
          <w:tcPr>
            <w:tcW w:w="5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380" w:type="dxa"/>
            <w:vAlign w:val="bottom"/>
            <w:gridSpan w:val="2"/>
          </w:tcPr>
          <w:p>
            <w:pPr>
              <w:jc w:val="right"/>
              <w:ind w:right="120"/>
              <w:spacing w:after="0"/>
              <w:rPr>
                <w:sz w:val="20"/>
                <w:szCs w:val="20"/>
                <w:color w:val="auto"/>
              </w:rPr>
            </w:pPr>
            <w:r>
              <w:rPr>
                <w:rFonts w:ascii="Arial" w:cs="Arial" w:eastAsia="Arial" w:hAnsi="Arial"/>
                <w:sz w:val="18"/>
                <w:szCs w:val="18"/>
                <w:color w:val="auto"/>
              </w:rPr>
              <w:t>(28,714)</w:t>
            </w:r>
          </w:p>
        </w:tc>
        <w:tc>
          <w:tcPr>
            <w:tcW w:w="4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340" w:type="dxa"/>
            <w:vAlign w:val="bottom"/>
            <w:gridSpan w:val="2"/>
          </w:tcPr>
          <w:p>
            <w:pPr>
              <w:jc w:val="right"/>
              <w:ind w:right="60"/>
              <w:spacing w:after="0"/>
              <w:rPr>
                <w:sz w:val="20"/>
                <w:szCs w:val="20"/>
                <w:color w:val="auto"/>
              </w:rPr>
            </w:pPr>
            <w:r>
              <w:rPr>
                <w:rFonts w:ascii="Arial" w:cs="Arial" w:eastAsia="Arial" w:hAnsi="Arial"/>
                <w:sz w:val="18"/>
                <w:szCs w:val="18"/>
                <w:color w:val="auto"/>
              </w:rPr>
              <w:t>(33,408)</w:t>
            </w:r>
          </w:p>
        </w:tc>
      </w:tr>
      <w:tr>
        <w:trPr>
          <w:trHeight w:val="20"/>
        </w:trPr>
        <w:tc>
          <w:tcPr>
            <w:tcW w:w="5340" w:type="dxa"/>
            <w:vAlign w:val="bottom"/>
            <w:tcBorders>
              <w:top w:val="single" w:sz="8" w:color="CFF0FC"/>
            </w:tcBorders>
            <w:shd w:val="clear" w:color="auto" w:fill="CFF0FC"/>
          </w:tcPr>
          <w:p>
            <w:pPr>
              <w:spacing w:after="0" w:line="20" w:lineRule="exact"/>
              <w:rPr>
                <w:sz w:val="1"/>
                <w:szCs w:val="1"/>
                <w:color w:val="auto"/>
              </w:rPr>
            </w:pPr>
          </w:p>
        </w:tc>
        <w:tc>
          <w:tcPr>
            <w:tcW w:w="740" w:type="dxa"/>
            <w:vAlign w:val="bottom"/>
            <w:tcBorders>
              <w:top w:val="single" w:sz="8" w:color="CFF0FC"/>
            </w:tcBorders>
            <w:shd w:val="clear" w:color="auto" w:fill="CFF0FC"/>
          </w:tcPr>
          <w:p>
            <w:pPr>
              <w:spacing w:after="0" w:line="20" w:lineRule="exact"/>
              <w:rPr>
                <w:sz w:val="1"/>
                <w:szCs w:val="1"/>
                <w:color w:val="auto"/>
              </w:rPr>
            </w:pPr>
          </w:p>
        </w:tc>
        <w:tc>
          <w:tcPr>
            <w:tcW w:w="360" w:type="dxa"/>
            <w:vAlign w:val="bottom"/>
            <w:tcBorders>
              <w:top w:val="single" w:sz="8" w:color="auto"/>
            </w:tcBorders>
            <w:shd w:val="clear" w:color="auto" w:fill="000000"/>
          </w:tcPr>
          <w:p>
            <w:pPr>
              <w:spacing w:after="0" w:line="20" w:lineRule="exact"/>
              <w:rPr>
                <w:sz w:val="1"/>
                <w:szCs w:val="1"/>
                <w:color w:val="auto"/>
              </w:rPr>
            </w:pPr>
          </w:p>
        </w:tc>
        <w:tc>
          <w:tcPr>
            <w:tcW w:w="12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CFF0FC"/>
            </w:tcBorders>
            <w:shd w:val="clear" w:color="auto" w:fill="CFF0FC"/>
          </w:tcPr>
          <w:p>
            <w:pPr>
              <w:spacing w:after="0" w:line="20" w:lineRule="exact"/>
              <w:rPr>
                <w:sz w:val="1"/>
                <w:szCs w:val="1"/>
                <w:color w:val="auto"/>
              </w:rPr>
            </w:pPr>
          </w:p>
        </w:tc>
        <w:tc>
          <w:tcPr>
            <w:tcW w:w="360" w:type="dxa"/>
            <w:vAlign w:val="bottom"/>
            <w:tcBorders>
              <w:top w:val="single" w:sz="8" w:color="auto"/>
            </w:tcBorders>
            <w:shd w:val="clear" w:color="auto" w:fill="000000"/>
          </w:tcPr>
          <w:p>
            <w:pPr>
              <w:spacing w:after="0" w:line="20" w:lineRule="exact"/>
              <w:rPr>
                <w:sz w:val="1"/>
                <w:szCs w:val="1"/>
                <w:color w:val="auto"/>
              </w:rPr>
            </w:pPr>
          </w:p>
        </w:tc>
        <w:tc>
          <w:tcPr>
            <w:tcW w:w="120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FF0FC"/>
            </w:tcBorders>
            <w:shd w:val="clear" w:color="auto" w:fill="CFF0FC"/>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c>
          <w:tcPr>
            <w:tcW w:w="360" w:type="dxa"/>
            <w:vAlign w:val="bottom"/>
            <w:tcBorders>
              <w:top w:val="single" w:sz="8" w:color="auto"/>
            </w:tcBorders>
            <w:shd w:val="clear" w:color="auto" w:fill="000000"/>
          </w:tcPr>
          <w:p>
            <w:pPr>
              <w:spacing w:after="0" w:line="20" w:lineRule="exact"/>
              <w:rPr>
                <w:sz w:val="1"/>
                <w:szCs w:val="1"/>
                <w:color w:val="auto"/>
              </w:rPr>
            </w:pPr>
          </w:p>
        </w:tc>
        <w:tc>
          <w:tcPr>
            <w:tcW w:w="122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r>
      <w:tr>
        <w:trPr>
          <w:trHeight w:val="197"/>
        </w:trPr>
        <w:tc>
          <w:tcPr>
            <w:tcW w:w="5340" w:type="dxa"/>
            <w:vAlign w:val="bottom"/>
            <w:shd w:val="clear" w:color="auto" w:fill="CFF0FC"/>
          </w:tcPr>
          <w:p>
            <w:pPr>
              <w:spacing w:after="0" w:line="196" w:lineRule="exact"/>
              <w:rPr>
                <w:sz w:val="20"/>
                <w:szCs w:val="20"/>
                <w:color w:val="auto"/>
              </w:rPr>
            </w:pPr>
            <w:r>
              <w:rPr>
                <w:rFonts w:ascii="Arial" w:cs="Arial" w:eastAsia="Arial" w:hAnsi="Arial"/>
                <w:sz w:val="18"/>
                <w:szCs w:val="18"/>
                <w:color w:val="auto"/>
              </w:rPr>
              <w:t>Basic net loss per share attributable to BlackLine, Inc.</w:t>
            </w:r>
          </w:p>
        </w:tc>
        <w:tc>
          <w:tcPr>
            <w:tcW w:w="1100" w:type="dxa"/>
            <w:vAlign w:val="bottom"/>
            <w:gridSpan w:val="2"/>
            <w:shd w:val="clear" w:color="auto" w:fill="CFF0FC"/>
          </w:tcPr>
          <w:p>
            <w:pPr>
              <w:jc w:val="right"/>
              <w:ind w:right="260"/>
              <w:spacing w:after="0" w:line="196" w:lineRule="exact"/>
              <w:rPr>
                <w:sz w:val="20"/>
                <w:szCs w:val="20"/>
                <w:color w:val="auto"/>
              </w:rPr>
            </w:pPr>
            <w:r>
              <w:rPr>
                <w:rFonts w:ascii="Arial" w:cs="Arial" w:eastAsia="Arial" w:hAnsi="Arial"/>
                <w:sz w:val="18"/>
                <w:szCs w:val="18"/>
                <w:color w:val="auto"/>
              </w:rPr>
              <w:t>$</w:t>
            </w:r>
          </w:p>
        </w:tc>
        <w:tc>
          <w:tcPr>
            <w:tcW w:w="1300" w:type="dxa"/>
            <w:vAlign w:val="bottom"/>
            <w:gridSpan w:val="2"/>
            <w:shd w:val="clear" w:color="auto" w:fill="CFF0FC"/>
          </w:tcPr>
          <w:p>
            <w:pPr>
              <w:jc w:val="right"/>
              <w:ind w:right="40"/>
              <w:spacing w:after="0" w:line="196" w:lineRule="exact"/>
              <w:rPr>
                <w:sz w:val="20"/>
                <w:szCs w:val="20"/>
                <w:color w:val="auto"/>
              </w:rPr>
            </w:pPr>
            <w:r>
              <w:rPr>
                <w:rFonts w:ascii="Arial" w:cs="Arial" w:eastAsia="Arial" w:hAnsi="Arial"/>
                <w:sz w:val="18"/>
                <w:szCs w:val="18"/>
                <w:color w:val="auto"/>
              </w:rPr>
              <w:t>(0.59)</w:t>
            </w:r>
          </w:p>
        </w:tc>
        <w:tc>
          <w:tcPr>
            <w:tcW w:w="520" w:type="dxa"/>
            <w:vAlign w:val="bottom"/>
            <w:gridSpan w:val="2"/>
            <w:shd w:val="clear" w:color="auto" w:fill="CFF0FC"/>
          </w:tcPr>
          <w:p>
            <w:pPr>
              <w:jc w:val="right"/>
              <w:ind w:right="260"/>
              <w:spacing w:after="0" w:line="196" w:lineRule="exact"/>
              <w:rPr>
                <w:sz w:val="20"/>
                <w:szCs w:val="20"/>
                <w:color w:val="auto"/>
              </w:rPr>
            </w:pPr>
            <w:r>
              <w:rPr>
                <w:rFonts w:ascii="Arial" w:cs="Arial" w:eastAsia="Arial" w:hAnsi="Arial"/>
                <w:sz w:val="18"/>
                <w:szCs w:val="18"/>
                <w:color w:val="auto"/>
              </w:rPr>
              <w:t>$</w:t>
            </w:r>
          </w:p>
        </w:tc>
        <w:tc>
          <w:tcPr>
            <w:tcW w:w="1380" w:type="dxa"/>
            <w:vAlign w:val="bottom"/>
            <w:gridSpan w:val="2"/>
            <w:shd w:val="clear" w:color="auto" w:fill="CFF0FC"/>
          </w:tcPr>
          <w:p>
            <w:pPr>
              <w:jc w:val="right"/>
              <w:ind w:right="120"/>
              <w:spacing w:after="0" w:line="196" w:lineRule="exact"/>
              <w:rPr>
                <w:sz w:val="20"/>
                <w:szCs w:val="20"/>
                <w:color w:val="auto"/>
              </w:rPr>
            </w:pPr>
            <w:r>
              <w:rPr>
                <w:rFonts w:ascii="Arial" w:cs="Arial" w:eastAsia="Arial" w:hAnsi="Arial"/>
                <w:sz w:val="18"/>
                <w:szCs w:val="18"/>
                <w:color w:val="auto"/>
              </w:rPr>
              <w:t>(0.53)</w:t>
            </w:r>
          </w:p>
        </w:tc>
        <w:tc>
          <w:tcPr>
            <w:tcW w:w="440" w:type="dxa"/>
            <w:vAlign w:val="bottom"/>
            <w:gridSpan w:val="2"/>
            <w:shd w:val="clear" w:color="auto" w:fill="CFF0FC"/>
          </w:tcPr>
          <w:p>
            <w:pPr>
              <w:jc w:val="right"/>
              <w:ind w:right="260"/>
              <w:spacing w:after="0" w:line="196" w:lineRule="exact"/>
              <w:rPr>
                <w:sz w:val="20"/>
                <w:szCs w:val="20"/>
                <w:color w:val="auto"/>
              </w:rPr>
            </w:pPr>
            <w:r>
              <w:rPr>
                <w:rFonts w:ascii="Arial" w:cs="Arial" w:eastAsia="Arial" w:hAnsi="Arial"/>
                <w:sz w:val="18"/>
                <w:szCs w:val="18"/>
                <w:color w:val="auto"/>
              </w:rPr>
              <w:t>$</w:t>
            </w:r>
          </w:p>
        </w:tc>
        <w:tc>
          <w:tcPr>
            <w:tcW w:w="1340" w:type="dxa"/>
            <w:vAlign w:val="bottom"/>
            <w:gridSpan w:val="2"/>
            <w:shd w:val="clear" w:color="auto" w:fill="CFF0FC"/>
          </w:tcPr>
          <w:p>
            <w:pPr>
              <w:jc w:val="right"/>
              <w:ind w:right="60"/>
              <w:spacing w:after="0" w:line="196" w:lineRule="exact"/>
              <w:rPr>
                <w:sz w:val="20"/>
                <w:szCs w:val="20"/>
                <w:color w:val="auto"/>
              </w:rPr>
            </w:pPr>
            <w:r>
              <w:rPr>
                <w:rFonts w:ascii="Arial" w:cs="Arial" w:eastAsia="Arial" w:hAnsi="Arial"/>
                <w:sz w:val="18"/>
                <w:szCs w:val="18"/>
                <w:color w:val="auto"/>
              </w:rPr>
              <w:t>(0.64)</w:t>
            </w:r>
          </w:p>
        </w:tc>
      </w:tr>
      <w:tr>
        <w:trPr>
          <w:trHeight w:val="20"/>
        </w:trPr>
        <w:tc>
          <w:tcPr>
            <w:tcW w:w="5340" w:type="dxa"/>
            <w:vAlign w:val="bottom"/>
            <w:tcBorders>
              <w:top w:val="single" w:sz="8" w:color="CFF0FC"/>
            </w:tcBorders>
          </w:tcPr>
          <w:p>
            <w:pPr>
              <w:spacing w:after="0" w:line="20" w:lineRule="exact"/>
              <w:rPr>
                <w:sz w:val="1"/>
                <w:szCs w:val="1"/>
                <w:color w:val="auto"/>
              </w:rPr>
            </w:pPr>
          </w:p>
        </w:tc>
        <w:tc>
          <w:tcPr>
            <w:tcW w:w="740" w:type="dxa"/>
            <w:vAlign w:val="bottom"/>
            <w:tcBorders>
              <w:top w:val="single" w:sz="8" w:color="CFF0FC"/>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160" w:type="dxa"/>
            <w:vAlign w:val="bottom"/>
            <w:tcBorders>
              <w:top w:val="single" w:sz="8" w:color="CFF0FC"/>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r>
      <w:tr>
        <w:trPr>
          <w:trHeight w:val="237"/>
        </w:trPr>
        <w:tc>
          <w:tcPr>
            <w:tcW w:w="5340" w:type="dxa"/>
            <w:vAlign w:val="bottom"/>
            <w:tcBorders>
              <w:bottom w:val="single" w:sz="8" w:color="CFF0FC"/>
            </w:tcBorders>
          </w:tcPr>
          <w:p>
            <w:pPr>
              <w:spacing w:after="0" w:line="196" w:lineRule="exact"/>
              <w:rPr>
                <w:sz w:val="20"/>
                <w:szCs w:val="20"/>
                <w:color w:val="auto"/>
              </w:rPr>
            </w:pPr>
            <w:r>
              <w:rPr>
                <w:rFonts w:ascii="Arial" w:cs="Arial" w:eastAsia="Arial" w:hAnsi="Arial"/>
                <w:sz w:val="18"/>
                <w:szCs w:val="18"/>
                <w:color w:val="auto"/>
              </w:rPr>
              <w:t>Shares used to calculate basic net loss per share</w:t>
            </w:r>
          </w:p>
        </w:tc>
        <w:tc>
          <w:tcPr>
            <w:tcW w:w="740" w:type="dxa"/>
            <w:vAlign w:val="bottom"/>
            <w:tcBorders>
              <w:bottom w:val="single" w:sz="8" w:color="CFF0FC"/>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55,320</w:t>
            </w:r>
          </w:p>
        </w:tc>
        <w:tc>
          <w:tcPr>
            <w:tcW w:w="100" w:type="dxa"/>
            <w:vAlign w:val="bottom"/>
            <w:tcBorders>
              <w:bottom w:val="single" w:sz="8" w:color="CFF0FC"/>
            </w:tcBorders>
          </w:tcPr>
          <w:p>
            <w:pPr>
              <w:spacing w:after="0"/>
              <w:rPr>
                <w:sz w:val="20"/>
                <w:szCs w:val="20"/>
                <w:color w:val="auto"/>
              </w:rPr>
            </w:pPr>
          </w:p>
        </w:tc>
        <w:tc>
          <w:tcPr>
            <w:tcW w:w="160" w:type="dxa"/>
            <w:vAlign w:val="bottom"/>
            <w:tcBorders>
              <w:bottom w:val="single" w:sz="8" w:color="CFF0FC"/>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53,912</w:t>
            </w:r>
          </w:p>
        </w:tc>
        <w:tc>
          <w:tcPr>
            <w:tcW w:w="180" w:type="dxa"/>
            <w:vAlign w:val="bottom"/>
            <w:tcBorders>
              <w:bottom w:val="single" w:sz="8" w:color="CFF0FC"/>
            </w:tcBorders>
          </w:tcPr>
          <w:p>
            <w:pPr>
              <w:spacing w:after="0"/>
              <w:rPr>
                <w:sz w:val="20"/>
                <w:szCs w:val="20"/>
                <w:color w:val="auto"/>
              </w:rPr>
            </w:pPr>
          </w:p>
        </w:tc>
        <w:tc>
          <w:tcPr>
            <w:tcW w:w="80" w:type="dxa"/>
            <w:vAlign w:val="bottom"/>
            <w:tcBorders>
              <w:bottom w:val="single" w:sz="8" w:color="CFF0FC"/>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52,161</w:t>
            </w:r>
          </w:p>
        </w:tc>
        <w:tc>
          <w:tcPr>
            <w:tcW w:w="120" w:type="dxa"/>
            <w:vAlign w:val="bottom"/>
            <w:tcBorders>
              <w:bottom w:val="single" w:sz="8" w:color="CFF0FC"/>
            </w:tcBorders>
          </w:tcPr>
          <w:p>
            <w:pPr>
              <w:spacing w:after="0"/>
              <w:rPr>
                <w:sz w:val="20"/>
                <w:szCs w:val="20"/>
                <w:color w:val="auto"/>
              </w:rPr>
            </w:pPr>
          </w:p>
        </w:tc>
      </w:tr>
      <w:tr>
        <w:trPr>
          <w:trHeight w:val="197"/>
        </w:trPr>
        <w:tc>
          <w:tcPr>
            <w:tcW w:w="5340" w:type="dxa"/>
            <w:vAlign w:val="bottom"/>
            <w:shd w:val="clear" w:color="auto" w:fill="CFF0FC"/>
          </w:tcPr>
          <w:p>
            <w:pPr>
              <w:spacing w:after="0" w:line="196" w:lineRule="exact"/>
              <w:rPr>
                <w:sz w:val="20"/>
                <w:szCs w:val="20"/>
                <w:color w:val="auto"/>
              </w:rPr>
            </w:pPr>
            <w:r>
              <w:rPr>
                <w:rFonts w:ascii="Arial" w:cs="Arial" w:eastAsia="Arial" w:hAnsi="Arial"/>
                <w:sz w:val="18"/>
                <w:szCs w:val="18"/>
                <w:color w:val="auto"/>
              </w:rPr>
              <w:t>Diluted net loss per share attributable to BlackLine, Inc.</w:t>
            </w:r>
          </w:p>
        </w:tc>
        <w:tc>
          <w:tcPr>
            <w:tcW w:w="1100" w:type="dxa"/>
            <w:vAlign w:val="bottom"/>
            <w:gridSpan w:val="2"/>
            <w:shd w:val="clear" w:color="auto" w:fill="CFF0FC"/>
          </w:tcPr>
          <w:p>
            <w:pPr>
              <w:jc w:val="right"/>
              <w:ind w:right="260"/>
              <w:spacing w:after="0" w:line="196" w:lineRule="exact"/>
              <w:rPr>
                <w:sz w:val="20"/>
                <w:szCs w:val="20"/>
                <w:color w:val="auto"/>
              </w:rPr>
            </w:pPr>
            <w:r>
              <w:rPr>
                <w:rFonts w:ascii="Arial" w:cs="Arial" w:eastAsia="Arial" w:hAnsi="Arial"/>
                <w:sz w:val="18"/>
                <w:szCs w:val="18"/>
                <w:color w:val="auto"/>
              </w:rPr>
              <w:t>$</w:t>
            </w:r>
          </w:p>
        </w:tc>
        <w:tc>
          <w:tcPr>
            <w:tcW w:w="1300" w:type="dxa"/>
            <w:vAlign w:val="bottom"/>
            <w:gridSpan w:val="2"/>
            <w:shd w:val="clear" w:color="auto" w:fill="CFF0FC"/>
          </w:tcPr>
          <w:p>
            <w:pPr>
              <w:jc w:val="right"/>
              <w:ind w:right="40"/>
              <w:spacing w:after="0" w:line="196" w:lineRule="exact"/>
              <w:rPr>
                <w:sz w:val="20"/>
                <w:szCs w:val="20"/>
                <w:color w:val="auto"/>
              </w:rPr>
            </w:pPr>
            <w:r>
              <w:rPr>
                <w:rFonts w:ascii="Arial" w:cs="Arial" w:eastAsia="Arial" w:hAnsi="Arial"/>
                <w:sz w:val="18"/>
                <w:szCs w:val="18"/>
                <w:color w:val="auto"/>
              </w:rPr>
              <w:t>(0.59)</w:t>
            </w:r>
          </w:p>
        </w:tc>
        <w:tc>
          <w:tcPr>
            <w:tcW w:w="520" w:type="dxa"/>
            <w:vAlign w:val="bottom"/>
            <w:gridSpan w:val="2"/>
            <w:shd w:val="clear" w:color="auto" w:fill="CFF0FC"/>
          </w:tcPr>
          <w:p>
            <w:pPr>
              <w:jc w:val="right"/>
              <w:ind w:right="260"/>
              <w:spacing w:after="0" w:line="196" w:lineRule="exact"/>
              <w:rPr>
                <w:sz w:val="20"/>
                <w:szCs w:val="20"/>
                <w:color w:val="auto"/>
              </w:rPr>
            </w:pPr>
            <w:r>
              <w:rPr>
                <w:rFonts w:ascii="Arial" w:cs="Arial" w:eastAsia="Arial" w:hAnsi="Arial"/>
                <w:sz w:val="18"/>
                <w:szCs w:val="18"/>
                <w:color w:val="auto"/>
              </w:rPr>
              <w:t>$</w:t>
            </w:r>
          </w:p>
        </w:tc>
        <w:tc>
          <w:tcPr>
            <w:tcW w:w="1380" w:type="dxa"/>
            <w:vAlign w:val="bottom"/>
            <w:gridSpan w:val="2"/>
            <w:shd w:val="clear" w:color="auto" w:fill="CFF0FC"/>
          </w:tcPr>
          <w:p>
            <w:pPr>
              <w:jc w:val="right"/>
              <w:ind w:right="120"/>
              <w:spacing w:after="0" w:line="196" w:lineRule="exact"/>
              <w:rPr>
                <w:sz w:val="20"/>
                <w:szCs w:val="20"/>
                <w:color w:val="auto"/>
              </w:rPr>
            </w:pPr>
            <w:r>
              <w:rPr>
                <w:rFonts w:ascii="Arial" w:cs="Arial" w:eastAsia="Arial" w:hAnsi="Arial"/>
                <w:sz w:val="18"/>
                <w:szCs w:val="18"/>
                <w:color w:val="auto"/>
              </w:rPr>
              <w:t>(0.53)</w:t>
            </w:r>
          </w:p>
        </w:tc>
        <w:tc>
          <w:tcPr>
            <w:tcW w:w="440" w:type="dxa"/>
            <w:vAlign w:val="bottom"/>
            <w:gridSpan w:val="2"/>
            <w:shd w:val="clear" w:color="auto" w:fill="CFF0FC"/>
          </w:tcPr>
          <w:p>
            <w:pPr>
              <w:jc w:val="right"/>
              <w:ind w:right="260"/>
              <w:spacing w:after="0" w:line="196" w:lineRule="exact"/>
              <w:rPr>
                <w:sz w:val="20"/>
                <w:szCs w:val="20"/>
                <w:color w:val="auto"/>
              </w:rPr>
            </w:pPr>
            <w:r>
              <w:rPr>
                <w:rFonts w:ascii="Arial" w:cs="Arial" w:eastAsia="Arial" w:hAnsi="Arial"/>
                <w:sz w:val="18"/>
                <w:szCs w:val="18"/>
                <w:color w:val="auto"/>
              </w:rPr>
              <w:t>$</w:t>
            </w:r>
          </w:p>
        </w:tc>
        <w:tc>
          <w:tcPr>
            <w:tcW w:w="1340" w:type="dxa"/>
            <w:vAlign w:val="bottom"/>
            <w:gridSpan w:val="2"/>
            <w:shd w:val="clear" w:color="auto" w:fill="CFF0FC"/>
          </w:tcPr>
          <w:p>
            <w:pPr>
              <w:jc w:val="right"/>
              <w:ind w:right="60"/>
              <w:spacing w:after="0" w:line="196" w:lineRule="exact"/>
              <w:rPr>
                <w:sz w:val="20"/>
                <w:szCs w:val="20"/>
                <w:color w:val="auto"/>
              </w:rPr>
            </w:pPr>
            <w:r>
              <w:rPr>
                <w:rFonts w:ascii="Arial" w:cs="Arial" w:eastAsia="Arial" w:hAnsi="Arial"/>
                <w:sz w:val="18"/>
                <w:szCs w:val="18"/>
                <w:color w:val="auto"/>
              </w:rPr>
              <w:t>(0.64)</w:t>
            </w:r>
          </w:p>
        </w:tc>
      </w:tr>
      <w:tr>
        <w:trPr>
          <w:trHeight w:val="20"/>
        </w:trPr>
        <w:tc>
          <w:tcPr>
            <w:tcW w:w="5340" w:type="dxa"/>
            <w:vAlign w:val="bottom"/>
            <w:tcBorders>
              <w:top w:val="single" w:sz="8" w:color="CFF0FC"/>
            </w:tcBorders>
          </w:tcPr>
          <w:p>
            <w:pPr>
              <w:spacing w:after="0" w:line="20" w:lineRule="exact"/>
              <w:rPr>
                <w:sz w:val="1"/>
                <w:szCs w:val="1"/>
                <w:color w:val="auto"/>
              </w:rPr>
            </w:pPr>
          </w:p>
        </w:tc>
        <w:tc>
          <w:tcPr>
            <w:tcW w:w="740" w:type="dxa"/>
            <w:vAlign w:val="bottom"/>
            <w:tcBorders>
              <w:top w:val="single" w:sz="8" w:color="CFF0FC"/>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160" w:type="dxa"/>
            <w:vAlign w:val="bottom"/>
            <w:tcBorders>
              <w:top w:val="single" w:sz="8" w:color="CFF0FC"/>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r>
      <w:tr>
        <w:trPr>
          <w:trHeight w:val="197"/>
        </w:trPr>
        <w:tc>
          <w:tcPr>
            <w:tcW w:w="5340" w:type="dxa"/>
            <w:vAlign w:val="bottom"/>
          </w:tcPr>
          <w:p>
            <w:pPr>
              <w:spacing w:after="0" w:line="196" w:lineRule="exact"/>
              <w:rPr>
                <w:sz w:val="20"/>
                <w:szCs w:val="20"/>
                <w:color w:val="auto"/>
              </w:rPr>
            </w:pPr>
            <w:r>
              <w:rPr>
                <w:rFonts w:ascii="Arial" w:cs="Arial" w:eastAsia="Arial" w:hAnsi="Arial"/>
                <w:sz w:val="18"/>
                <w:szCs w:val="18"/>
                <w:color w:val="auto"/>
              </w:rPr>
              <w:t>Shares used to calculate diluted net loss per share</w:t>
            </w:r>
          </w:p>
        </w:tc>
        <w:tc>
          <w:tcPr>
            <w:tcW w:w="740" w:type="dxa"/>
            <w:vAlign w:val="bottom"/>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55,320</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53,912</w:t>
            </w: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52,161</w:t>
            </w:r>
          </w:p>
        </w:tc>
        <w:tc>
          <w:tcPr>
            <w:tcW w:w="120" w:type="dxa"/>
            <w:vAlign w:val="bottom"/>
          </w:tcPr>
          <w:p>
            <w:pPr>
              <w:spacing w:after="0"/>
              <w:rPr>
                <w:sz w:val="17"/>
                <w:szCs w:val="17"/>
                <w:color w:val="auto"/>
              </w:rPr>
            </w:pPr>
          </w:p>
        </w:tc>
      </w:tr>
      <w:tr>
        <w:trPr>
          <w:trHeight w:val="20"/>
        </w:trPr>
        <w:tc>
          <w:tcPr>
            <w:tcW w:w="53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272020"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333" w:right="239" w:bottom="1440" w:gutter="0" w:footer="0" w:header="0"/>
        </w:sectPr>
      </w:pPr>
    </w:p>
    <w:bookmarkStart w:id="58" w:name="page59"/>
    <w:bookmarkEnd w:id="58"/>
    <w:p>
      <w:pPr>
        <w:jc w:val="center"/>
        <w:spacing w:after="0"/>
        <w:rPr>
          <w:sz w:val="20"/>
          <w:szCs w:val="20"/>
          <w:color w:val="auto"/>
        </w:rPr>
      </w:pPr>
      <w:r>
        <w:rPr>
          <w:rFonts w:ascii="Arial" w:cs="Arial" w:eastAsia="Arial" w:hAnsi="Arial"/>
          <w:sz w:val="18"/>
          <w:szCs w:val="18"/>
          <w:b w:val="1"/>
          <w:bCs w:val="1"/>
          <w:color w:val="auto"/>
        </w:rPr>
        <w:t>BLACKLINE, INC.</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COMPREHENSIVE LOSS</w:t>
      </w: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240"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6200" w:type="dxa"/>
            <w:vAlign w:val="bottom"/>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2100" w:type="dxa"/>
            <w:vAlign w:val="bottom"/>
            <w:tcBorders>
              <w:bottom w:val="single" w:sz="8" w:color="auto"/>
            </w:tcBorders>
            <w:gridSpan w:val="4"/>
          </w:tcPr>
          <w:p>
            <w:pPr>
              <w:jc w:val="right"/>
              <w:ind w:right="260"/>
              <w:spacing w:after="0"/>
              <w:rPr>
                <w:sz w:val="20"/>
                <w:szCs w:val="20"/>
                <w:color w:val="auto"/>
              </w:rPr>
            </w:pPr>
            <w:r>
              <w:rPr>
                <w:rFonts w:ascii="Arial" w:cs="Arial" w:eastAsia="Arial" w:hAnsi="Arial"/>
                <w:sz w:val="14"/>
                <w:szCs w:val="14"/>
                <w:b w:val="1"/>
                <w:bCs w:val="1"/>
                <w:color w:val="auto"/>
              </w:rPr>
              <w:t>Year Ended December 31,</w:t>
            </w:r>
          </w:p>
        </w:tc>
        <w:tc>
          <w:tcPr>
            <w:tcW w:w="32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r>
      <w:tr>
        <w:trPr>
          <w:trHeight w:val="237"/>
        </w:trPr>
        <w:tc>
          <w:tcPr>
            <w:tcW w:w="6200" w:type="dxa"/>
            <w:vAlign w:val="bottom"/>
            <w:tcBorders>
              <w:bottom w:val="single" w:sz="8" w:color="CFF0FC"/>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ind w:right="472"/>
              <w:spacing w:after="0"/>
              <w:rPr>
                <w:sz w:val="20"/>
                <w:szCs w:val="20"/>
                <w:color w:val="auto"/>
              </w:rPr>
            </w:pPr>
            <w:r>
              <w:rPr>
                <w:rFonts w:ascii="Arial" w:cs="Arial" w:eastAsia="Arial" w:hAnsi="Arial"/>
                <w:sz w:val="14"/>
                <w:szCs w:val="14"/>
                <w:b w:val="1"/>
                <w:bCs w:val="1"/>
                <w:color w:val="auto"/>
              </w:rPr>
              <w:t>2019</w:t>
            </w:r>
          </w:p>
        </w:tc>
        <w:tc>
          <w:tcPr>
            <w:tcW w:w="160" w:type="dxa"/>
            <w:vAlign w:val="bottom"/>
            <w:tcBorders>
              <w:bottom w:val="single" w:sz="8" w:color="CFF0FC"/>
            </w:tcBorders>
          </w:tcPr>
          <w:p>
            <w:pPr>
              <w:spacing w:after="0"/>
              <w:rPr>
                <w:sz w:val="20"/>
                <w:szCs w:val="20"/>
                <w:color w:val="auto"/>
              </w:rPr>
            </w:pPr>
          </w:p>
        </w:tc>
        <w:tc>
          <w:tcPr>
            <w:tcW w:w="260" w:type="dxa"/>
            <w:vAlign w:val="bottom"/>
            <w:tcBorders>
              <w:bottom w:val="single" w:sz="8" w:color="CFF0FC"/>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ind w:right="472"/>
              <w:spacing w:after="0"/>
              <w:rPr>
                <w:sz w:val="20"/>
                <w:szCs w:val="20"/>
                <w:color w:val="auto"/>
              </w:rPr>
            </w:pPr>
            <w:r>
              <w:rPr>
                <w:rFonts w:ascii="Arial" w:cs="Arial" w:eastAsia="Arial" w:hAnsi="Arial"/>
                <w:sz w:val="14"/>
                <w:szCs w:val="14"/>
                <w:b w:val="1"/>
                <w:bCs w:val="1"/>
                <w:color w:val="auto"/>
              </w:rPr>
              <w:t>2018</w:t>
            </w:r>
          </w:p>
        </w:tc>
        <w:tc>
          <w:tcPr>
            <w:tcW w:w="420" w:type="dxa"/>
            <w:vAlign w:val="bottom"/>
            <w:tcBorders>
              <w:bottom w:val="single" w:sz="8" w:color="CFF0FC"/>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ind w:right="492"/>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FF0FC"/>
            </w:tcBorders>
          </w:tcPr>
          <w:p>
            <w:pPr>
              <w:spacing w:after="0"/>
              <w:rPr>
                <w:sz w:val="20"/>
                <w:szCs w:val="20"/>
                <w:color w:val="auto"/>
              </w:rPr>
            </w:pPr>
          </w:p>
        </w:tc>
      </w:tr>
      <w:tr>
        <w:trPr>
          <w:trHeight w:val="210"/>
        </w:trPr>
        <w:tc>
          <w:tcPr>
            <w:tcW w:w="6200" w:type="dxa"/>
            <w:vAlign w:val="bottom"/>
            <w:tcBorders>
              <w:right w:val="single" w:sz="8" w:color="CFF0FC"/>
            </w:tcBorders>
            <w:shd w:val="clear" w:color="auto" w:fill="CFF0FC"/>
          </w:tcPr>
          <w:p>
            <w:pPr>
              <w:spacing w:after="0"/>
              <w:rPr>
                <w:sz w:val="20"/>
                <w:szCs w:val="20"/>
                <w:color w:val="auto"/>
              </w:rPr>
            </w:pPr>
            <w:r>
              <w:rPr>
                <w:rFonts w:ascii="Arial" w:cs="Arial" w:eastAsia="Arial" w:hAnsi="Arial"/>
                <w:sz w:val="18"/>
                <w:szCs w:val="18"/>
                <w:color w:val="auto"/>
              </w:rPr>
              <w:t>Net loss</w:t>
            </w:r>
          </w:p>
        </w:tc>
        <w:tc>
          <w:tcPr>
            <w:tcW w:w="320" w:type="dxa"/>
            <w:vAlign w:val="bottom"/>
            <w:shd w:val="clear" w:color="auto" w:fill="CFF0FC"/>
          </w:tcPr>
          <w:p>
            <w:pPr>
              <w:jc w:val="right"/>
              <w:ind w:right="130"/>
              <w:spacing w:after="0"/>
              <w:rPr>
                <w:sz w:val="20"/>
                <w:szCs w:val="20"/>
                <w:color w:val="auto"/>
              </w:rPr>
            </w:pPr>
            <w:r>
              <w:rPr>
                <w:rFonts w:ascii="Arial" w:cs="Arial" w:eastAsia="Arial" w:hAnsi="Arial"/>
                <w:sz w:val="18"/>
                <w:szCs w:val="18"/>
                <w:color w:val="auto"/>
                <w:w w:val="79"/>
              </w:rPr>
              <w:t>$</w:t>
            </w:r>
          </w:p>
        </w:tc>
        <w:tc>
          <w:tcPr>
            <w:tcW w:w="126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(32,146)</w:t>
            </w:r>
          </w:p>
        </w:tc>
        <w:tc>
          <w:tcPr>
            <w:tcW w:w="58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1520" w:type="dxa"/>
            <w:vAlign w:val="bottom"/>
            <w:gridSpan w:val="2"/>
            <w:shd w:val="clear" w:color="auto" w:fill="CFF0FC"/>
          </w:tcPr>
          <w:p>
            <w:pPr>
              <w:jc w:val="right"/>
              <w:ind w:right="360"/>
              <w:spacing w:after="0"/>
              <w:rPr>
                <w:sz w:val="20"/>
                <w:szCs w:val="20"/>
                <w:color w:val="auto"/>
              </w:rPr>
            </w:pPr>
            <w:r>
              <w:rPr>
                <w:rFonts w:ascii="Arial" w:cs="Arial" w:eastAsia="Arial" w:hAnsi="Arial"/>
                <w:sz w:val="18"/>
                <w:szCs w:val="18"/>
                <w:color w:val="auto"/>
              </w:rPr>
              <w:t>(28,776)</w:t>
            </w:r>
          </w:p>
        </w:tc>
        <w:tc>
          <w:tcPr>
            <w:tcW w:w="320" w:type="dxa"/>
            <w:vAlign w:val="bottom"/>
            <w:shd w:val="clear" w:color="auto" w:fill="CFF0FC"/>
          </w:tcPr>
          <w:p>
            <w:pPr>
              <w:jc w:val="right"/>
              <w:ind w:right="130"/>
              <w:spacing w:after="0"/>
              <w:rPr>
                <w:sz w:val="20"/>
                <w:szCs w:val="20"/>
                <w:color w:val="auto"/>
              </w:rPr>
            </w:pPr>
            <w:r>
              <w:rPr>
                <w:rFonts w:ascii="Arial" w:cs="Arial" w:eastAsia="Arial" w:hAnsi="Arial"/>
                <w:sz w:val="18"/>
                <w:szCs w:val="18"/>
                <w:color w:val="auto"/>
                <w:w w:val="79"/>
              </w:rPr>
              <w:t>$</w:t>
            </w:r>
          </w:p>
        </w:tc>
        <w:tc>
          <w:tcPr>
            <w:tcW w:w="122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(33,408)</w:t>
            </w:r>
          </w:p>
        </w:tc>
      </w:tr>
      <w:tr>
        <w:trPr>
          <w:trHeight w:val="216"/>
        </w:trPr>
        <w:tc>
          <w:tcPr>
            <w:tcW w:w="6200" w:type="dxa"/>
            <w:vAlign w:val="bottom"/>
          </w:tcPr>
          <w:p>
            <w:pPr>
              <w:spacing w:after="0"/>
              <w:rPr>
                <w:sz w:val="20"/>
                <w:szCs w:val="20"/>
                <w:color w:val="auto"/>
              </w:rPr>
            </w:pPr>
            <w:r>
              <w:rPr>
                <w:rFonts w:ascii="Arial" w:cs="Arial" w:eastAsia="Arial" w:hAnsi="Arial"/>
                <w:sz w:val="18"/>
                <w:szCs w:val="18"/>
                <w:color w:val="auto"/>
              </w:rPr>
              <w:t>Other comprehensive income (loss):</w:t>
            </w:r>
          </w:p>
        </w:tc>
        <w:tc>
          <w:tcPr>
            <w:tcW w:w="3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5"/>
        </w:trPr>
        <w:tc>
          <w:tcPr>
            <w:tcW w:w="6200" w:type="dxa"/>
            <w:vAlign w:val="bottom"/>
            <w:tcBorders>
              <w:right w:val="single" w:sz="8" w:color="CFF0FC"/>
            </w:tcBorders>
            <w:shd w:val="clear" w:color="auto" w:fill="CFF0FC"/>
          </w:tcPr>
          <w:p>
            <w:pPr>
              <w:ind w:left="260"/>
              <w:spacing w:after="0"/>
              <w:rPr>
                <w:sz w:val="20"/>
                <w:szCs w:val="20"/>
                <w:color w:val="auto"/>
              </w:rPr>
            </w:pPr>
            <w:r>
              <w:rPr>
                <w:rFonts w:ascii="Arial" w:cs="Arial" w:eastAsia="Arial" w:hAnsi="Arial"/>
                <w:sz w:val="18"/>
                <w:szCs w:val="18"/>
                <w:color w:val="auto"/>
              </w:rPr>
              <w:t>Net change in unrealized gains (losses) on marketable securities, net of</w:t>
            </w:r>
          </w:p>
        </w:tc>
        <w:tc>
          <w:tcPr>
            <w:tcW w:w="320" w:type="dxa"/>
            <w:vAlign w:val="bottom"/>
            <w:shd w:val="clear" w:color="auto" w:fill="CFF0FC"/>
          </w:tcPr>
          <w:p>
            <w:pPr>
              <w:spacing w:after="0"/>
              <w:rPr>
                <w:sz w:val="18"/>
                <w:szCs w:val="18"/>
                <w:color w:val="auto"/>
              </w:rPr>
            </w:pPr>
          </w:p>
        </w:tc>
        <w:tc>
          <w:tcPr>
            <w:tcW w:w="11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10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1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03"/>
        </w:trPr>
        <w:tc>
          <w:tcPr>
            <w:tcW w:w="6200" w:type="dxa"/>
            <w:vAlign w:val="bottom"/>
            <w:tcBorders>
              <w:right w:val="single" w:sz="8" w:color="CFF0FC"/>
            </w:tcBorders>
            <w:shd w:val="clear" w:color="auto" w:fill="CFF0FC"/>
          </w:tcPr>
          <w:p>
            <w:pPr>
              <w:ind w:left="260"/>
              <w:spacing w:after="0" w:line="203" w:lineRule="exact"/>
              <w:rPr>
                <w:sz w:val="20"/>
                <w:szCs w:val="20"/>
                <w:color w:val="auto"/>
              </w:rPr>
            </w:pPr>
            <w:r>
              <w:rPr>
                <w:rFonts w:ascii="Arial" w:cs="Arial" w:eastAsia="Arial" w:hAnsi="Arial"/>
                <w:sz w:val="18"/>
                <w:szCs w:val="18"/>
                <w:color w:val="auto"/>
              </w:rPr>
              <w:t>tax of $0 for the years ended December 31, 2019, 2018 and 2017</w:t>
            </w:r>
          </w:p>
        </w:tc>
        <w:tc>
          <w:tcPr>
            <w:tcW w:w="320" w:type="dxa"/>
            <w:vAlign w:val="bottom"/>
            <w:shd w:val="clear" w:color="auto" w:fill="CFF0FC"/>
          </w:tcPr>
          <w:p>
            <w:pPr>
              <w:spacing w:after="0"/>
              <w:rPr>
                <w:sz w:val="17"/>
                <w:szCs w:val="17"/>
                <w:color w:val="auto"/>
              </w:rPr>
            </w:pPr>
          </w:p>
        </w:tc>
        <w:tc>
          <w:tcPr>
            <w:tcW w:w="1100" w:type="dxa"/>
            <w:vAlign w:val="bottom"/>
            <w:shd w:val="clear" w:color="auto" w:fill="CFF0FC"/>
          </w:tcPr>
          <w:p>
            <w:pPr>
              <w:jc w:val="right"/>
              <w:spacing w:after="0" w:line="203" w:lineRule="exact"/>
              <w:rPr>
                <w:sz w:val="20"/>
                <w:szCs w:val="20"/>
                <w:color w:val="auto"/>
              </w:rPr>
            </w:pPr>
            <w:r>
              <w:rPr>
                <w:rFonts w:ascii="Arial" w:cs="Arial" w:eastAsia="Arial" w:hAnsi="Arial"/>
                <w:sz w:val="18"/>
                <w:szCs w:val="18"/>
                <w:color w:val="auto"/>
              </w:rPr>
              <w:t>200</w:t>
            </w:r>
          </w:p>
        </w:tc>
        <w:tc>
          <w:tcPr>
            <w:tcW w:w="16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1520" w:type="dxa"/>
            <w:vAlign w:val="bottom"/>
            <w:gridSpan w:val="2"/>
            <w:shd w:val="clear" w:color="auto" w:fill="CFF0FC"/>
          </w:tcPr>
          <w:p>
            <w:pPr>
              <w:jc w:val="right"/>
              <w:ind w:right="360"/>
              <w:spacing w:after="0" w:line="203" w:lineRule="exact"/>
              <w:rPr>
                <w:sz w:val="20"/>
                <w:szCs w:val="20"/>
                <w:color w:val="auto"/>
              </w:rPr>
            </w:pPr>
            <w:r>
              <w:rPr>
                <w:rFonts w:ascii="Arial" w:cs="Arial" w:eastAsia="Arial" w:hAnsi="Arial"/>
                <w:sz w:val="18"/>
                <w:szCs w:val="18"/>
                <w:color w:val="auto"/>
              </w:rPr>
              <w:t>(26)</w:t>
            </w:r>
          </w:p>
        </w:tc>
        <w:tc>
          <w:tcPr>
            <w:tcW w:w="320" w:type="dxa"/>
            <w:vAlign w:val="bottom"/>
            <w:shd w:val="clear" w:color="auto" w:fill="CFF0FC"/>
          </w:tcPr>
          <w:p>
            <w:pPr>
              <w:spacing w:after="0"/>
              <w:rPr>
                <w:sz w:val="17"/>
                <w:szCs w:val="17"/>
                <w:color w:val="auto"/>
              </w:rPr>
            </w:pPr>
          </w:p>
        </w:tc>
        <w:tc>
          <w:tcPr>
            <w:tcW w:w="1220" w:type="dxa"/>
            <w:vAlign w:val="bottom"/>
            <w:gridSpan w:val="2"/>
            <w:shd w:val="clear" w:color="auto" w:fill="CFF0FC"/>
          </w:tcPr>
          <w:p>
            <w:pPr>
              <w:jc w:val="right"/>
              <w:ind w:right="40"/>
              <w:spacing w:after="0" w:line="203" w:lineRule="exact"/>
              <w:rPr>
                <w:sz w:val="20"/>
                <w:szCs w:val="20"/>
                <w:color w:val="auto"/>
              </w:rPr>
            </w:pPr>
            <w:r>
              <w:rPr>
                <w:rFonts w:ascii="Arial" w:cs="Arial" w:eastAsia="Arial" w:hAnsi="Arial"/>
                <w:sz w:val="18"/>
                <w:szCs w:val="18"/>
                <w:color w:val="auto"/>
              </w:rPr>
              <w:t>(22)</w:t>
            </w:r>
          </w:p>
        </w:tc>
      </w:tr>
      <w:tr>
        <w:trPr>
          <w:trHeight w:val="216"/>
        </w:trPr>
        <w:tc>
          <w:tcPr>
            <w:tcW w:w="6200" w:type="dxa"/>
            <w:vAlign w:val="bottom"/>
            <w:tcBorders>
              <w:bottom w:val="single" w:sz="8" w:color="CFF0FC"/>
            </w:tcBorders>
          </w:tcPr>
          <w:p>
            <w:pPr>
              <w:ind w:left="260"/>
              <w:spacing w:after="0"/>
              <w:rPr>
                <w:sz w:val="20"/>
                <w:szCs w:val="20"/>
                <w:color w:val="auto"/>
              </w:rPr>
            </w:pPr>
            <w:r>
              <w:rPr>
                <w:rFonts w:ascii="Arial" w:cs="Arial" w:eastAsia="Arial" w:hAnsi="Arial"/>
                <w:sz w:val="18"/>
                <w:szCs w:val="18"/>
                <w:color w:val="auto"/>
              </w:rPr>
              <w:t>Foreign currency translation</w:t>
            </w:r>
          </w:p>
        </w:tc>
        <w:tc>
          <w:tcPr>
            <w:tcW w:w="3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261</w:t>
            </w:r>
          </w:p>
        </w:tc>
        <w:tc>
          <w:tcPr>
            <w:tcW w:w="160" w:type="dxa"/>
            <w:vAlign w:val="bottom"/>
            <w:tcBorders>
              <w:bottom w:val="single" w:sz="8" w:color="CFF0FC"/>
            </w:tcBorders>
          </w:tcPr>
          <w:p>
            <w:pPr>
              <w:spacing w:after="0"/>
              <w:rPr>
                <w:sz w:val="18"/>
                <w:szCs w:val="18"/>
                <w:color w:val="auto"/>
              </w:rPr>
            </w:pPr>
          </w:p>
        </w:tc>
        <w:tc>
          <w:tcPr>
            <w:tcW w:w="260" w:type="dxa"/>
            <w:vAlign w:val="bottom"/>
            <w:tcBorders>
              <w:bottom w:val="single" w:sz="8" w:color="CFF0FC"/>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266</w:t>
            </w:r>
          </w:p>
        </w:tc>
        <w:tc>
          <w:tcPr>
            <w:tcW w:w="420" w:type="dxa"/>
            <w:vAlign w:val="bottom"/>
            <w:tcBorders>
              <w:bottom w:val="single" w:sz="8" w:color="CFF0FC"/>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FF0FC"/>
            </w:tcBorders>
          </w:tcPr>
          <w:p>
            <w:pPr>
              <w:spacing w:after="0"/>
              <w:rPr>
                <w:sz w:val="18"/>
                <w:szCs w:val="18"/>
                <w:color w:val="auto"/>
              </w:rPr>
            </w:pPr>
          </w:p>
        </w:tc>
      </w:tr>
      <w:tr>
        <w:trPr>
          <w:trHeight w:val="210"/>
        </w:trPr>
        <w:tc>
          <w:tcPr>
            <w:tcW w:w="6200" w:type="dxa"/>
            <w:vAlign w:val="bottom"/>
            <w:tcBorders>
              <w:right w:val="single" w:sz="8" w:color="CFF0FC"/>
            </w:tcBorders>
            <w:shd w:val="clear" w:color="auto" w:fill="CFF0FC"/>
          </w:tcPr>
          <w:p>
            <w:pPr>
              <w:spacing w:after="0"/>
              <w:rPr>
                <w:sz w:val="20"/>
                <w:szCs w:val="20"/>
                <w:color w:val="auto"/>
              </w:rPr>
            </w:pPr>
            <w:r>
              <w:rPr>
                <w:rFonts w:ascii="Arial" w:cs="Arial" w:eastAsia="Arial" w:hAnsi="Arial"/>
                <w:sz w:val="18"/>
                <w:szCs w:val="18"/>
                <w:color w:val="auto"/>
              </w:rPr>
              <w:t>Other comprehensive income (loss)</w:t>
            </w:r>
          </w:p>
        </w:tc>
        <w:tc>
          <w:tcPr>
            <w:tcW w:w="320" w:type="dxa"/>
            <w:vAlign w:val="bottom"/>
            <w:shd w:val="clear" w:color="auto" w:fill="CFF0FC"/>
          </w:tcPr>
          <w:p>
            <w:pPr>
              <w:spacing w:after="0"/>
              <w:rPr>
                <w:sz w:val="18"/>
                <w:szCs w:val="18"/>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461</w:t>
            </w:r>
          </w:p>
        </w:tc>
        <w:tc>
          <w:tcPr>
            <w:tcW w:w="16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240</w:t>
            </w:r>
          </w:p>
        </w:tc>
        <w:tc>
          <w:tcPr>
            <w:tcW w:w="42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22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(22)</w:t>
            </w:r>
          </w:p>
        </w:tc>
      </w:tr>
      <w:tr>
        <w:trPr>
          <w:trHeight w:val="20"/>
        </w:trPr>
        <w:tc>
          <w:tcPr>
            <w:tcW w:w="620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6200" w:type="dxa"/>
            <w:vAlign w:val="bottom"/>
          </w:tcPr>
          <w:p>
            <w:pPr>
              <w:spacing w:after="0"/>
              <w:rPr>
                <w:sz w:val="20"/>
                <w:szCs w:val="20"/>
                <w:color w:val="auto"/>
              </w:rPr>
            </w:pPr>
            <w:r>
              <w:rPr>
                <w:rFonts w:ascii="Arial" w:cs="Arial" w:eastAsia="Arial" w:hAnsi="Arial"/>
                <w:sz w:val="18"/>
                <w:szCs w:val="18"/>
                <w:color w:val="auto"/>
              </w:rPr>
              <w:t>Comprehensive loss</w:t>
            </w:r>
          </w:p>
        </w:tc>
        <w:tc>
          <w:tcPr>
            <w:tcW w:w="32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(31,685)</w:t>
            </w:r>
          </w:p>
        </w:tc>
        <w:tc>
          <w:tcPr>
            <w:tcW w:w="2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520" w:type="dxa"/>
            <w:vAlign w:val="bottom"/>
            <w:gridSpan w:val="2"/>
          </w:tcPr>
          <w:p>
            <w:pPr>
              <w:jc w:val="right"/>
              <w:ind w:right="360"/>
              <w:spacing w:after="0"/>
              <w:rPr>
                <w:sz w:val="20"/>
                <w:szCs w:val="20"/>
                <w:color w:val="auto"/>
              </w:rPr>
            </w:pPr>
            <w:r>
              <w:rPr>
                <w:rFonts w:ascii="Arial" w:cs="Arial" w:eastAsia="Arial" w:hAnsi="Arial"/>
                <w:sz w:val="18"/>
                <w:szCs w:val="18"/>
                <w:color w:val="auto"/>
              </w:rPr>
              <w:t>(28,536)</w:t>
            </w:r>
          </w:p>
        </w:tc>
        <w:tc>
          <w:tcPr>
            <w:tcW w:w="320" w:type="dxa"/>
            <w:vAlign w:val="bottom"/>
          </w:tcPr>
          <w:p>
            <w:pPr>
              <w:spacing w:after="0"/>
              <w:rPr>
                <w:sz w:val="18"/>
                <w:szCs w:val="18"/>
                <w:color w:val="auto"/>
              </w:rPr>
            </w:pPr>
          </w:p>
        </w:tc>
        <w:tc>
          <w:tcPr>
            <w:tcW w:w="1220" w:type="dxa"/>
            <w:vAlign w:val="bottom"/>
            <w:gridSpan w:val="2"/>
          </w:tcPr>
          <w:p>
            <w:pPr>
              <w:jc w:val="right"/>
              <w:ind w:right="40"/>
              <w:spacing w:after="0"/>
              <w:rPr>
                <w:sz w:val="20"/>
                <w:szCs w:val="20"/>
                <w:color w:val="auto"/>
              </w:rPr>
            </w:pPr>
            <w:r>
              <w:rPr>
                <w:rFonts w:ascii="Arial" w:cs="Arial" w:eastAsia="Arial" w:hAnsi="Arial"/>
                <w:sz w:val="18"/>
                <w:szCs w:val="18"/>
                <w:color w:val="auto"/>
              </w:rPr>
              <w:t>(33,430)</w:t>
            </w:r>
          </w:p>
        </w:tc>
      </w:tr>
      <w:tr>
        <w:trPr>
          <w:trHeight w:val="209"/>
        </w:trPr>
        <w:tc>
          <w:tcPr>
            <w:tcW w:w="6200" w:type="dxa"/>
            <w:vAlign w:val="bottom"/>
            <w:tcBorders>
              <w:top w:val="single" w:sz="8" w:color="CFF0FC"/>
              <w:right w:val="single" w:sz="8" w:color="CFF0FC"/>
            </w:tcBorders>
            <w:shd w:val="clear" w:color="auto" w:fill="CFF0FC"/>
          </w:tcPr>
          <w:p>
            <w:pPr>
              <w:spacing w:after="0"/>
              <w:rPr>
                <w:sz w:val="20"/>
                <w:szCs w:val="20"/>
                <w:color w:val="auto"/>
              </w:rPr>
            </w:pPr>
            <w:r>
              <w:rPr>
                <w:rFonts w:ascii="Arial" w:cs="Arial" w:eastAsia="Arial" w:hAnsi="Arial"/>
                <w:sz w:val="18"/>
                <w:szCs w:val="18"/>
                <w:color w:val="auto"/>
              </w:rPr>
              <w:t>Less comprehensive income (loss) attributable to redeemable non-controlling</w:t>
            </w:r>
          </w:p>
        </w:tc>
        <w:tc>
          <w:tcPr>
            <w:tcW w:w="320" w:type="dxa"/>
            <w:vAlign w:val="bottom"/>
            <w:tcBorders>
              <w:top w:val="single" w:sz="8" w:color="auto"/>
            </w:tcBorders>
            <w:shd w:val="clear" w:color="auto" w:fill="CFF0FC"/>
          </w:tcPr>
          <w:p>
            <w:pPr>
              <w:spacing w:after="0"/>
              <w:rPr>
                <w:sz w:val="18"/>
                <w:szCs w:val="18"/>
                <w:color w:val="auto"/>
              </w:rPr>
            </w:pPr>
          </w:p>
        </w:tc>
        <w:tc>
          <w:tcPr>
            <w:tcW w:w="1100" w:type="dxa"/>
            <w:vAlign w:val="bottom"/>
            <w:tcBorders>
              <w:top w:val="single" w:sz="8" w:color="auto"/>
            </w:tcBorders>
            <w:shd w:val="clear" w:color="auto" w:fill="CFF0FC"/>
          </w:tcPr>
          <w:p>
            <w:pPr>
              <w:spacing w:after="0"/>
              <w:rPr>
                <w:sz w:val="18"/>
                <w:szCs w:val="18"/>
                <w:color w:val="auto"/>
              </w:rPr>
            </w:pPr>
          </w:p>
        </w:tc>
        <w:tc>
          <w:tcPr>
            <w:tcW w:w="160" w:type="dxa"/>
            <w:vAlign w:val="bottom"/>
            <w:tcBorders>
              <w:top w:val="single" w:sz="8" w:color="CFF0FC"/>
            </w:tcBorders>
            <w:shd w:val="clear" w:color="auto" w:fill="CFF0FC"/>
          </w:tcPr>
          <w:p>
            <w:pPr>
              <w:spacing w:after="0"/>
              <w:rPr>
                <w:sz w:val="18"/>
                <w:szCs w:val="18"/>
                <w:color w:val="auto"/>
              </w:rPr>
            </w:pPr>
          </w:p>
        </w:tc>
        <w:tc>
          <w:tcPr>
            <w:tcW w:w="260" w:type="dxa"/>
            <w:vAlign w:val="bottom"/>
            <w:tcBorders>
              <w:top w:val="single" w:sz="8" w:color="CFF0FC"/>
            </w:tcBorders>
            <w:shd w:val="clear" w:color="auto" w:fill="CFF0FC"/>
          </w:tcPr>
          <w:p>
            <w:pPr>
              <w:spacing w:after="0"/>
              <w:rPr>
                <w:sz w:val="18"/>
                <w:szCs w:val="18"/>
                <w:color w:val="auto"/>
              </w:rPr>
            </w:pPr>
          </w:p>
        </w:tc>
        <w:tc>
          <w:tcPr>
            <w:tcW w:w="320" w:type="dxa"/>
            <w:vAlign w:val="bottom"/>
            <w:tcBorders>
              <w:top w:val="single" w:sz="8" w:color="auto"/>
            </w:tcBorders>
            <w:shd w:val="clear" w:color="auto" w:fill="CFF0FC"/>
          </w:tcPr>
          <w:p>
            <w:pPr>
              <w:spacing w:after="0"/>
              <w:rPr>
                <w:sz w:val="18"/>
                <w:szCs w:val="18"/>
                <w:color w:val="auto"/>
              </w:rPr>
            </w:pPr>
          </w:p>
        </w:tc>
        <w:tc>
          <w:tcPr>
            <w:tcW w:w="1100" w:type="dxa"/>
            <w:vAlign w:val="bottom"/>
            <w:tcBorders>
              <w:top w:val="single" w:sz="8" w:color="auto"/>
            </w:tcBorders>
            <w:shd w:val="clear" w:color="auto" w:fill="CFF0FC"/>
          </w:tcPr>
          <w:p>
            <w:pPr>
              <w:spacing w:after="0"/>
              <w:rPr>
                <w:sz w:val="18"/>
                <w:szCs w:val="18"/>
                <w:color w:val="auto"/>
              </w:rPr>
            </w:pPr>
          </w:p>
        </w:tc>
        <w:tc>
          <w:tcPr>
            <w:tcW w:w="420" w:type="dxa"/>
            <w:vAlign w:val="bottom"/>
            <w:tcBorders>
              <w:top w:val="single" w:sz="8" w:color="CFF0FC"/>
            </w:tcBorders>
            <w:shd w:val="clear" w:color="auto" w:fill="CFF0FC"/>
          </w:tcPr>
          <w:p>
            <w:pPr>
              <w:spacing w:after="0"/>
              <w:rPr>
                <w:sz w:val="18"/>
                <w:szCs w:val="18"/>
                <w:color w:val="auto"/>
              </w:rPr>
            </w:pPr>
          </w:p>
        </w:tc>
        <w:tc>
          <w:tcPr>
            <w:tcW w:w="320" w:type="dxa"/>
            <w:vAlign w:val="bottom"/>
            <w:tcBorders>
              <w:top w:val="single" w:sz="8" w:color="auto"/>
            </w:tcBorders>
            <w:shd w:val="clear" w:color="auto" w:fill="CFF0FC"/>
          </w:tcPr>
          <w:p>
            <w:pPr>
              <w:spacing w:after="0"/>
              <w:rPr>
                <w:sz w:val="18"/>
                <w:szCs w:val="18"/>
                <w:color w:val="auto"/>
              </w:rPr>
            </w:pPr>
          </w:p>
        </w:tc>
        <w:tc>
          <w:tcPr>
            <w:tcW w:w="1120" w:type="dxa"/>
            <w:vAlign w:val="bottom"/>
            <w:tcBorders>
              <w:top w:val="single" w:sz="8" w:color="auto"/>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r>
      <w:tr>
        <w:trPr>
          <w:trHeight w:val="203"/>
        </w:trPr>
        <w:tc>
          <w:tcPr>
            <w:tcW w:w="6200" w:type="dxa"/>
            <w:vAlign w:val="bottom"/>
            <w:tcBorders>
              <w:right w:val="single" w:sz="8" w:color="CFF0FC"/>
            </w:tcBorders>
            <w:shd w:val="clear" w:color="auto" w:fill="CFF0FC"/>
          </w:tcPr>
          <w:p>
            <w:pPr>
              <w:spacing w:after="0" w:line="203" w:lineRule="exact"/>
              <w:rPr>
                <w:sz w:val="20"/>
                <w:szCs w:val="20"/>
                <w:color w:val="auto"/>
              </w:rPr>
            </w:pPr>
            <w:r>
              <w:rPr>
                <w:rFonts w:ascii="Arial" w:cs="Arial" w:eastAsia="Arial" w:hAnsi="Arial"/>
                <w:sz w:val="18"/>
                <w:szCs w:val="18"/>
                <w:color w:val="auto"/>
              </w:rPr>
              <w:t>interest:</w:t>
            </w:r>
          </w:p>
        </w:tc>
        <w:tc>
          <w:tcPr>
            <w:tcW w:w="320" w:type="dxa"/>
            <w:vAlign w:val="bottom"/>
            <w:shd w:val="clear" w:color="auto" w:fill="CFF0FC"/>
          </w:tcPr>
          <w:p>
            <w:pPr>
              <w:spacing w:after="0"/>
              <w:rPr>
                <w:sz w:val="17"/>
                <w:szCs w:val="17"/>
                <w:color w:val="auto"/>
              </w:rPr>
            </w:pPr>
          </w:p>
        </w:tc>
        <w:tc>
          <w:tcPr>
            <w:tcW w:w="110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1100" w:type="dxa"/>
            <w:vAlign w:val="bottom"/>
            <w:shd w:val="clear" w:color="auto" w:fill="CFF0FC"/>
          </w:tcPr>
          <w:p>
            <w:pPr>
              <w:spacing w:after="0"/>
              <w:rPr>
                <w:sz w:val="17"/>
                <w:szCs w:val="17"/>
                <w:color w:val="auto"/>
              </w:rPr>
            </w:pPr>
          </w:p>
        </w:tc>
        <w:tc>
          <w:tcPr>
            <w:tcW w:w="42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11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16"/>
        </w:trPr>
        <w:tc>
          <w:tcPr>
            <w:tcW w:w="6200" w:type="dxa"/>
            <w:vAlign w:val="bottom"/>
          </w:tcPr>
          <w:p>
            <w:pPr>
              <w:ind w:left="260"/>
              <w:spacing w:after="0"/>
              <w:rPr>
                <w:sz w:val="20"/>
                <w:szCs w:val="20"/>
                <w:color w:val="auto"/>
              </w:rPr>
            </w:pPr>
            <w:r>
              <w:rPr>
                <w:rFonts w:ascii="Arial" w:cs="Arial" w:eastAsia="Arial" w:hAnsi="Arial"/>
                <w:sz w:val="18"/>
                <w:szCs w:val="18"/>
                <w:color w:val="auto"/>
              </w:rPr>
              <w:t>Net loss attributable to redeemable non-controlling interest</w:t>
            </w:r>
          </w:p>
        </w:tc>
        <w:tc>
          <w:tcPr>
            <w:tcW w:w="32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(1,444)</w:t>
            </w:r>
          </w:p>
        </w:tc>
        <w:tc>
          <w:tcPr>
            <w:tcW w:w="2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520" w:type="dxa"/>
            <w:vAlign w:val="bottom"/>
            <w:gridSpan w:val="2"/>
          </w:tcPr>
          <w:p>
            <w:pPr>
              <w:jc w:val="right"/>
              <w:ind w:right="360"/>
              <w:spacing w:after="0"/>
              <w:rPr>
                <w:sz w:val="20"/>
                <w:szCs w:val="20"/>
                <w:color w:val="auto"/>
              </w:rPr>
            </w:pPr>
            <w:r>
              <w:rPr>
                <w:rFonts w:ascii="Arial" w:cs="Arial" w:eastAsia="Arial" w:hAnsi="Arial"/>
                <w:sz w:val="18"/>
                <w:szCs w:val="18"/>
                <w:color w:val="auto"/>
              </w:rPr>
              <w:t>(62)</w:t>
            </w:r>
          </w:p>
        </w:tc>
        <w:tc>
          <w:tcPr>
            <w:tcW w:w="320" w:type="dxa"/>
            <w:vAlign w:val="bottom"/>
          </w:tcPr>
          <w:p>
            <w:pPr>
              <w:spacing w:after="0"/>
              <w:rPr>
                <w:sz w:val="18"/>
                <w:szCs w:val="18"/>
                <w:color w:val="auto"/>
              </w:rPr>
            </w:pPr>
          </w:p>
        </w:tc>
        <w:tc>
          <w:tcPr>
            <w:tcW w:w="12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r>
      <w:tr>
        <w:trPr>
          <w:trHeight w:val="215"/>
        </w:trPr>
        <w:tc>
          <w:tcPr>
            <w:tcW w:w="6200" w:type="dxa"/>
            <w:vAlign w:val="bottom"/>
            <w:tcBorders>
              <w:right w:val="single" w:sz="8" w:color="CFF0FC"/>
            </w:tcBorders>
            <w:shd w:val="clear" w:color="auto" w:fill="CFF0FC"/>
          </w:tcPr>
          <w:p>
            <w:pPr>
              <w:ind w:left="260"/>
              <w:spacing w:after="0"/>
              <w:rPr>
                <w:sz w:val="20"/>
                <w:szCs w:val="20"/>
                <w:color w:val="auto"/>
              </w:rPr>
            </w:pPr>
            <w:r>
              <w:rPr>
                <w:rFonts w:ascii="Arial" w:cs="Arial" w:eastAsia="Arial" w:hAnsi="Arial"/>
                <w:sz w:val="18"/>
                <w:szCs w:val="18"/>
                <w:color w:val="auto"/>
              </w:rPr>
              <w:t>Foreign currency translation attributable to redeemable non-controlling</w:t>
            </w:r>
          </w:p>
        </w:tc>
        <w:tc>
          <w:tcPr>
            <w:tcW w:w="320" w:type="dxa"/>
            <w:vAlign w:val="bottom"/>
            <w:shd w:val="clear" w:color="auto" w:fill="CFF0FC"/>
          </w:tcPr>
          <w:p>
            <w:pPr>
              <w:spacing w:after="0"/>
              <w:rPr>
                <w:sz w:val="18"/>
                <w:szCs w:val="18"/>
                <w:color w:val="auto"/>
              </w:rPr>
            </w:pPr>
          </w:p>
        </w:tc>
        <w:tc>
          <w:tcPr>
            <w:tcW w:w="11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10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1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03"/>
        </w:trPr>
        <w:tc>
          <w:tcPr>
            <w:tcW w:w="6200" w:type="dxa"/>
            <w:vAlign w:val="bottom"/>
            <w:tcBorders>
              <w:right w:val="single" w:sz="8" w:color="CFF0FC"/>
            </w:tcBorders>
            <w:shd w:val="clear" w:color="auto" w:fill="CFF0FC"/>
          </w:tcPr>
          <w:p>
            <w:pPr>
              <w:ind w:left="260"/>
              <w:spacing w:after="0" w:line="203" w:lineRule="exact"/>
              <w:rPr>
                <w:sz w:val="20"/>
                <w:szCs w:val="20"/>
                <w:color w:val="auto"/>
              </w:rPr>
            </w:pPr>
            <w:r>
              <w:rPr>
                <w:rFonts w:ascii="Arial" w:cs="Arial" w:eastAsia="Arial" w:hAnsi="Arial"/>
                <w:sz w:val="18"/>
                <w:szCs w:val="18"/>
                <w:color w:val="auto"/>
              </w:rPr>
              <w:t>interest</w:t>
            </w:r>
          </w:p>
        </w:tc>
        <w:tc>
          <w:tcPr>
            <w:tcW w:w="320" w:type="dxa"/>
            <w:vAlign w:val="bottom"/>
            <w:tcBorders>
              <w:bottom w:val="single" w:sz="8" w:color="auto"/>
            </w:tcBorders>
            <w:shd w:val="clear" w:color="auto" w:fill="CFF0FC"/>
          </w:tcPr>
          <w:p>
            <w:pPr>
              <w:spacing w:after="0"/>
              <w:rPr>
                <w:sz w:val="17"/>
                <w:szCs w:val="17"/>
                <w:color w:val="auto"/>
              </w:rPr>
            </w:pPr>
          </w:p>
        </w:tc>
        <w:tc>
          <w:tcPr>
            <w:tcW w:w="1100" w:type="dxa"/>
            <w:vAlign w:val="bottom"/>
            <w:tcBorders>
              <w:bottom w:val="single" w:sz="8" w:color="auto"/>
            </w:tcBorders>
            <w:shd w:val="clear" w:color="auto" w:fill="CFF0FC"/>
          </w:tcPr>
          <w:p>
            <w:pPr>
              <w:jc w:val="right"/>
              <w:spacing w:after="0" w:line="203" w:lineRule="exact"/>
              <w:rPr>
                <w:sz w:val="20"/>
                <w:szCs w:val="20"/>
                <w:color w:val="auto"/>
              </w:rPr>
            </w:pPr>
            <w:r>
              <w:rPr>
                <w:rFonts w:ascii="Arial" w:cs="Arial" w:eastAsia="Arial" w:hAnsi="Arial"/>
                <w:sz w:val="18"/>
                <w:szCs w:val="18"/>
                <w:color w:val="auto"/>
              </w:rPr>
              <w:t>129</w:t>
            </w:r>
          </w:p>
        </w:tc>
        <w:tc>
          <w:tcPr>
            <w:tcW w:w="16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320" w:type="dxa"/>
            <w:vAlign w:val="bottom"/>
            <w:tcBorders>
              <w:bottom w:val="single" w:sz="8" w:color="auto"/>
            </w:tcBorders>
            <w:shd w:val="clear" w:color="auto" w:fill="CFF0FC"/>
          </w:tcPr>
          <w:p>
            <w:pPr>
              <w:spacing w:after="0"/>
              <w:rPr>
                <w:sz w:val="17"/>
                <w:szCs w:val="17"/>
                <w:color w:val="auto"/>
              </w:rPr>
            </w:pPr>
          </w:p>
        </w:tc>
        <w:tc>
          <w:tcPr>
            <w:tcW w:w="1100" w:type="dxa"/>
            <w:vAlign w:val="bottom"/>
            <w:tcBorders>
              <w:bottom w:val="single" w:sz="8" w:color="auto"/>
            </w:tcBorders>
            <w:shd w:val="clear" w:color="auto" w:fill="CFF0FC"/>
          </w:tcPr>
          <w:p>
            <w:pPr>
              <w:jc w:val="right"/>
              <w:spacing w:after="0" w:line="203" w:lineRule="exact"/>
              <w:rPr>
                <w:sz w:val="20"/>
                <w:szCs w:val="20"/>
                <w:color w:val="auto"/>
              </w:rPr>
            </w:pPr>
            <w:r>
              <w:rPr>
                <w:rFonts w:ascii="Arial" w:cs="Arial" w:eastAsia="Arial" w:hAnsi="Arial"/>
                <w:sz w:val="18"/>
                <w:szCs w:val="18"/>
                <w:color w:val="auto"/>
              </w:rPr>
              <w:t>132</w:t>
            </w:r>
          </w:p>
        </w:tc>
        <w:tc>
          <w:tcPr>
            <w:tcW w:w="420" w:type="dxa"/>
            <w:vAlign w:val="bottom"/>
            <w:shd w:val="clear" w:color="auto" w:fill="CFF0FC"/>
          </w:tcPr>
          <w:p>
            <w:pPr>
              <w:spacing w:after="0"/>
              <w:rPr>
                <w:sz w:val="17"/>
                <w:szCs w:val="17"/>
                <w:color w:val="auto"/>
              </w:rPr>
            </w:pPr>
          </w:p>
        </w:tc>
        <w:tc>
          <w:tcPr>
            <w:tcW w:w="320" w:type="dxa"/>
            <w:vAlign w:val="bottom"/>
            <w:tcBorders>
              <w:bottom w:val="single" w:sz="8" w:color="auto"/>
            </w:tcBorders>
            <w:shd w:val="clear" w:color="auto" w:fill="CFF0FC"/>
          </w:tcPr>
          <w:p>
            <w:pPr>
              <w:spacing w:after="0"/>
              <w:rPr>
                <w:sz w:val="17"/>
                <w:szCs w:val="17"/>
                <w:color w:val="auto"/>
              </w:rPr>
            </w:pPr>
          </w:p>
        </w:tc>
        <w:tc>
          <w:tcPr>
            <w:tcW w:w="1120" w:type="dxa"/>
            <w:vAlign w:val="bottom"/>
            <w:tcBorders>
              <w:bottom w:val="single" w:sz="8" w:color="auto"/>
            </w:tcBorders>
            <w:shd w:val="clear" w:color="auto" w:fill="CFF0FC"/>
          </w:tcPr>
          <w:p>
            <w:pPr>
              <w:jc w:val="right"/>
              <w:spacing w:after="0" w:line="203" w:lineRule="exact"/>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7"/>
                <w:szCs w:val="17"/>
                <w:color w:val="auto"/>
              </w:rPr>
            </w:pPr>
          </w:p>
        </w:tc>
      </w:tr>
      <w:tr>
        <w:trPr>
          <w:trHeight w:val="210"/>
        </w:trPr>
        <w:tc>
          <w:tcPr>
            <w:tcW w:w="6200" w:type="dxa"/>
            <w:vAlign w:val="bottom"/>
          </w:tcPr>
          <w:p>
            <w:pPr>
              <w:spacing w:after="0"/>
              <w:rPr>
                <w:sz w:val="20"/>
                <w:szCs w:val="20"/>
                <w:color w:val="auto"/>
              </w:rPr>
            </w:pPr>
            <w:r>
              <w:rPr>
                <w:rFonts w:ascii="Arial" w:cs="Arial" w:eastAsia="Arial" w:hAnsi="Arial"/>
                <w:sz w:val="18"/>
                <w:szCs w:val="18"/>
                <w:color w:val="auto"/>
              </w:rPr>
              <w:t>Comprehensive loss attributable to redeemable non-controlling interest</w:t>
            </w:r>
          </w:p>
        </w:tc>
        <w:tc>
          <w:tcPr>
            <w:tcW w:w="32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(1,315)</w:t>
            </w:r>
          </w:p>
        </w:tc>
        <w:tc>
          <w:tcPr>
            <w:tcW w:w="2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70</w:t>
            </w:r>
          </w:p>
        </w:tc>
        <w:tc>
          <w:tcPr>
            <w:tcW w:w="4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r>
      <w:tr>
        <w:trPr>
          <w:trHeight w:val="20"/>
        </w:trPr>
        <w:tc>
          <w:tcPr>
            <w:tcW w:w="6200" w:type="dxa"/>
            <w:vAlign w:val="bottom"/>
            <w:tcBorders>
              <w:right w:val="single" w:sz="8" w:color="CFF0FC"/>
            </w:tcBorders>
            <w:shd w:val="clear" w:color="auto" w:fill="CFF0FC"/>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420" w:type="dxa"/>
            <w:vAlign w:val="bottom"/>
            <w:shd w:val="clear" w:color="auto" w:fill="CFF0FC"/>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210"/>
        </w:trPr>
        <w:tc>
          <w:tcPr>
            <w:tcW w:w="6200" w:type="dxa"/>
            <w:vAlign w:val="bottom"/>
            <w:tcBorders>
              <w:right w:val="single" w:sz="8" w:color="CFF0FC"/>
            </w:tcBorders>
            <w:shd w:val="clear" w:color="auto" w:fill="CFF0FC"/>
          </w:tcPr>
          <w:p>
            <w:pPr>
              <w:spacing w:after="0"/>
              <w:rPr>
                <w:sz w:val="20"/>
                <w:szCs w:val="20"/>
                <w:color w:val="auto"/>
              </w:rPr>
            </w:pPr>
            <w:r>
              <w:rPr>
                <w:rFonts w:ascii="Arial" w:cs="Arial" w:eastAsia="Arial" w:hAnsi="Arial"/>
                <w:sz w:val="18"/>
                <w:szCs w:val="18"/>
                <w:color w:val="auto"/>
              </w:rPr>
              <w:t>Comprehensive loss attributable to BlackLine, Inc.</w:t>
            </w:r>
          </w:p>
        </w:tc>
        <w:tc>
          <w:tcPr>
            <w:tcW w:w="320" w:type="dxa"/>
            <w:vAlign w:val="bottom"/>
            <w:shd w:val="clear" w:color="auto" w:fill="CFF0FC"/>
          </w:tcPr>
          <w:p>
            <w:pPr>
              <w:jc w:val="right"/>
              <w:ind w:right="130"/>
              <w:spacing w:after="0"/>
              <w:rPr>
                <w:sz w:val="20"/>
                <w:szCs w:val="20"/>
                <w:color w:val="auto"/>
              </w:rPr>
            </w:pPr>
            <w:r>
              <w:rPr>
                <w:rFonts w:ascii="Arial" w:cs="Arial" w:eastAsia="Arial" w:hAnsi="Arial"/>
                <w:sz w:val="18"/>
                <w:szCs w:val="18"/>
                <w:color w:val="auto"/>
                <w:w w:val="79"/>
              </w:rPr>
              <w:t>$</w:t>
            </w:r>
          </w:p>
        </w:tc>
        <w:tc>
          <w:tcPr>
            <w:tcW w:w="126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(30,370)</w:t>
            </w:r>
          </w:p>
        </w:tc>
        <w:tc>
          <w:tcPr>
            <w:tcW w:w="58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1520" w:type="dxa"/>
            <w:vAlign w:val="bottom"/>
            <w:gridSpan w:val="2"/>
            <w:shd w:val="clear" w:color="auto" w:fill="CFF0FC"/>
          </w:tcPr>
          <w:p>
            <w:pPr>
              <w:jc w:val="right"/>
              <w:ind w:right="360"/>
              <w:spacing w:after="0"/>
              <w:rPr>
                <w:sz w:val="20"/>
                <w:szCs w:val="20"/>
                <w:color w:val="auto"/>
              </w:rPr>
            </w:pPr>
            <w:r>
              <w:rPr>
                <w:rFonts w:ascii="Arial" w:cs="Arial" w:eastAsia="Arial" w:hAnsi="Arial"/>
                <w:sz w:val="18"/>
                <w:szCs w:val="18"/>
                <w:color w:val="auto"/>
              </w:rPr>
              <w:t>(28,606)</w:t>
            </w:r>
          </w:p>
        </w:tc>
        <w:tc>
          <w:tcPr>
            <w:tcW w:w="320" w:type="dxa"/>
            <w:vAlign w:val="bottom"/>
            <w:shd w:val="clear" w:color="auto" w:fill="CFF0FC"/>
          </w:tcPr>
          <w:p>
            <w:pPr>
              <w:jc w:val="right"/>
              <w:ind w:right="130"/>
              <w:spacing w:after="0"/>
              <w:rPr>
                <w:sz w:val="20"/>
                <w:szCs w:val="20"/>
                <w:color w:val="auto"/>
              </w:rPr>
            </w:pPr>
            <w:r>
              <w:rPr>
                <w:rFonts w:ascii="Arial" w:cs="Arial" w:eastAsia="Arial" w:hAnsi="Arial"/>
                <w:sz w:val="18"/>
                <w:szCs w:val="18"/>
                <w:color w:val="auto"/>
                <w:w w:val="79"/>
              </w:rPr>
              <w:t>$</w:t>
            </w:r>
          </w:p>
        </w:tc>
        <w:tc>
          <w:tcPr>
            <w:tcW w:w="122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(33,430)</w:t>
            </w:r>
          </w:p>
        </w:tc>
      </w:tr>
      <w:tr>
        <w:trPr>
          <w:trHeight w:val="20"/>
        </w:trPr>
        <w:tc>
          <w:tcPr>
            <w:tcW w:w="6200" w:type="dxa"/>
            <w:vAlign w:val="bottom"/>
            <w:tcBorders>
              <w:top w:val="single" w:sz="8" w:color="CFF0FC"/>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FF0FC"/>
            </w:tcBorders>
          </w:tcPr>
          <w:p>
            <w:pPr>
              <w:spacing w:after="0" w:line="20" w:lineRule="exact"/>
              <w:rPr>
                <w:sz w:val="1"/>
                <w:szCs w:val="1"/>
                <w:color w:val="auto"/>
              </w:rPr>
            </w:pPr>
          </w:p>
        </w:tc>
        <w:tc>
          <w:tcPr>
            <w:tcW w:w="260" w:type="dxa"/>
            <w:vAlign w:val="bottom"/>
            <w:tcBorders>
              <w:top w:val="single" w:sz="8" w:color="CFF0FC"/>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CFF0FC"/>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r>
    </w:tbl>
    <w:p>
      <w:pPr>
        <w:spacing w:after="0" w:line="2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272020"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333" w:right="239" w:bottom="1440" w:gutter="0" w:footer="0" w:header="0"/>
        </w:sectPr>
      </w:pPr>
    </w:p>
    <w:bookmarkStart w:id="59" w:name="page60"/>
    <w:bookmarkEnd w:id="59"/>
    <w:p>
      <w:pPr>
        <w:jc w:val="center"/>
        <w:spacing w:after="0"/>
        <w:rPr>
          <w:sz w:val="20"/>
          <w:szCs w:val="20"/>
          <w:color w:val="auto"/>
        </w:rPr>
      </w:pPr>
      <w:r>
        <w:rPr>
          <w:rFonts w:ascii="Arial" w:cs="Arial" w:eastAsia="Arial" w:hAnsi="Arial"/>
          <w:sz w:val="18"/>
          <w:szCs w:val="18"/>
          <w:b w:val="1"/>
          <w:bCs w:val="1"/>
          <w:color w:val="auto"/>
        </w:rPr>
        <w:t>BLACKLINE, INC.</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STOCKHOLDERS’ EQUITY</w:t>
      </w: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240"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8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80" w:type="dxa"/>
            <w:vAlign w:val="bottom"/>
            <w:gridSpan w:val="3"/>
          </w:tcPr>
          <w:p>
            <w:pPr>
              <w:jc w:val="center"/>
              <w:ind w:right="220"/>
              <w:spacing w:after="0"/>
              <w:rPr>
                <w:sz w:val="20"/>
                <w:szCs w:val="20"/>
                <w:color w:val="auto"/>
              </w:rPr>
            </w:pPr>
            <w:r>
              <w:rPr>
                <w:rFonts w:ascii="Arial" w:cs="Arial" w:eastAsia="Arial" w:hAnsi="Arial"/>
                <w:sz w:val="14"/>
                <w:szCs w:val="14"/>
                <w:b w:val="1"/>
                <w:bCs w:val="1"/>
                <w:color w:val="auto"/>
              </w:rPr>
              <w:t>Accumulated</w:t>
            </w:r>
          </w:p>
        </w:tc>
        <w:tc>
          <w:tcPr>
            <w:tcW w:w="1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62"/>
        </w:trPr>
        <w:tc>
          <w:tcPr>
            <w:tcW w:w="48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80" w:type="dxa"/>
            <w:vAlign w:val="bottom"/>
            <w:gridSpan w:val="3"/>
          </w:tcPr>
          <w:p>
            <w:pPr>
              <w:jc w:val="right"/>
              <w:ind w:right="280"/>
              <w:spacing w:after="0"/>
              <w:rPr>
                <w:sz w:val="20"/>
                <w:szCs w:val="20"/>
                <w:color w:val="auto"/>
              </w:rPr>
            </w:pPr>
            <w:r>
              <w:rPr>
                <w:rFonts w:ascii="Arial" w:cs="Arial" w:eastAsia="Arial" w:hAnsi="Arial"/>
                <w:sz w:val="14"/>
                <w:szCs w:val="14"/>
                <w:b w:val="1"/>
                <w:bCs w:val="1"/>
                <w:color w:val="auto"/>
              </w:rPr>
              <w:t>Additional</w:t>
            </w:r>
          </w:p>
        </w:tc>
        <w:tc>
          <w:tcPr>
            <w:tcW w:w="220" w:type="dxa"/>
            <w:vAlign w:val="bottom"/>
          </w:tcPr>
          <w:p>
            <w:pPr>
              <w:spacing w:after="0"/>
              <w:rPr>
                <w:sz w:val="14"/>
                <w:szCs w:val="14"/>
                <w:color w:val="auto"/>
              </w:rPr>
            </w:pPr>
          </w:p>
        </w:tc>
        <w:tc>
          <w:tcPr>
            <w:tcW w:w="106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rPr>
              <w:t>Other</w:t>
            </w:r>
          </w:p>
        </w:tc>
        <w:tc>
          <w:tcPr>
            <w:tcW w:w="1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75"/>
        </w:trPr>
        <w:tc>
          <w:tcPr>
            <w:tcW w:w="4820" w:type="dxa"/>
            <w:vAlign w:val="bottom"/>
          </w:tcPr>
          <w:p>
            <w:pPr>
              <w:spacing w:after="0"/>
              <w:rPr>
                <w:sz w:val="15"/>
                <w:szCs w:val="15"/>
                <w:color w:val="auto"/>
              </w:rPr>
            </w:pPr>
          </w:p>
        </w:tc>
        <w:tc>
          <w:tcPr>
            <w:tcW w:w="1960" w:type="dxa"/>
            <w:vAlign w:val="bottom"/>
            <w:tcBorders>
              <w:bottom w:val="single" w:sz="8" w:color="auto"/>
            </w:tcBorders>
            <w:gridSpan w:val="4"/>
          </w:tcPr>
          <w:p>
            <w:pPr>
              <w:jc w:val="right"/>
              <w:ind w:right="371"/>
              <w:spacing w:after="0"/>
              <w:rPr>
                <w:sz w:val="20"/>
                <w:szCs w:val="20"/>
                <w:color w:val="auto"/>
              </w:rPr>
            </w:pPr>
            <w:r>
              <w:rPr>
                <w:rFonts w:ascii="Arial" w:cs="Arial" w:eastAsia="Arial" w:hAnsi="Arial"/>
                <w:sz w:val="14"/>
                <w:szCs w:val="14"/>
                <w:b w:val="1"/>
                <w:bCs w:val="1"/>
                <w:color w:val="auto"/>
              </w:rPr>
              <w:t>Common Stock</w:t>
            </w:r>
          </w:p>
        </w:tc>
        <w:tc>
          <w:tcPr>
            <w:tcW w:w="1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20" w:type="dxa"/>
            <w:vAlign w:val="bottom"/>
            <w:gridSpan w:val="2"/>
          </w:tcPr>
          <w:p>
            <w:pPr>
              <w:jc w:val="right"/>
              <w:ind w:right="400"/>
              <w:spacing w:after="0"/>
              <w:rPr>
                <w:sz w:val="20"/>
                <w:szCs w:val="20"/>
                <w:color w:val="auto"/>
              </w:rPr>
            </w:pPr>
            <w:r>
              <w:rPr>
                <w:rFonts w:ascii="Arial" w:cs="Arial" w:eastAsia="Arial" w:hAnsi="Arial"/>
                <w:sz w:val="14"/>
                <w:szCs w:val="14"/>
                <w:b w:val="1"/>
                <w:bCs w:val="1"/>
                <w:color w:val="auto"/>
              </w:rPr>
              <w:t>Paid-in</w:t>
            </w:r>
          </w:p>
        </w:tc>
        <w:tc>
          <w:tcPr>
            <w:tcW w:w="1280" w:type="dxa"/>
            <w:vAlign w:val="bottom"/>
            <w:gridSpan w:val="3"/>
          </w:tcPr>
          <w:p>
            <w:pPr>
              <w:jc w:val="center"/>
              <w:ind w:right="200"/>
              <w:spacing w:after="0"/>
              <w:rPr>
                <w:sz w:val="20"/>
                <w:szCs w:val="20"/>
                <w:color w:val="auto"/>
              </w:rPr>
            </w:pPr>
            <w:r>
              <w:rPr>
                <w:rFonts w:ascii="Arial" w:cs="Arial" w:eastAsia="Arial" w:hAnsi="Arial"/>
                <w:sz w:val="14"/>
                <w:szCs w:val="14"/>
                <w:b w:val="1"/>
                <w:bCs w:val="1"/>
                <w:color w:val="auto"/>
              </w:rPr>
              <w:t>Comprehensive</w:t>
            </w:r>
          </w:p>
        </w:tc>
        <w:tc>
          <w:tcPr>
            <w:tcW w:w="1100" w:type="dxa"/>
            <w:vAlign w:val="bottom"/>
            <w:gridSpan w:val="3"/>
          </w:tcPr>
          <w:p>
            <w:pPr>
              <w:spacing w:after="0"/>
              <w:rPr>
                <w:sz w:val="20"/>
                <w:szCs w:val="20"/>
                <w:color w:val="auto"/>
              </w:rPr>
            </w:pPr>
            <w:r>
              <w:rPr>
                <w:rFonts w:ascii="Arial" w:cs="Arial" w:eastAsia="Arial" w:hAnsi="Arial"/>
                <w:sz w:val="14"/>
                <w:szCs w:val="14"/>
                <w:b w:val="1"/>
                <w:bCs w:val="1"/>
                <w:color w:val="auto"/>
              </w:rPr>
              <w:t>Accumulated</w:t>
            </w:r>
          </w:p>
        </w:tc>
        <w:tc>
          <w:tcPr>
            <w:tcW w:w="1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169"/>
        </w:trPr>
        <w:tc>
          <w:tcPr>
            <w:tcW w:w="4820" w:type="dxa"/>
            <w:vAlign w:val="bottom"/>
            <w:tcBorders>
              <w:bottom w:val="single" w:sz="8" w:color="CFF0FC"/>
            </w:tcBorders>
          </w:tcPr>
          <w:p>
            <w:pPr>
              <w:spacing w:after="0"/>
              <w:rPr>
                <w:sz w:val="14"/>
                <w:szCs w:val="14"/>
                <w:color w:val="auto"/>
              </w:rPr>
            </w:pPr>
          </w:p>
        </w:tc>
        <w:tc>
          <w:tcPr>
            <w:tcW w:w="880" w:type="dxa"/>
            <w:vAlign w:val="bottom"/>
            <w:tcBorders>
              <w:bottom w:val="single" w:sz="8" w:color="auto"/>
            </w:tcBorders>
          </w:tcPr>
          <w:p>
            <w:pPr>
              <w:jc w:val="right"/>
              <w:ind w:right="131"/>
              <w:spacing w:after="0"/>
              <w:rPr>
                <w:sz w:val="20"/>
                <w:szCs w:val="20"/>
                <w:color w:val="auto"/>
              </w:rPr>
            </w:pPr>
            <w:r>
              <w:rPr>
                <w:rFonts w:ascii="Arial" w:cs="Arial" w:eastAsia="Arial" w:hAnsi="Arial"/>
                <w:sz w:val="14"/>
                <w:szCs w:val="14"/>
                <w:b w:val="1"/>
                <w:bCs w:val="1"/>
                <w:color w:val="auto"/>
              </w:rPr>
              <w:t>Shares</w:t>
            </w:r>
          </w:p>
        </w:tc>
        <w:tc>
          <w:tcPr>
            <w:tcW w:w="180" w:type="dxa"/>
            <w:vAlign w:val="bottom"/>
            <w:tcBorders>
              <w:bottom w:val="single" w:sz="8" w:color="CFF0FC"/>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ind w:right="91"/>
              <w:spacing w:after="0"/>
              <w:rPr>
                <w:sz w:val="20"/>
                <w:szCs w:val="20"/>
                <w:color w:val="auto"/>
              </w:rPr>
            </w:pPr>
            <w:r>
              <w:rPr>
                <w:rFonts w:ascii="Arial" w:cs="Arial" w:eastAsia="Arial" w:hAnsi="Arial"/>
                <w:sz w:val="14"/>
                <w:szCs w:val="14"/>
                <w:b w:val="1"/>
                <w:bCs w:val="1"/>
                <w:color w:val="auto"/>
              </w:rPr>
              <w:t>Amount</w:t>
            </w:r>
          </w:p>
        </w:tc>
        <w:tc>
          <w:tcPr>
            <w:tcW w:w="180" w:type="dxa"/>
            <w:vAlign w:val="bottom"/>
            <w:tcBorders>
              <w:bottom w:val="single" w:sz="8" w:color="CFF0FC"/>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ind w:right="131"/>
              <w:spacing w:after="0"/>
              <w:rPr>
                <w:sz w:val="20"/>
                <w:szCs w:val="20"/>
                <w:color w:val="auto"/>
              </w:rPr>
            </w:pPr>
            <w:r>
              <w:rPr>
                <w:rFonts w:ascii="Arial" w:cs="Arial" w:eastAsia="Arial" w:hAnsi="Arial"/>
                <w:sz w:val="14"/>
                <w:szCs w:val="14"/>
                <w:b w:val="1"/>
                <w:bCs w:val="1"/>
                <w:color w:val="auto"/>
              </w:rPr>
              <w:t>Capital</w:t>
            </w:r>
          </w:p>
        </w:tc>
        <w:tc>
          <w:tcPr>
            <w:tcW w:w="180" w:type="dxa"/>
            <w:vAlign w:val="bottom"/>
            <w:tcBorders>
              <w:bottom w:val="single" w:sz="8" w:color="CFF0FC"/>
            </w:tcBorders>
          </w:tcPr>
          <w:p>
            <w:pPr>
              <w:spacing w:after="0"/>
              <w:rPr>
                <w:sz w:val="14"/>
                <w:szCs w:val="14"/>
                <w:color w:val="auto"/>
              </w:rPr>
            </w:pPr>
          </w:p>
        </w:tc>
        <w:tc>
          <w:tcPr>
            <w:tcW w:w="108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rPr>
              <w:t>Income (Loss)</w:t>
            </w:r>
          </w:p>
        </w:tc>
        <w:tc>
          <w:tcPr>
            <w:tcW w:w="200" w:type="dxa"/>
            <w:vAlign w:val="bottom"/>
            <w:tcBorders>
              <w:bottom w:val="single" w:sz="8" w:color="CFF0FC"/>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ind w:right="171"/>
              <w:spacing w:after="0"/>
              <w:rPr>
                <w:sz w:val="20"/>
                <w:szCs w:val="20"/>
                <w:color w:val="auto"/>
              </w:rPr>
            </w:pPr>
            <w:r>
              <w:rPr>
                <w:rFonts w:ascii="Arial" w:cs="Arial" w:eastAsia="Arial" w:hAnsi="Arial"/>
                <w:sz w:val="14"/>
                <w:szCs w:val="14"/>
                <w:b w:val="1"/>
                <w:bCs w:val="1"/>
                <w:color w:val="auto"/>
              </w:rPr>
              <w:t>Deficit</w:t>
            </w:r>
          </w:p>
        </w:tc>
        <w:tc>
          <w:tcPr>
            <w:tcW w:w="180" w:type="dxa"/>
            <w:vAlign w:val="bottom"/>
            <w:tcBorders>
              <w:bottom w:val="single" w:sz="8" w:color="CFF0FC"/>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ind w:right="211"/>
              <w:spacing w:after="0"/>
              <w:rPr>
                <w:sz w:val="20"/>
                <w:szCs w:val="20"/>
                <w:color w:val="auto"/>
              </w:rPr>
            </w:pPr>
            <w:r>
              <w:rPr>
                <w:rFonts w:ascii="Arial" w:cs="Arial" w:eastAsia="Arial" w:hAnsi="Arial"/>
                <w:sz w:val="14"/>
                <w:szCs w:val="14"/>
                <w:b w:val="1"/>
                <w:bCs w:val="1"/>
                <w:color w:val="auto"/>
              </w:rPr>
              <w:t>Total</w:t>
            </w:r>
          </w:p>
        </w:tc>
        <w:tc>
          <w:tcPr>
            <w:tcW w:w="100" w:type="dxa"/>
            <w:vAlign w:val="bottom"/>
            <w:tcBorders>
              <w:bottom w:val="single" w:sz="8" w:color="CFF0FC"/>
            </w:tcBorders>
          </w:tcPr>
          <w:p>
            <w:pPr>
              <w:spacing w:after="0"/>
              <w:rPr>
                <w:sz w:val="14"/>
                <w:szCs w:val="14"/>
                <w:color w:val="auto"/>
              </w:rPr>
            </w:pPr>
          </w:p>
        </w:tc>
      </w:tr>
      <w:tr>
        <w:trPr>
          <w:trHeight w:val="210"/>
        </w:trPr>
        <w:tc>
          <w:tcPr>
            <w:tcW w:w="4820" w:type="dxa"/>
            <w:vAlign w:val="bottom"/>
            <w:shd w:val="clear" w:color="auto" w:fill="CFF0FC"/>
          </w:tcPr>
          <w:p>
            <w:pPr>
              <w:spacing w:after="0"/>
              <w:rPr>
                <w:sz w:val="20"/>
                <w:szCs w:val="20"/>
                <w:color w:val="auto"/>
              </w:rPr>
            </w:pPr>
            <w:r>
              <w:rPr>
                <w:rFonts w:ascii="Arial" w:cs="Arial" w:eastAsia="Arial" w:hAnsi="Arial"/>
                <w:sz w:val="18"/>
                <w:szCs w:val="18"/>
                <w:color w:val="auto"/>
              </w:rPr>
              <w:t>Balance at December 31, 2016</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51,278</w:t>
            </w:r>
          </w:p>
        </w:tc>
        <w:tc>
          <w:tcPr>
            <w:tcW w:w="3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513</w:t>
            </w:r>
          </w:p>
        </w:tc>
        <w:tc>
          <w:tcPr>
            <w:tcW w:w="3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378,272</w:t>
            </w:r>
          </w:p>
        </w:tc>
        <w:tc>
          <w:tcPr>
            <w:tcW w:w="180" w:type="dxa"/>
            <w:vAlign w:val="bottom"/>
            <w:tcBorders>
              <w:right w:val="single" w:sz="8" w:color="CFF0FC"/>
            </w:tcBorders>
            <w:shd w:val="clear" w:color="auto" w:fill="CFF0FC"/>
          </w:tcPr>
          <w:p>
            <w:pPr>
              <w:spacing w:after="0"/>
              <w:rPr>
                <w:sz w:val="18"/>
                <w:szCs w:val="18"/>
                <w:color w:val="auto"/>
              </w:rPr>
            </w:pPr>
          </w:p>
        </w:tc>
        <w:tc>
          <w:tcPr>
            <w:tcW w:w="220" w:type="dxa"/>
            <w:vAlign w:val="bottom"/>
            <w:shd w:val="clear" w:color="auto" w:fill="CFF0FC"/>
          </w:tcPr>
          <w:p>
            <w:pPr>
              <w:jc w:val="right"/>
              <w:ind w:right="41"/>
              <w:spacing w:after="0"/>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(41)</w:t>
            </w:r>
          </w:p>
        </w:tc>
        <w:tc>
          <w:tcPr>
            <w:tcW w:w="140" w:type="dxa"/>
            <w:vAlign w:val="bottom"/>
            <w:shd w:val="clear" w:color="auto" w:fill="CFF0FC"/>
          </w:tcPr>
          <w:p>
            <w:pPr>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(70,702)</w:t>
            </w:r>
          </w:p>
        </w:tc>
        <w:tc>
          <w:tcPr>
            <w:tcW w:w="1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308,042</w:t>
            </w:r>
          </w:p>
        </w:tc>
        <w:tc>
          <w:tcPr>
            <w:tcW w:w="100" w:type="dxa"/>
            <w:vAlign w:val="bottom"/>
            <w:shd w:val="clear" w:color="auto" w:fill="CFF0FC"/>
          </w:tcPr>
          <w:p>
            <w:pPr>
              <w:spacing w:after="0"/>
              <w:rPr>
                <w:sz w:val="18"/>
                <w:szCs w:val="18"/>
                <w:color w:val="auto"/>
              </w:rPr>
            </w:pPr>
          </w:p>
        </w:tc>
      </w:tr>
      <w:tr>
        <w:trPr>
          <w:trHeight w:val="215"/>
        </w:trPr>
        <w:tc>
          <w:tcPr>
            <w:tcW w:w="4820" w:type="dxa"/>
            <w:vAlign w:val="bottom"/>
          </w:tcPr>
          <w:p>
            <w:pPr>
              <w:ind w:left="260"/>
              <w:spacing w:after="0"/>
              <w:rPr>
                <w:sz w:val="20"/>
                <w:szCs w:val="20"/>
                <w:color w:val="auto"/>
              </w:rPr>
            </w:pPr>
            <w:r>
              <w:rPr>
                <w:rFonts w:ascii="Arial" w:cs="Arial" w:eastAsia="Arial" w:hAnsi="Arial"/>
                <w:sz w:val="18"/>
                <w:szCs w:val="18"/>
                <w:color w:val="auto"/>
              </w:rPr>
              <w:t>Adjustment for change in accounting</w:t>
            </w:r>
          </w:p>
        </w:tc>
        <w:tc>
          <w:tcPr>
            <w:tcW w:w="8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03"/>
        </w:trPr>
        <w:tc>
          <w:tcPr>
            <w:tcW w:w="4820" w:type="dxa"/>
            <w:vAlign w:val="bottom"/>
          </w:tcPr>
          <w:p>
            <w:pPr>
              <w:ind w:left="460"/>
              <w:spacing w:after="0" w:line="203" w:lineRule="exact"/>
              <w:rPr>
                <w:sz w:val="20"/>
                <w:szCs w:val="20"/>
                <w:color w:val="auto"/>
              </w:rPr>
            </w:pPr>
            <w:r>
              <w:rPr>
                <w:rFonts w:ascii="Arial" w:cs="Arial" w:eastAsia="Arial" w:hAnsi="Arial"/>
                <w:sz w:val="18"/>
                <w:szCs w:val="18"/>
                <w:color w:val="auto"/>
              </w:rPr>
              <w:t>policy for stock option forfeitures</w:t>
            </w:r>
          </w:p>
        </w:tc>
        <w:tc>
          <w:tcPr>
            <w:tcW w:w="880" w:type="dxa"/>
            <w:vAlign w:val="bottom"/>
          </w:tcPr>
          <w:p>
            <w:pPr>
              <w:jc w:val="right"/>
              <w:spacing w:after="0" w:line="203" w:lineRule="exact"/>
              <w:rPr>
                <w:sz w:val="20"/>
                <w:szCs w:val="20"/>
                <w:color w:val="auto"/>
              </w:rPr>
            </w:pPr>
            <w:r>
              <w:rPr>
                <w:rFonts w:ascii="Arial" w:cs="Arial" w:eastAsia="Arial" w:hAnsi="Arial"/>
                <w:sz w:val="18"/>
                <w:szCs w:val="18"/>
                <w:color w:val="auto"/>
              </w:rPr>
              <w:t>—</w:t>
            </w: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jc w:val="right"/>
              <w:spacing w:after="0" w:line="203" w:lineRule="exact"/>
              <w:rPr>
                <w:sz w:val="20"/>
                <w:szCs w:val="20"/>
                <w:color w:val="auto"/>
              </w:rPr>
            </w:pPr>
            <w:r>
              <w:rPr>
                <w:rFonts w:ascii="Arial" w:cs="Arial" w:eastAsia="Arial" w:hAnsi="Arial"/>
                <w:sz w:val="18"/>
                <w:szCs w:val="18"/>
                <w:color w:val="auto"/>
              </w:rPr>
              <w:t>—</w:t>
            </w: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tcPr>
          <w:p>
            <w:pPr>
              <w:jc w:val="right"/>
              <w:spacing w:after="0" w:line="203" w:lineRule="exact"/>
              <w:rPr>
                <w:sz w:val="20"/>
                <w:szCs w:val="20"/>
                <w:color w:val="auto"/>
              </w:rPr>
            </w:pPr>
            <w:r>
              <w:rPr>
                <w:rFonts w:ascii="Arial" w:cs="Arial" w:eastAsia="Arial" w:hAnsi="Arial"/>
                <w:sz w:val="18"/>
                <w:szCs w:val="18"/>
                <w:color w:val="auto"/>
              </w:rPr>
              <w:t>72</w:t>
            </w:r>
          </w:p>
        </w:tc>
        <w:tc>
          <w:tcPr>
            <w:tcW w:w="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60" w:type="dxa"/>
            <w:vAlign w:val="bottom"/>
          </w:tcPr>
          <w:p>
            <w:pPr>
              <w:jc w:val="right"/>
              <w:spacing w:after="0" w:line="203" w:lineRule="exact"/>
              <w:rPr>
                <w:sz w:val="20"/>
                <w:szCs w:val="20"/>
                <w:color w:val="auto"/>
              </w:rPr>
            </w:pPr>
            <w:r>
              <w:rPr>
                <w:rFonts w:ascii="Arial" w:cs="Arial" w:eastAsia="Arial" w:hAnsi="Arial"/>
                <w:sz w:val="18"/>
                <w:szCs w:val="18"/>
                <w:color w:val="auto"/>
              </w:rPr>
              <w:t>—</w:t>
            </w: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60" w:type="dxa"/>
            <w:vAlign w:val="bottom"/>
            <w:gridSpan w:val="2"/>
          </w:tcPr>
          <w:p>
            <w:pPr>
              <w:jc w:val="right"/>
              <w:ind w:right="120"/>
              <w:spacing w:after="0" w:line="203" w:lineRule="exact"/>
              <w:rPr>
                <w:sz w:val="20"/>
                <w:szCs w:val="20"/>
                <w:color w:val="auto"/>
              </w:rPr>
            </w:pPr>
            <w:r>
              <w:rPr>
                <w:rFonts w:ascii="Arial" w:cs="Arial" w:eastAsia="Arial" w:hAnsi="Arial"/>
                <w:sz w:val="18"/>
                <w:szCs w:val="18"/>
                <w:color w:val="auto"/>
              </w:rPr>
              <w:t>(72)</w:t>
            </w:r>
          </w:p>
        </w:tc>
        <w:tc>
          <w:tcPr>
            <w:tcW w:w="160" w:type="dxa"/>
            <w:vAlign w:val="bottom"/>
          </w:tcPr>
          <w:p>
            <w:pPr>
              <w:spacing w:after="0"/>
              <w:rPr>
                <w:sz w:val="17"/>
                <w:szCs w:val="17"/>
                <w:color w:val="auto"/>
              </w:rPr>
            </w:pPr>
          </w:p>
        </w:tc>
        <w:tc>
          <w:tcPr>
            <w:tcW w:w="840" w:type="dxa"/>
            <w:vAlign w:val="bottom"/>
            <w:gridSpan w:val="2"/>
          </w:tcPr>
          <w:p>
            <w:pPr>
              <w:jc w:val="right"/>
              <w:ind w:right="120"/>
              <w:spacing w:after="0" w:line="203" w:lineRule="exact"/>
              <w:rPr>
                <w:sz w:val="20"/>
                <w:szCs w:val="20"/>
                <w:color w:val="auto"/>
              </w:rPr>
            </w:pPr>
            <w:r>
              <w:rPr>
                <w:rFonts w:ascii="Arial" w:cs="Arial" w:eastAsia="Arial" w:hAnsi="Arial"/>
                <w:sz w:val="18"/>
                <w:szCs w:val="18"/>
                <w:color w:val="auto"/>
              </w:rPr>
              <w:t>—</w:t>
            </w:r>
          </w:p>
        </w:tc>
      </w:tr>
      <w:tr>
        <w:trPr>
          <w:trHeight w:val="20"/>
        </w:trPr>
        <w:tc>
          <w:tcPr>
            <w:tcW w:w="4820" w:type="dxa"/>
            <w:vAlign w:val="bottom"/>
            <w:shd w:val="clear" w:color="auto" w:fill="CFF0FC"/>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80" w:type="dxa"/>
            <w:vAlign w:val="bottom"/>
            <w:tcBorders>
              <w:right w:val="single" w:sz="8" w:color="CFF0FC"/>
            </w:tcBorders>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210"/>
        </w:trPr>
        <w:tc>
          <w:tcPr>
            <w:tcW w:w="4820" w:type="dxa"/>
            <w:vAlign w:val="bottom"/>
            <w:shd w:val="clear" w:color="auto" w:fill="CFF0FC"/>
          </w:tcPr>
          <w:p>
            <w:pPr>
              <w:spacing w:after="0"/>
              <w:rPr>
                <w:sz w:val="20"/>
                <w:szCs w:val="20"/>
                <w:color w:val="auto"/>
              </w:rPr>
            </w:pPr>
            <w:r>
              <w:rPr>
                <w:rFonts w:ascii="Arial" w:cs="Arial" w:eastAsia="Arial" w:hAnsi="Arial"/>
                <w:sz w:val="18"/>
                <w:szCs w:val="18"/>
                <w:color w:val="auto"/>
              </w:rPr>
              <w:t>Balance at January 1, 2017</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51,278</w:t>
            </w:r>
          </w:p>
        </w:tc>
        <w:tc>
          <w:tcPr>
            <w:tcW w:w="1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513</w:t>
            </w:r>
          </w:p>
        </w:tc>
        <w:tc>
          <w:tcPr>
            <w:tcW w:w="1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378,344</w:t>
            </w:r>
          </w:p>
        </w:tc>
        <w:tc>
          <w:tcPr>
            <w:tcW w:w="180" w:type="dxa"/>
            <w:vAlign w:val="bottom"/>
            <w:tcBorders>
              <w:right w:val="single" w:sz="8" w:color="CFF0FC"/>
            </w:tcBorders>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6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(41)</w:t>
            </w:r>
          </w:p>
        </w:tc>
        <w:tc>
          <w:tcPr>
            <w:tcW w:w="140" w:type="dxa"/>
            <w:vAlign w:val="bottom"/>
            <w:shd w:val="clear" w:color="auto" w:fill="CFF0FC"/>
          </w:tcPr>
          <w:p>
            <w:pPr>
              <w:spacing w:after="0"/>
              <w:rPr>
                <w:sz w:val="18"/>
                <w:szCs w:val="18"/>
                <w:color w:val="auto"/>
              </w:rPr>
            </w:pPr>
          </w:p>
        </w:tc>
        <w:tc>
          <w:tcPr>
            <w:tcW w:w="96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(70,774)</w:t>
            </w:r>
          </w:p>
        </w:tc>
        <w:tc>
          <w:tcPr>
            <w:tcW w:w="160" w:type="dxa"/>
            <w:vAlign w:val="bottom"/>
            <w:shd w:val="clear" w:color="auto" w:fill="CFF0FC"/>
          </w:tcPr>
          <w:p>
            <w:pPr>
              <w:spacing w:after="0"/>
              <w:rPr>
                <w:sz w:val="18"/>
                <w:szCs w:val="18"/>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308,042</w:t>
            </w:r>
          </w:p>
        </w:tc>
        <w:tc>
          <w:tcPr>
            <w:tcW w:w="100" w:type="dxa"/>
            <w:vAlign w:val="bottom"/>
            <w:shd w:val="clear" w:color="auto" w:fill="CFF0FC"/>
          </w:tcPr>
          <w:p>
            <w:pPr>
              <w:spacing w:after="0"/>
              <w:rPr>
                <w:sz w:val="18"/>
                <w:szCs w:val="18"/>
                <w:color w:val="auto"/>
              </w:rPr>
            </w:pPr>
          </w:p>
        </w:tc>
      </w:tr>
      <w:tr>
        <w:trPr>
          <w:trHeight w:val="210"/>
        </w:trPr>
        <w:tc>
          <w:tcPr>
            <w:tcW w:w="4820" w:type="dxa"/>
            <w:vAlign w:val="bottom"/>
          </w:tcPr>
          <w:p>
            <w:pPr>
              <w:ind w:left="260"/>
              <w:spacing w:after="0"/>
              <w:rPr>
                <w:sz w:val="20"/>
                <w:szCs w:val="20"/>
                <w:color w:val="auto"/>
              </w:rPr>
            </w:pPr>
            <w:r>
              <w:rPr>
                <w:rFonts w:ascii="Arial" w:cs="Arial" w:eastAsia="Arial" w:hAnsi="Arial"/>
                <w:sz w:val="18"/>
                <w:szCs w:val="18"/>
                <w:color w:val="auto"/>
              </w:rPr>
              <w:t>Net exercise of stock warrants</w:t>
            </w: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428</w:t>
            </w:r>
          </w:p>
        </w:tc>
        <w:tc>
          <w:tcPr>
            <w:tcW w:w="18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w:t>
            </w:r>
          </w:p>
        </w:tc>
        <w:tc>
          <w:tcPr>
            <w:tcW w:w="18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14,866</w:t>
            </w:r>
          </w:p>
        </w:tc>
        <w:tc>
          <w:tcPr>
            <w:tcW w:w="18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14,870</w:t>
            </w:r>
          </w:p>
        </w:tc>
        <w:tc>
          <w:tcPr>
            <w:tcW w:w="100" w:type="dxa"/>
            <w:vAlign w:val="bottom"/>
          </w:tcPr>
          <w:p>
            <w:pPr>
              <w:spacing w:after="0"/>
              <w:rPr>
                <w:sz w:val="18"/>
                <w:szCs w:val="18"/>
                <w:color w:val="auto"/>
              </w:rPr>
            </w:pPr>
          </w:p>
        </w:tc>
      </w:tr>
      <w:tr>
        <w:trPr>
          <w:trHeight w:val="230"/>
        </w:trPr>
        <w:tc>
          <w:tcPr>
            <w:tcW w:w="48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Stock option exercises</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1,277</w:t>
            </w:r>
          </w:p>
        </w:tc>
        <w:tc>
          <w:tcPr>
            <w:tcW w:w="1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w:t>
            </w:r>
          </w:p>
        </w:tc>
        <w:tc>
          <w:tcPr>
            <w:tcW w:w="1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10,239</w:t>
            </w:r>
          </w:p>
        </w:tc>
        <w:tc>
          <w:tcPr>
            <w:tcW w:w="180" w:type="dxa"/>
            <w:vAlign w:val="bottom"/>
            <w:tcBorders>
              <w:right w:val="single" w:sz="8" w:color="CFF0FC"/>
            </w:tcBorders>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6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19"/>
                <w:szCs w:val="19"/>
                <w:color w:val="auto"/>
              </w:rPr>
            </w:pPr>
          </w:p>
        </w:tc>
        <w:tc>
          <w:tcPr>
            <w:tcW w:w="96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10,252</w:t>
            </w:r>
          </w:p>
        </w:tc>
        <w:tc>
          <w:tcPr>
            <w:tcW w:w="100" w:type="dxa"/>
            <w:vAlign w:val="bottom"/>
            <w:shd w:val="clear" w:color="auto" w:fill="CFF0FC"/>
          </w:tcPr>
          <w:p>
            <w:pPr>
              <w:spacing w:after="0"/>
              <w:rPr>
                <w:sz w:val="19"/>
                <w:szCs w:val="19"/>
                <w:color w:val="auto"/>
              </w:rPr>
            </w:pPr>
          </w:p>
        </w:tc>
      </w:tr>
      <w:tr>
        <w:trPr>
          <w:trHeight w:val="230"/>
        </w:trPr>
        <w:tc>
          <w:tcPr>
            <w:tcW w:w="4820" w:type="dxa"/>
            <w:vAlign w:val="bottom"/>
          </w:tcPr>
          <w:p>
            <w:pPr>
              <w:ind w:left="260"/>
              <w:spacing w:after="0"/>
              <w:rPr>
                <w:sz w:val="20"/>
                <w:szCs w:val="20"/>
                <w:color w:val="auto"/>
              </w:rPr>
            </w:pPr>
            <w:r>
              <w:rPr>
                <w:rFonts w:ascii="Arial" w:cs="Arial" w:eastAsia="Arial" w:hAnsi="Arial"/>
                <w:sz w:val="18"/>
                <w:szCs w:val="18"/>
                <w:color w:val="auto"/>
              </w:rPr>
              <w:t>Stock-based compensation</w:t>
            </w: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16,179</w:t>
            </w:r>
          </w:p>
        </w:tc>
        <w:tc>
          <w:tcPr>
            <w:tcW w:w="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16,179</w:t>
            </w:r>
          </w:p>
        </w:tc>
        <w:tc>
          <w:tcPr>
            <w:tcW w:w="100" w:type="dxa"/>
            <w:vAlign w:val="bottom"/>
          </w:tcPr>
          <w:p>
            <w:pPr>
              <w:spacing w:after="0"/>
              <w:rPr>
                <w:sz w:val="19"/>
                <w:szCs w:val="19"/>
                <w:color w:val="auto"/>
              </w:rPr>
            </w:pPr>
          </w:p>
        </w:tc>
      </w:tr>
      <w:tr>
        <w:trPr>
          <w:trHeight w:val="230"/>
        </w:trPr>
        <w:tc>
          <w:tcPr>
            <w:tcW w:w="48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Other comprehensive loss</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20" w:type="dxa"/>
            <w:vAlign w:val="bottom"/>
            <w:tcBorders>
              <w:right w:val="single" w:sz="8" w:color="CFF0FC"/>
            </w:tcBorders>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106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(22)</w:t>
            </w:r>
          </w:p>
        </w:tc>
        <w:tc>
          <w:tcPr>
            <w:tcW w:w="140" w:type="dxa"/>
            <w:vAlign w:val="bottom"/>
            <w:shd w:val="clear" w:color="auto" w:fill="CFF0FC"/>
          </w:tcPr>
          <w:p>
            <w:pPr>
              <w:spacing w:after="0"/>
              <w:rPr>
                <w:sz w:val="19"/>
                <w:szCs w:val="19"/>
                <w:color w:val="auto"/>
              </w:rPr>
            </w:pPr>
          </w:p>
        </w:tc>
        <w:tc>
          <w:tcPr>
            <w:tcW w:w="96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FF0FC"/>
          </w:tcPr>
          <w:p>
            <w:pPr>
              <w:spacing w:after="0"/>
              <w:rPr>
                <w:sz w:val="19"/>
                <w:szCs w:val="19"/>
                <w:color w:val="auto"/>
              </w:rPr>
            </w:pPr>
          </w:p>
        </w:tc>
        <w:tc>
          <w:tcPr>
            <w:tcW w:w="8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(22)</w:t>
            </w:r>
          </w:p>
        </w:tc>
      </w:tr>
      <w:tr>
        <w:trPr>
          <w:trHeight w:val="230"/>
        </w:trPr>
        <w:tc>
          <w:tcPr>
            <w:tcW w:w="4820" w:type="dxa"/>
            <w:vAlign w:val="bottom"/>
          </w:tcPr>
          <w:p>
            <w:pPr>
              <w:ind w:left="260"/>
              <w:spacing w:after="0"/>
              <w:rPr>
                <w:sz w:val="20"/>
                <w:szCs w:val="20"/>
                <w:color w:val="auto"/>
              </w:rPr>
            </w:pPr>
            <w:r>
              <w:rPr>
                <w:rFonts w:ascii="Arial" w:cs="Arial" w:eastAsia="Arial" w:hAnsi="Arial"/>
                <w:sz w:val="18"/>
                <w:szCs w:val="18"/>
                <w:color w:val="auto"/>
              </w:rPr>
              <w:t>Net loss attributable to BlackLine, Inc.</w:t>
            </w: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60" w:type="dxa"/>
            <w:vAlign w:val="bottom"/>
            <w:gridSpan w:val="2"/>
          </w:tcPr>
          <w:p>
            <w:pPr>
              <w:jc w:val="right"/>
              <w:ind w:right="120"/>
              <w:spacing w:after="0"/>
              <w:rPr>
                <w:sz w:val="20"/>
                <w:szCs w:val="20"/>
                <w:color w:val="auto"/>
              </w:rPr>
            </w:pPr>
            <w:r>
              <w:rPr>
                <w:rFonts w:ascii="Arial" w:cs="Arial" w:eastAsia="Arial" w:hAnsi="Arial"/>
                <w:sz w:val="18"/>
                <w:szCs w:val="18"/>
                <w:color w:val="auto"/>
              </w:rPr>
              <w:t>(33,408)</w:t>
            </w:r>
          </w:p>
        </w:tc>
        <w:tc>
          <w:tcPr>
            <w:tcW w:w="160" w:type="dxa"/>
            <w:vAlign w:val="bottom"/>
          </w:tcPr>
          <w:p>
            <w:pPr>
              <w:spacing w:after="0"/>
              <w:rPr>
                <w:sz w:val="19"/>
                <w:szCs w:val="19"/>
                <w:color w:val="auto"/>
              </w:rPr>
            </w:pPr>
          </w:p>
        </w:tc>
        <w:tc>
          <w:tcPr>
            <w:tcW w:w="840" w:type="dxa"/>
            <w:vAlign w:val="bottom"/>
            <w:gridSpan w:val="2"/>
          </w:tcPr>
          <w:p>
            <w:pPr>
              <w:jc w:val="right"/>
              <w:ind w:right="40"/>
              <w:spacing w:after="0"/>
              <w:rPr>
                <w:sz w:val="20"/>
                <w:szCs w:val="20"/>
                <w:color w:val="auto"/>
              </w:rPr>
            </w:pPr>
            <w:r>
              <w:rPr>
                <w:rFonts w:ascii="Arial" w:cs="Arial" w:eastAsia="Arial" w:hAnsi="Arial"/>
                <w:sz w:val="18"/>
                <w:szCs w:val="18"/>
                <w:color w:val="auto"/>
              </w:rPr>
              <w:t>(33,408)</w:t>
            </w:r>
          </w:p>
        </w:tc>
      </w:tr>
      <w:tr>
        <w:trPr>
          <w:trHeight w:val="20"/>
        </w:trPr>
        <w:tc>
          <w:tcPr>
            <w:tcW w:w="4820" w:type="dxa"/>
            <w:vAlign w:val="bottom"/>
            <w:shd w:val="clear" w:color="auto" w:fill="CFF0FC"/>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80" w:type="dxa"/>
            <w:vAlign w:val="bottom"/>
            <w:tcBorders>
              <w:right w:val="single" w:sz="8" w:color="CFF0FC"/>
            </w:tcBorders>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223"/>
        </w:trPr>
        <w:tc>
          <w:tcPr>
            <w:tcW w:w="4820" w:type="dxa"/>
            <w:vAlign w:val="bottom"/>
            <w:shd w:val="clear" w:color="auto" w:fill="CFF0FC"/>
          </w:tcPr>
          <w:p>
            <w:pPr>
              <w:spacing w:after="0"/>
              <w:rPr>
                <w:sz w:val="20"/>
                <w:szCs w:val="20"/>
                <w:color w:val="auto"/>
              </w:rPr>
            </w:pPr>
            <w:r>
              <w:rPr>
                <w:rFonts w:ascii="Arial" w:cs="Arial" w:eastAsia="Arial" w:hAnsi="Arial"/>
                <w:sz w:val="18"/>
                <w:szCs w:val="18"/>
                <w:color w:val="auto"/>
              </w:rPr>
              <w:t>Balance at December 31, 2017</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52,983</w:t>
            </w:r>
          </w:p>
        </w:tc>
        <w:tc>
          <w:tcPr>
            <w:tcW w:w="1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530</w:t>
            </w:r>
          </w:p>
        </w:tc>
        <w:tc>
          <w:tcPr>
            <w:tcW w:w="1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419,628</w:t>
            </w:r>
          </w:p>
        </w:tc>
        <w:tc>
          <w:tcPr>
            <w:tcW w:w="180" w:type="dxa"/>
            <w:vAlign w:val="bottom"/>
            <w:tcBorders>
              <w:right w:val="single" w:sz="8" w:color="CFF0FC"/>
            </w:tcBorders>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6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(63)</w:t>
            </w:r>
          </w:p>
        </w:tc>
        <w:tc>
          <w:tcPr>
            <w:tcW w:w="140" w:type="dxa"/>
            <w:vAlign w:val="bottom"/>
            <w:shd w:val="clear" w:color="auto" w:fill="CFF0FC"/>
          </w:tcPr>
          <w:p>
            <w:pPr>
              <w:spacing w:after="0"/>
              <w:rPr>
                <w:sz w:val="19"/>
                <w:szCs w:val="19"/>
                <w:color w:val="auto"/>
              </w:rPr>
            </w:pPr>
          </w:p>
        </w:tc>
        <w:tc>
          <w:tcPr>
            <w:tcW w:w="96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(104,182)</w:t>
            </w:r>
          </w:p>
        </w:tc>
        <w:tc>
          <w:tcPr>
            <w:tcW w:w="16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315,913</w:t>
            </w:r>
          </w:p>
        </w:tc>
        <w:tc>
          <w:tcPr>
            <w:tcW w:w="100" w:type="dxa"/>
            <w:vAlign w:val="bottom"/>
            <w:shd w:val="clear" w:color="auto" w:fill="CFF0FC"/>
          </w:tcPr>
          <w:p>
            <w:pPr>
              <w:spacing w:after="0"/>
              <w:rPr>
                <w:sz w:val="19"/>
                <w:szCs w:val="19"/>
                <w:color w:val="auto"/>
              </w:rPr>
            </w:pPr>
          </w:p>
        </w:tc>
      </w:tr>
      <w:tr>
        <w:trPr>
          <w:trHeight w:val="223"/>
        </w:trPr>
        <w:tc>
          <w:tcPr>
            <w:tcW w:w="4820" w:type="dxa"/>
            <w:vAlign w:val="bottom"/>
          </w:tcPr>
          <w:p>
            <w:pPr>
              <w:ind w:left="260"/>
              <w:spacing w:after="0"/>
              <w:rPr>
                <w:sz w:val="20"/>
                <w:szCs w:val="20"/>
                <w:color w:val="auto"/>
              </w:rPr>
            </w:pPr>
            <w:r>
              <w:rPr>
                <w:rFonts w:ascii="Arial" w:cs="Arial" w:eastAsia="Arial" w:hAnsi="Arial"/>
                <w:sz w:val="18"/>
                <w:szCs w:val="18"/>
                <w:color w:val="auto"/>
              </w:rPr>
              <w:t>Stock option exercises</w:t>
            </w: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1,698</w:t>
            </w:r>
          </w:p>
        </w:tc>
        <w:tc>
          <w:tcPr>
            <w:tcW w:w="18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17</w:t>
            </w:r>
          </w:p>
        </w:tc>
        <w:tc>
          <w:tcPr>
            <w:tcW w:w="18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13,987</w:t>
            </w:r>
          </w:p>
        </w:tc>
        <w:tc>
          <w:tcPr>
            <w:tcW w:w="18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14,004</w:t>
            </w:r>
          </w:p>
        </w:tc>
        <w:tc>
          <w:tcPr>
            <w:tcW w:w="100" w:type="dxa"/>
            <w:vAlign w:val="bottom"/>
          </w:tcPr>
          <w:p>
            <w:pPr>
              <w:spacing w:after="0"/>
              <w:rPr>
                <w:sz w:val="19"/>
                <w:szCs w:val="19"/>
                <w:color w:val="auto"/>
              </w:rPr>
            </w:pPr>
          </w:p>
        </w:tc>
      </w:tr>
      <w:tr>
        <w:trPr>
          <w:trHeight w:val="230"/>
        </w:trPr>
        <w:tc>
          <w:tcPr>
            <w:tcW w:w="48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Vesting of restricted stock units</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w:t>
            </w:r>
          </w:p>
        </w:tc>
        <w:tc>
          <w:tcPr>
            <w:tcW w:w="1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20" w:type="dxa"/>
            <w:vAlign w:val="bottom"/>
            <w:tcBorders>
              <w:right w:val="single" w:sz="8" w:color="CFF0FC"/>
            </w:tcBorders>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106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19"/>
                <w:szCs w:val="19"/>
                <w:color w:val="auto"/>
              </w:rPr>
            </w:pPr>
          </w:p>
        </w:tc>
        <w:tc>
          <w:tcPr>
            <w:tcW w:w="96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FF0FC"/>
          </w:tcPr>
          <w:p>
            <w:pPr>
              <w:spacing w:after="0"/>
              <w:rPr>
                <w:sz w:val="19"/>
                <w:szCs w:val="19"/>
                <w:color w:val="auto"/>
              </w:rPr>
            </w:pPr>
          </w:p>
        </w:tc>
        <w:tc>
          <w:tcPr>
            <w:tcW w:w="84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r>
      <w:tr>
        <w:trPr>
          <w:trHeight w:val="215"/>
        </w:trPr>
        <w:tc>
          <w:tcPr>
            <w:tcW w:w="4820" w:type="dxa"/>
            <w:vAlign w:val="bottom"/>
          </w:tcPr>
          <w:p>
            <w:pPr>
              <w:ind w:left="260"/>
              <w:spacing w:after="0"/>
              <w:rPr>
                <w:sz w:val="20"/>
                <w:szCs w:val="20"/>
                <w:color w:val="auto"/>
              </w:rPr>
            </w:pPr>
            <w:r>
              <w:rPr>
                <w:rFonts w:ascii="Arial" w:cs="Arial" w:eastAsia="Arial" w:hAnsi="Arial"/>
                <w:sz w:val="18"/>
                <w:szCs w:val="18"/>
                <w:color w:val="auto"/>
              </w:rPr>
              <w:t>Acquisition of common stock for tax</w:t>
            </w:r>
          </w:p>
        </w:tc>
        <w:tc>
          <w:tcPr>
            <w:tcW w:w="8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03"/>
        </w:trPr>
        <w:tc>
          <w:tcPr>
            <w:tcW w:w="4820" w:type="dxa"/>
            <w:vAlign w:val="bottom"/>
          </w:tcPr>
          <w:p>
            <w:pPr>
              <w:ind w:left="460"/>
              <w:spacing w:after="0" w:line="203" w:lineRule="exact"/>
              <w:rPr>
                <w:sz w:val="20"/>
                <w:szCs w:val="20"/>
                <w:color w:val="auto"/>
              </w:rPr>
            </w:pPr>
            <w:r>
              <w:rPr>
                <w:rFonts w:ascii="Arial" w:cs="Arial" w:eastAsia="Arial" w:hAnsi="Arial"/>
                <w:sz w:val="18"/>
                <w:szCs w:val="18"/>
                <w:color w:val="auto"/>
              </w:rPr>
              <w:t>withholding obligations</w:t>
            </w:r>
          </w:p>
        </w:tc>
        <w:tc>
          <w:tcPr>
            <w:tcW w:w="880" w:type="dxa"/>
            <w:vAlign w:val="bottom"/>
          </w:tcPr>
          <w:p>
            <w:pPr>
              <w:jc w:val="right"/>
              <w:spacing w:after="0" w:line="203" w:lineRule="exact"/>
              <w:rPr>
                <w:sz w:val="20"/>
                <w:szCs w:val="20"/>
                <w:color w:val="auto"/>
              </w:rPr>
            </w:pPr>
            <w:r>
              <w:rPr>
                <w:rFonts w:ascii="Arial" w:cs="Arial" w:eastAsia="Arial" w:hAnsi="Arial"/>
                <w:sz w:val="18"/>
                <w:szCs w:val="18"/>
                <w:color w:val="auto"/>
              </w:rPr>
              <w:t>—</w:t>
            </w: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jc w:val="right"/>
              <w:spacing w:after="0" w:line="203" w:lineRule="exact"/>
              <w:rPr>
                <w:sz w:val="20"/>
                <w:szCs w:val="20"/>
                <w:color w:val="auto"/>
              </w:rPr>
            </w:pPr>
            <w:r>
              <w:rPr>
                <w:rFonts w:ascii="Arial" w:cs="Arial" w:eastAsia="Arial" w:hAnsi="Arial"/>
                <w:sz w:val="18"/>
                <w:szCs w:val="18"/>
                <w:color w:val="auto"/>
              </w:rPr>
              <w:t>—</w:t>
            </w: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20" w:type="dxa"/>
            <w:vAlign w:val="bottom"/>
            <w:gridSpan w:val="2"/>
          </w:tcPr>
          <w:p>
            <w:pPr>
              <w:jc w:val="right"/>
              <w:ind w:right="120"/>
              <w:spacing w:after="0" w:line="203" w:lineRule="exact"/>
              <w:rPr>
                <w:sz w:val="20"/>
                <w:szCs w:val="20"/>
                <w:color w:val="auto"/>
              </w:rPr>
            </w:pPr>
            <w:r>
              <w:rPr>
                <w:rFonts w:ascii="Arial" w:cs="Arial" w:eastAsia="Arial" w:hAnsi="Arial"/>
                <w:sz w:val="18"/>
                <w:szCs w:val="18"/>
                <w:color w:val="auto"/>
              </w:rPr>
              <w:t>(3,356)</w:t>
            </w:r>
          </w:p>
        </w:tc>
        <w:tc>
          <w:tcPr>
            <w:tcW w:w="220" w:type="dxa"/>
            <w:vAlign w:val="bottom"/>
          </w:tcPr>
          <w:p>
            <w:pPr>
              <w:spacing w:after="0"/>
              <w:rPr>
                <w:sz w:val="17"/>
                <w:szCs w:val="17"/>
                <w:color w:val="auto"/>
              </w:rPr>
            </w:pPr>
          </w:p>
        </w:tc>
        <w:tc>
          <w:tcPr>
            <w:tcW w:w="1060" w:type="dxa"/>
            <w:vAlign w:val="bottom"/>
            <w:gridSpan w:val="2"/>
          </w:tcPr>
          <w:p>
            <w:pPr>
              <w:jc w:val="right"/>
              <w:ind w:right="200"/>
              <w:spacing w:after="0" w:line="203" w:lineRule="exact"/>
              <w:rPr>
                <w:sz w:val="20"/>
                <w:szCs w:val="20"/>
                <w:color w:val="auto"/>
              </w:rPr>
            </w:pPr>
            <w:r>
              <w:rPr>
                <w:rFonts w:ascii="Arial" w:cs="Arial" w:eastAsia="Arial" w:hAnsi="Arial"/>
                <w:sz w:val="18"/>
                <w:szCs w:val="18"/>
                <w:color w:val="auto"/>
              </w:rPr>
              <w:t>—</w:t>
            </w:r>
          </w:p>
        </w:tc>
        <w:tc>
          <w:tcPr>
            <w:tcW w:w="140" w:type="dxa"/>
            <w:vAlign w:val="bottom"/>
          </w:tcPr>
          <w:p>
            <w:pPr>
              <w:spacing w:after="0"/>
              <w:rPr>
                <w:sz w:val="17"/>
                <w:szCs w:val="17"/>
                <w:color w:val="auto"/>
              </w:rPr>
            </w:pPr>
          </w:p>
        </w:tc>
        <w:tc>
          <w:tcPr>
            <w:tcW w:w="960" w:type="dxa"/>
            <w:vAlign w:val="bottom"/>
            <w:gridSpan w:val="2"/>
          </w:tcPr>
          <w:p>
            <w:pPr>
              <w:jc w:val="right"/>
              <w:ind w:right="200"/>
              <w:spacing w:after="0" w:line="203" w:lineRule="exact"/>
              <w:rPr>
                <w:sz w:val="20"/>
                <w:szCs w:val="20"/>
                <w:color w:val="auto"/>
              </w:rPr>
            </w:pPr>
            <w:r>
              <w:rPr>
                <w:rFonts w:ascii="Arial" w:cs="Arial" w:eastAsia="Arial" w:hAnsi="Arial"/>
                <w:sz w:val="18"/>
                <w:szCs w:val="18"/>
                <w:color w:val="auto"/>
              </w:rPr>
              <w:t>—</w:t>
            </w:r>
          </w:p>
        </w:tc>
        <w:tc>
          <w:tcPr>
            <w:tcW w:w="160" w:type="dxa"/>
            <w:vAlign w:val="bottom"/>
          </w:tcPr>
          <w:p>
            <w:pPr>
              <w:spacing w:after="0"/>
              <w:rPr>
                <w:sz w:val="17"/>
                <w:szCs w:val="17"/>
                <w:color w:val="auto"/>
              </w:rPr>
            </w:pPr>
          </w:p>
        </w:tc>
        <w:tc>
          <w:tcPr>
            <w:tcW w:w="840" w:type="dxa"/>
            <w:vAlign w:val="bottom"/>
            <w:gridSpan w:val="2"/>
          </w:tcPr>
          <w:p>
            <w:pPr>
              <w:jc w:val="right"/>
              <w:ind w:right="40"/>
              <w:spacing w:after="0" w:line="203" w:lineRule="exact"/>
              <w:rPr>
                <w:sz w:val="20"/>
                <w:szCs w:val="20"/>
                <w:color w:val="auto"/>
              </w:rPr>
            </w:pPr>
            <w:r>
              <w:rPr>
                <w:rFonts w:ascii="Arial" w:cs="Arial" w:eastAsia="Arial" w:hAnsi="Arial"/>
                <w:sz w:val="18"/>
                <w:szCs w:val="18"/>
                <w:color w:val="auto"/>
              </w:rPr>
              <w:t>(3,356)</w:t>
            </w:r>
          </w:p>
        </w:tc>
      </w:tr>
      <w:tr>
        <w:trPr>
          <w:trHeight w:val="230"/>
        </w:trPr>
        <w:tc>
          <w:tcPr>
            <w:tcW w:w="48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Stock-based compensation</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21,312</w:t>
            </w:r>
          </w:p>
        </w:tc>
        <w:tc>
          <w:tcPr>
            <w:tcW w:w="180" w:type="dxa"/>
            <w:vAlign w:val="bottom"/>
            <w:tcBorders>
              <w:right w:val="single" w:sz="8" w:color="CFF0FC"/>
            </w:tcBorders>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6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19"/>
                <w:szCs w:val="19"/>
                <w:color w:val="auto"/>
              </w:rPr>
            </w:pPr>
          </w:p>
        </w:tc>
        <w:tc>
          <w:tcPr>
            <w:tcW w:w="96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21,312</w:t>
            </w:r>
          </w:p>
        </w:tc>
        <w:tc>
          <w:tcPr>
            <w:tcW w:w="100" w:type="dxa"/>
            <w:vAlign w:val="bottom"/>
            <w:shd w:val="clear" w:color="auto" w:fill="CFF0FC"/>
          </w:tcPr>
          <w:p>
            <w:pPr>
              <w:spacing w:after="0"/>
              <w:rPr>
                <w:sz w:val="19"/>
                <w:szCs w:val="19"/>
                <w:color w:val="auto"/>
              </w:rPr>
            </w:pPr>
          </w:p>
        </w:tc>
      </w:tr>
      <w:tr>
        <w:trPr>
          <w:trHeight w:val="230"/>
        </w:trPr>
        <w:tc>
          <w:tcPr>
            <w:tcW w:w="4820" w:type="dxa"/>
            <w:vAlign w:val="bottom"/>
          </w:tcPr>
          <w:p>
            <w:pPr>
              <w:ind w:left="260"/>
              <w:spacing w:after="0"/>
              <w:rPr>
                <w:sz w:val="20"/>
                <w:szCs w:val="20"/>
                <w:color w:val="auto"/>
              </w:rPr>
            </w:pPr>
            <w:r>
              <w:rPr>
                <w:rFonts w:ascii="Arial" w:cs="Arial" w:eastAsia="Arial" w:hAnsi="Arial"/>
                <w:sz w:val="18"/>
                <w:szCs w:val="18"/>
                <w:color w:val="auto"/>
              </w:rPr>
              <w:t>Other comprehensive income</w:t>
            </w: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108</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108</w:t>
            </w:r>
          </w:p>
        </w:tc>
        <w:tc>
          <w:tcPr>
            <w:tcW w:w="100" w:type="dxa"/>
            <w:vAlign w:val="bottom"/>
          </w:tcPr>
          <w:p>
            <w:pPr>
              <w:spacing w:after="0"/>
              <w:rPr>
                <w:sz w:val="19"/>
                <w:szCs w:val="19"/>
                <w:color w:val="auto"/>
              </w:rPr>
            </w:pPr>
          </w:p>
        </w:tc>
      </w:tr>
      <w:tr>
        <w:trPr>
          <w:trHeight w:val="230"/>
        </w:trPr>
        <w:tc>
          <w:tcPr>
            <w:tcW w:w="48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Net loss attributable to BlackLine, Inc.</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80" w:type="dxa"/>
            <w:vAlign w:val="bottom"/>
            <w:tcBorders>
              <w:right w:val="single" w:sz="8" w:color="CFF0FC"/>
            </w:tcBorders>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6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(28,714)</w:t>
            </w:r>
          </w:p>
        </w:tc>
        <w:tc>
          <w:tcPr>
            <w:tcW w:w="160" w:type="dxa"/>
            <w:vAlign w:val="bottom"/>
            <w:shd w:val="clear" w:color="auto" w:fill="CFF0FC"/>
          </w:tcPr>
          <w:p>
            <w:pPr>
              <w:spacing w:after="0"/>
              <w:rPr>
                <w:sz w:val="19"/>
                <w:szCs w:val="19"/>
                <w:color w:val="auto"/>
              </w:rPr>
            </w:pPr>
          </w:p>
        </w:tc>
        <w:tc>
          <w:tcPr>
            <w:tcW w:w="8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(28,714)</w:t>
            </w:r>
          </w:p>
        </w:tc>
      </w:tr>
      <w:tr>
        <w:trPr>
          <w:trHeight w:val="20"/>
        </w:trPr>
        <w:tc>
          <w:tcPr>
            <w:tcW w:w="482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23"/>
        </w:trPr>
        <w:tc>
          <w:tcPr>
            <w:tcW w:w="4820" w:type="dxa"/>
            <w:vAlign w:val="bottom"/>
          </w:tcPr>
          <w:p>
            <w:pPr>
              <w:spacing w:after="0"/>
              <w:rPr>
                <w:sz w:val="20"/>
                <w:szCs w:val="20"/>
                <w:color w:val="auto"/>
              </w:rPr>
            </w:pPr>
            <w:r>
              <w:rPr>
                <w:rFonts w:ascii="Arial" w:cs="Arial" w:eastAsia="Arial" w:hAnsi="Arial"/>
                <w:sz w:val="18"/>
                <w:szCs w:val="18"/>
                <w:color w:val="auto"/>
              </w:rPr>
              <w:t>Balance at December 31, 2018</w:t>
            </w:r>
          </w:p>
        </w:tc>
        <w:tc>
          <w:tcPr>
            <w:tcW w:w="880" w:type="dxa"/>
            <w:vAlign w:val="bottom"/>
          </w:tcPr>
          <w:p>
            <w:pPr>
              <w:jc w:val="right"/>
              <w:spacing w:after="0"/>
              <w:rPr>
                <w:sz w:val="20"/>
                <w:szCs w:val="20"/>
                <w:color w:val="auto"/>
              </w:rPr>
            </w:pPr>
            <w:r>
              <w:rPr>
                <w:rFonts w:ascii="Arial" w:cs="Arial" w:eastAsia="Arial" w:hAnsi="Arial"/>
                <w:sz w:val="18"/>
                <w:szCs w:val="18"/>
                <w:color w:val="auto"/>
              </w:rPr>
              <w:t>54,683</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547</w:t>
            </w:r>
          </w:p>
        </w:tc>
        <w:tc>
          <w:tcPr>
            <w:tcW w:w="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451,571</w:t>
            </w:r>
          </w:p>
        </w:tc>
        <w:tc>
          <w:tcPr>
            <w:tcW w:w="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45</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60" w:type="dxa"/>
            <w:vAlign w:val="bottom"/>
            <w:gridSpan w:val="2"/>
          </w:tcPr>
          <w:p>
            <w:pPr>
              <w:jc w:val="right"/>
              <w:ind w:right="120"/>
              <w:spacing w:after="0"/>
              <w:rPr>
                <w:sz w:val="20"/>
                <w:szCs w:val="20"/>
                <w:color w:val="auto"/>
              </w:rPr>
            </w:pPr>
            <w:r>
              <w:rPr>
                <w:rFonts w:ascii="Arial" w:cs="Arial" w:eastAsia="Arial" w:hAnsi="Arial"/>
                <w:sz w:val="18"/>
                <w:szCs w:val="18"/>
                <w:color w:val="auto"/>
              </w:rPr>
              <w:t>(132,896)</w:t>
            </w:r>
          </w:p>
        </w:tc>
        <w:tc>
          <w:tcPr>
            <w:tcW w:w="16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319,267</w:t>
            </w:r>
          </w:p>
        </w:tc>
        <w:tc>
          <w:tcPr>
            <w:tcW w:w="100" w:type="dxa"/>
            <w:vAlign w:val="bottom"/>
          </w:tcPr>
          <w:p>
            <w:pPr>
              <w:spacing w:after="0"/>
              <w:rPr>
                <w:sz w:val="19"/>
                <w:szCs w:val="19"/>
                <w:color w:val="auto"/>
              </w:rPr>
            </w:pPr>
          </w:p>
        </w:tc>
      </w:tr>
      <w:tr>
        <w:trPr>
          <w:trHeight w:val="223"/>
        </w:trPr>
        <w:tc>
          <w:tcPr>
            <w:tcW w:w="4820" w:type="dxa"/>
            <w:vAlign w:val="bottom"/>
            <w:tcBorders>
              <w:top w:val="single" w:sz="8" w:color="CFF0FC"/>
            </w:tcBorders>
            <w:shd w:val="clear" w:color="auto" w:fill="CFF0FC"/>
          </w:tcPr>
          <w:p>
            <w:pPr>
              <w:ind w:left="260"/>
              <w:spacing w:after="0"/>
              <w:rPr>
                <w:sz w:val="20"/>
                <w:szCs w:val="20"/>
                <w:color w:val="auto"/>
              </w:rPr>
            </w:pPr>
            <w:r>
              <w:rPr>
                <w:rFonts w:ascii="Arial" w:cs="Arial" w:eastAsia="Arial" w:hAnsi="Arial"/>
                <w:sz w:val="18"/>
                <w:szCs w:val="18"/>
                <w:color w:val="auto"/>
              </w:rPr>
              <w:t>Stock option exercises</w:t>
            </w:r>
          </w:p>
        </w:tc>
        <w:tc>
          <w:tcPr>
            <w:tcW w:w="8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691</w:t>
            </w:r>
          </w:p>
        </w:tc>
        <w:tc>
          <w:tcPr>
            <w:tcW w:w="18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spacing w:after="0"/>
              <w:rPr>
                <w:sz w:val="19"/>
                <w:szCs w:val="19"/>
                <w:color w:val="auto"/>
              </w:rPr>
            </w:pPr>
          </w:p>
        </w:tc>
        <w:tc>
          <w:tcPr>
            <w:tcW w:w="7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w:t>
            </w:r>
          </w:p>
        </w:tc>
        <w:tc>
          <w:tcPr>
            <w:tcW w:w="18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spacing w:after="0"/>
              <w:rPr>
                <w:sz w:val="19"/>
                <w:szCs w:val="19"/>
                <w:color w:val="auto"/>
              </w:rPr>
            </w:pPr>
          </w:p>
        </w:tc>
        <w:tc>
          <w:tcPr>
            <w:tcW w:w="7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10,561</w:t>
            </w:r>
          </w:p>
        </w:tc>
        <w:tc>
          <w:tcPr>
            <w:tcW w:w="180" w:type="dxa"/>
            <w:vAlign w:val="bottom"/>
            <w:tcBorders>
              <w:top w:val="single" w:sz="8" w:color="CFF0FC"/>
              <w:right w:val="single" w:sz="8" w:color="CFF0FC"/>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spacing w:after="0"/>
              <w:rPr>
                <w:sz w:val="19"/>
                <w:szCs w:val="19"/>
                <w:color w:val="auto"/>
              </w:rPr>
            </w:pPr>
          </w:p>
        </w:tc>
        <w:tc>
          <w:tcPr>
            <w:tcW w:w="8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spacing w:after="0"/>
              <w:rPr>
                <w:sz w:val="19"/>
                <w:szCs w:val="19"/>
                <w:color w:val="auto"/>
              </w:rPr>
            </w:pPr>
          </w:p>
        </w:tc>
        <w:tc>
          <w:tcPr>
            <w:tcW w:w="7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8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spacing w:after="0"/>
              <w:rPr>
                <w:sz w:val="19"/>
                <w:szCs w:val="19"/>
                <w:color w:val="auto"/>
              </w:rPr>
            </w:pPr>
          </w:p>
        </w:tc>
        <w:tc>
          <w:tcPr>
            <w:tcW w:w="7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10,566</w:t>
            </w:r>
          </w:p>
        </w:tc>
        <w:tc>
          <w:tcPr>
            <w:tcW w:w="100" w:type="dxa"/>
            <w:vAlign w:val="bottom"/>
            <w:tcBorders>
              <w:top w:val="single" w:sz="8" w:color="CFF0FC"/>
            </w:tcBorders>
            <w:shd w:val="clear" w:color="auto" w:fill="CFF0FC"/>
          </w:tcPr>
          <w:p>
            <w:pPr>
              <w:spacing w:after="0"/>
              <w:rPr>
                <w:sz w:val="19"/>
                <w:szCs w:val="19"/>
                <w:color w:val="auto"/>
              </w:rPr>
            </w:pPr>
          </w:p>
        </w:tc>
      </w:tr>
      <w:tr>
        <w:trPr>
          <w:trHeight w:val="230"/>
        </w:trPr>
        <w:tc>
          <w:tcPr>
            <w:tcW w:w="4820" w:type="dxa"/>
            <w:vAlign w:val="bottom"/>
          </w:tcPr>
          <w:p>
            <w:pPr>
              <w:ind w:left="260"/>
              <w:spacing w:after="0"/>
              <w:rPr>
                <w:sz w:val="20"/>
                <w:szCs w:val="20"/>
                <w:color w:val="auto"/>
              </w:rPr>
            </w:pPr>
            <w:r>
              <w:rPr>
                <w:rFonts w:ascii="Arial" w:cs="Arial" w:eastAsia="Arial" w:hAnsi="Arial"/>
                <w:sz w:val="18"/>
                <w:szCs w:val="18"/>
                <w:color w:val="auto"/>
              </w:rPr>
              <w:t>Vesting of restricted stock units</w:t>
            </w:r>
          </w:p>
        </w:tc>
        <w:tc>
          <w:tcPr>
            <w:tcW w:w="880" w:type="dxa"/>
            <w:vAlign w:val="bottom"/>
          </w:tcPr>
          <w:p>
            <w:pPr>
              <w:jc w:val="right"/>
              <w:spacing w:after="0"/>
              <w:rPr>
                <w:sz w:val="20"/>
                <w:szCs w:val="20"/>
                <w:color w:val="auto"/>
              </w:rPr>
            </w:pPr>
            <w:r>
              <w:rPr>
                <w:rFonts w:ascii="Arial" w:cs="Arial" w:eastAsia="Arial" w:hAnsi="Arial"/>
                <w:sz w:val="18"/>
                <w:szCs w:val="18"/>
                <w:color w:val="auto"/>
              </w:rPr>
              <w:t>406</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5</w:t>
            </w:r>
          </w:p>
        </w:tc>
        <w:tc>
          <w:tcPr>
            <w:tcW w:w="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0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19"/>
                <w:szCs w:val="19"/>
                <w:color w:val="auto"/>
              </w:rPr>
            </w:pPr>
          </w:p>
        </w:tc>
      </w:tr>
      <w:tr>
        <w:trPr>
          <w:trHeight w:val="215"/>
        </w:trPr>
        <w:tc>
          <w:tcPr>
            <w:tcW w:w="48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Issuance of common stock through employee stock</w:t>
            </w:r>
          </w:p>
        </w:tc>
        <w:tc>
          <w:tcPr>
            <w:tcW w:w="8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180" w:type="dxa"/>
            <w:vAlign w:val="bottom"/>
            <w:tcBorders>
              <w:right w:val="single" w:sz="8" w:color="CFF0FC"/>
            </w:tcBorders>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03"/>
        </w:trPr>
        <w:tc>
          <w:tcPr>
            <w:tcW w:w="4820" w:type="dxa"/>
            <w:vAlign w:val="bottom"/>
            <w:shd w:val="clear" w:color="auto" w:fill="CFF0FC"/>
          </w:tcPr>
          <w:p>
            <w:pPr>
              <w:ind w:left="260"/>
              <w:spacing w:after="0" w:line="203" w:lineRule="exact"/>
              <w:rPr>
                <w:sz w:val="20"/>
                <w:szCs w:val="20"/>
                <w:color w:val="auto"/>
              </w:rPr>
            </w:pPr>
            <w:r>
              <w:rPr>
                <w:rFonts w:ascii="Arial" w:cs="Arial" w:eastAsia="Arial" w:hAnsi="Arial"/>
                <w:sz w:val="18"/>
                <w:szCs w:val="18"/>
                <w:color w:val="auto"/>
              </w:rPr>
              <w:t>purchase plan</w:t>
            </w:r>
          </w:p>
        </w:tc>
        <w:tc>
          <w:tcPr>
            <w:tcW w:w="880" w:type="dxa"/>
            <w:vAlign w:val="bottom"/>
            <w:shd w:val="clear" w:color="auto" w:fill="CFF0FC"/>
          </w:tcPr>
          <w:p>
            <w:pPr>
              <w:jc w:val="right"/>
              <w:spacing w:after="0" w:line="203" w:lineRule="exact"/>
              <w:rPr>
                <w:sz w:val="20"/>
                <w:szCs w:val="20"/>
                <w:color w:val="auto"/>
              </w:rPr>
            </w:pPr>
            <w:r>
              <w:rPr>
                <w:rFonts w:ascii="Arial" w:cs="Arial" w:eastAsia="Arial" w:hAnsi="Arial"/>
                <w:sz w:val="18"/>
                <w:szCs w:val="18"/>
                <w:color w:val="auto"/>
              </w:rPr>
              <w:t>151</w:t>
            </w:r>
          </w:p>
        </w:tc>
        <w:tc>
          <w:tcPr>
            <w:tcW w:w="18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760" w:type="dxa"/>
            <w:vAlign w:val="bottom"/>
            <w:shd w:val="clear" w:color="auto" w:fill="CFF0FC"/>
          </w:tcPr>
          <w:p>
            <w:pPr>
              <w:jc w:val="right"/>
              <w:spacing w:after="0" w:line="203" w:lineRule="exact"/>
              <w:rPr>
                <w:sz w:val="20"/>
                <w:szCs w:val="20"/>
                <w:color w:val="auto"/>
              </w:rPr>
            </w:pPr>
            <w:r>
              <w:rPr>
                <w:rFonts w:ascii="Arial" w:cs="Arial" w:eastAsia="Arial" w:hAnsi="Arial"/>
                <w:sz w:val="18"/>
                <w:szCs w:val="18"/>
                <w:color w:val="auto"/>
              </w:rPr>
              <w:t>2</w:t>
            </w:r>
          </w:p>
        </w:tc>
        <w:tc>
          <w:tcPr>
            <w:tcW w:w="18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740" w:type="dxa"/>
            <w:vAlign w:val="bottom"/>
            <w:shd w:val="clear" w:color="auto" w:fill="CFF0FC"/>
          </w:tcPr>
          <w:p>
            <w:pPr>
              <w:jc w:val="right"/>
              <w:spacing w:after="0" w:line="203" w:lineRule="exact"/>
              <w:rPr>
                <w:sz w:val="20"/>
                <w:szCs w:val="20"/>
                <w:color w:val="auto"/>
              </w:rPr>
            </w:pPr>
            <w:r>
              <w:rPr>
                <w:rFonts w:ascii="Arial" w:cs="Arial" w:eastAsia="Arial" w:hAnsi="Arial"/>
                <w:sz w:val="18"/>
                <w:szCs w:val="18"/>
                <w:color w:val="auto"/>
              </w:rPr>
              <w:t>5,293</w:t>
            </w:r>
          </w:p>
        </w:tc>
        <w:tc>
          <w:tcPr>
            <w:tcW w:w="180" w:type="dxa"/>
            <w:vAlign w:val="bottom"/>
            <w:tcBorders>
              <w:right w:val="single" w:sz="8" w:color="CFF0FC"/>
            </w:tcBorders>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060" w:type="dxa"/>
            <w:vAlign w:val="bottom"/>
            <w:gridSpan w:val="2"/>
            <w:shd w:val="clear" w:color="auto" w:fill="CFF0FC"/>
          </w:tcPr>
          <w:p>
            <w:pPr>
              <w:jc w:val="right"/>
              <w:ind w:right="200"/>
              <w:spacing w:after="0" w:line="203" w:lineRule="exact"/>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17"/>
                <w:szCs w:val="17"/>
                <w:color w:val="auto"/>
              </w:rPr>
            </w:pPr>
          </w:p>
        </w:tc>
        <w:tc>
          <w:tcPr>
            <w:tcW w:w="960" w:type="dxa"/>
            <w:vAlign w:val="bottom"/>
            <w:gridSpan w:val="2"/>
            <w:shd w:val="clear" w:color="auto" w:fill="CFF0FC"/>
          </w:tcPr>
          <w:p>
            <w:pPr>
              <w:jc w:val="right"/>
              <w:ind w:right="200"/>
              <w:spacing w:after="0" w:line="203" w:lineRule="exact"/>
              <w:rPr>
                <w:sz w:val="20"/>
                <w:szCs w:val="20"/>
                <w:color w:val="auto"/>
              </w:rPr>
            </w:pPr>
            <w:r>
              <w:rPr>
                <w:rFonts w:ascii="Arial" w:cs="Arial" w:eastAsia="Arial" w:hAnsi="Arial"/>
                <w:sz w:val="18"/>
                <w:szCs w:val="18"/>
                <w:color w:val="auto"/>
              </w:rPr>
              <w:t>—</w:t>
            </w:r>
          </w:p>
        </w:tc>
        <w:tc>
          <w:tcPr>
            <w:tcW w:w="160" w:type="dxa"/>
            <w:vAlign w:val="bottom"/>
            <w:shd w:val="clear" w:color="auto" w:fill="CFF0FC"/>
          </w:tcPr>
          <w:p>
            <w:pPr>
              <w:spacing w:after="0"/>
              <w:rPr>
                <w:sz w:val="17"/>
                <w:szCs w:val="17"/>
                <w:color w:val="auto"/>
              </w:rPr>
            </w:pPr>
          </w:p>
        </w:tc>
        <w:tc>
          <w:tcPr>
            <w:tcW w:w="740" w:type="dxa"/>
            <w:vAlign w:val="bottom"/>
            <w:shd w:val="clear" w:color="auto" w:fill="CFF0FC"/>
          </w:tcPr>
          <w:p>
            <w:pPr>
              <w:jc w:val="right"/>
              <w:spacing w:after="0" w:line="203" w:lineRule="exact"/>
              <w:rPr>
                <w:sz w:val="20"/>
                <w:szCs w:val="20"/>
                <w:color w:val="auto"/>
              </w:rPr>
            </w:pPr>
            <w:r>
              <w:rPr>
                <w:rFonts w:ascii="Arial" w:cs="Arial" w:eastAsia="Arial" w:hAnsi="Arial"/>
                <w:sz w:val="18"/>
                <w:szCs w:val="18"/>
                <w:color w:val="auto"/>
              </w:rPr>
              <w:t>5,295</w:t>
            </w:r>
          </w:p>
        </w:tc>
        <w:tc>
          <w:tcPr>
            <w:tcW w:w="100" w:type="dxa"/>
            <w:vAlign w:val="bottom"/>
            <w:shd w:val="clear" w:color="auto" w:fill="CFF0FC"/>
          </w:tcPr>
          <w:p>
            <w:pPr>
              <w:spacing w:after="0"/>
              <w:rPr>
                <w:sz w:val="17"/>
                <w:szCs w:val="17"/>
                <w:color w:val="auto"/>
              </w:rPr>
            </w:pPr>
          </w:p>
        </w:tc>
      </w:tr>
      <w:tr>
        <w:trPr>
          <w:trHeight w:val="215"/>
        </w:trPr>
        <w:tc>
          <w:tcPr>
            <w:tcW w:w="4820" w:type="dxa"/>
            <w:vAlign w:val="bottom"/>
          </w:tcPr>
          <w:p>
            <w:pPr>
              <w:ind w:left="260"/>
              <w:spacing w:after="0"/>
              <w:rPr>
                <w:sz w:val="20"/>
                <w:szCs w:val="20"/>
                <w:color w:val="auto"/>
              </w:rPr>
            </w:pPr>
            <w:r>
              <w:rPr>
                <w:rFonts w:ascii="Arial" w:cs="Arial" w:eastAsia="Arial" w:hAnsi="Arial"/>
                <w:sz w:val="18"/>
                <w:szCs w:val="18"/>
                <w:color w:val="auto"/>
              </w:rPr>
              <w:t>Acquisition of common stock for tax</w:t>
            </w:r>
          </w:p>
        </w:tc>
        <w:tc>
          <w:tcPr>
            <w:tcW w:w="8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03"/>
        </w:trPr>
        <w:tc>
          <w:tcPr>
            <w:tcW w:w="4820" w:type="dxa"/>
            <w:vAlign w:val="bottom"/>
          </w:tcPr>
          <w:p>
            <w:pPr>
              <w:ind w:left="460"/>
              <w:spacing w:after="0" w:line="203" w:lineRule="exact"/>
              <w:rPr>
                <w:sz w:val="20"/>
                <w:szCs w:val="20"/>
                <w:color w:val="auto"/>
              </w:rPr>
            </w:pPr>
            <w:r>
              <w:rPr>
                <w:rFonts w:ascii="Arial" w:cs="Arial" w:eastAsia="Arial" w:hAnsi="Arial"/>
                <w:sz w:val="18"/>
                <w:szCs w:val="18"/>
                <w:color w:val="auto"/>
              </w:rPr>
              <w:t>withholding obligations</w:t>
            </w:r>
          </w:p>
        </w:tc>
        <w:tc>
          <w:tcPr>
            <w:tcW w:w="880" w:type="dxa"/>
            <w:vAlign w:val="bottom"/>
          </w:tcPr>
          <w:p>
            <w:pPr>
              <w:jc w:val="right"/>
              <w:spacing w:after="0" w:line="203" w:lineRule="exact"/>
              <w:rPr>
                <w:sz w:val="20"/>
                <w:szCs w:val="20"/>
                <w:color w:val="auto"/>
              </w:rPr>
            </w:pPr>
            <w:r>
              <w:rPr>
                <w:rFonts w:ascii="Arial" w:cs="Arial" w:eastAsia="Arial" w:hAnsi="Arial"/>
                <w:sz w:val="18"/>
                <w:szCs w:val="18"/>
                <w:color w:val="auto"/>
              </w:rPr>
              <w:t>—</w:t>
            </w: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jc w:val="right"/>
              <w:spacing w:after="0" w:line="203" w:lineRule="exact"/>
              <w:rPr>
                <w:sz w:val="20"/>
                <w:szCs w:val="20"/>
                <w:color w:val="auto"/>
              </w:rPr>
            </w:pPr>
            <w:r>
              <w:rPr>
                <w:rFonts w:ascii="Arial" w:cs="Arial" w:eastAsia="Arial" w:hAnsi="Arial"/>
                <w:sz w:val="18"/>
                <w:szCs w:val="18"/>
                <w:color w:val="auto"/>
              </w:rPr>
              <w:t>—</w:t>
            </w: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20" w:type="dxa"/>
            <w:vAlign w:val="bottom"/>
            <w:gridSpan w:val="2"/>
          </w:tcPr>
          <w:p>
            <w:pPr>
              <w:jc w:val="right"/>
              <w:ind w:right="120"/>
              <w:spacing w:after="0" w:line="203" w:lineRule="exact"/>
              <w:rPr>
                <w:sz w:val="20"/>
                <w:szCs w:val="20"/>
                <w:color w:val="auto"/>
              </w:rPr>
            </w:pPr>
            <w:r>
              <w:rPr>
                <w:rFonts w:ascii="Arial" w:cs="Arial" w:eastAsia="Arial" w:hAnsi="Arial"/>
                <w:sz w:val="18"/>
                <w:szCs w:val="18"/>
                <w:color w:val="auto"/>
              </w:rPr>
              <w:t>(3,940)</w:t>
            </w:r>
          </w:p>
        </w:tc>
        <w:tc>
          <w:tcPr>
            <w:tcW w:w="220" w:type="dxa"/>
            <w:vAlign w:val="bottom"/>
          </w:tcPr>
          <w:p>
            <w:pPr>
              <w:spacing w:after="0"/>
              <w:rPr>
                <w:sz w:val="17"/>
                <w:szCs w:val="17"/>
                <w:color w:val="auto"/>
              </w:rPr>
            </w:pPr>
          </w:p>
        </w:tc>
        <w:tc>
          <w:tcPr>
            <w:tcW w:w="1060" w:type="dxa"/>
            <w:vAlign w:val="bottom"/>
            <w:gridSpan w:val="2"/>
          </w:tcPr>
          <w:p>
            <w:pPr>
              <w:jc w:val="right"/>
              <w:ind w:right="200"/>
              <w:spacing w:after="0" w:line="203" w:lineRule="exact"/>
              <w:rPr>
                <w:sz w:val="20"/>
                <w:szCs w:val="20"/>
                <w:color w:val="auto"/>
              </w:rPr>
            </w:pPr>
            <w:r>
              <w:rPr>
                <w:rFonts w:ascii="Arial" w:cs="Arial" w:eastAsia="Arial" w:hAnsi="Arial"/>
                <w:sz w:val="18"/>
                <w:szCs w:val="18"/>
                <w:color w:val="auto"/>
              </w:rPr>
              <w:t>—</w:t>
            </w:r>
          </w:p>
        </w:tc>
        <w:tc>
          <w:tcPr>
            <w:tcW w:w="140" w:type="dxa"/>
            <w:vAlign w:val="bottom"/>
          </w:tcPr>
          <w:p>
            <w:pPr>
              <w:spacing w:after="0"/>
              <w:rPr>
                <w:sz w:val="17"/>
                <w:szCs w:val="17"/>
                <w:color w:val="auto"/>
              </w:rPr>
            </w:pPr>
          </w:p>
        </w:tc>
        <w:tc>
          <w:tcPr>
            <w:tcW w:w="960" w:type="dxa"/>
            <w:vAlign w:val="bottom"/>
            <w:gridSpan w:val="2"/>
          </w:tcPr>
          <w:p>
            <w:pPr>
              <w:jc w:val="right"/>
              <w:ind w:right="200"/>
              <w:spacing w:after="0" w:line="203" w:lineRule="exact"/>
              <w:rPr>
                <w:sz w:val="20"/>
                <w:szCs w:val="20"/>
                <w:color w:val="auto"/>
              </w:rPr>
            </w:pPr>
            <w:r>
              <w:rPr>
                <w:rFonts w:ascii="Arial" w:cs="Arial" w:eastAsia="Arial" w:hAnsi="Arial"/>
                <w:sz w:val="18"/>
                <w:szCs w:val="18"/>
                <w:color w:val="auto"/>
              </w:rPr>
              <w:t>—</w:t>
            </w:r>
          </w:p>
        </w:tc>
        <w:tc>
          <w:tcPr>
            <w:tcW w:w="160" w:type="dxa"/>
            <w:vAlign w:val="bottom"/>
          </w:tcPr>
          <w:p>
            <w:pPr>
              <w:spacing w:after="0"/>
              <w:rPr>
                <w:sz w:val="17"/>
                <w:szCs w:val="17"/>
                <w:color w:val="auto"/>
              </w:rPr>
            </w:pPr>
          </w:p>
        </w:tc>
        <w:tc>
          <w:tcPr>
            <w:tcW w:w="840" w:type="dxa"/>
            <w:vAlign w:val="bottom"/>
            <w:gridSpan w:val="2"/>
          </w:tcPr>
          <w:p>
            <w:pPr>
              <w:jc w:val="right"/>
              <w:ind w:right="40"/>
              <w:spacing w:after="0" w:line="203" w:lineRule="exact"/>
              <w:rPr>
                <w:sz w:val="20"/>
                <w:szCs w:val="20"/>
                <w:color w:val="auto"/>
              </w:rPr>
            </w:pPr>
            <w:r>
              <w:rPr>
                <w:rFonts w:ascii="Arial" w:cs="Arial" w:eastAsia="Arial" w:hAnsi="Arial"/>
                <w:sz w:val="18"/>
                <w:szCs w:val="18"/>
                <w:color w:val="auto"/>
              </w:rPr>
              <w:t>(3,940)</w:t>
            </w:r>
          </w:p>
        </w:tc>
      </w:tr>
      <w:tr>
        <w:trPr>
          <w:trHeight w:val="230"/>
        </w:trPr>
        <w:tc>
          <w:tcPr>
            <w:tcW w:w="48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Stock-based compensation</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34,543</w:t>
            </w:r>
          </w:p>
        </w:tc>
        <w:tc>
          <w:tcPr>
            <w:tcW w:w="180" w:type="dxa"/>
            <w:vAlign w:val="bottom"/>
            <w:tcBorders>
              <w:right w:val="single" w:sz="8" w:color="CFF0FC"/>
            </w:tcBorders>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6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19"/>
                <w:szCs w:val="19"/>
                <w:color w:val="auto"/>
              </w:rPr>
            </w:pPr>
          </w:p>
        </w:tc>
        <w:tc>
          <w:tcPr>
            <w:tcW w:w="96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34,543</w:t>
            </w:r>
          </w:p>
        </w:tc>
        <w:tc>
          <w:tcPr>
            <w:tcW w:w="100" w:type="dxa"/>
            <w:vAlign w:val="bottom"/>
            <w:shd w:val="clear" w:color="auto" w:fill="CFF0FC"/>
          </w:tcPr>
          <w:p>
            <w:pPr>
              <w:spacing w:after="0"/>
              <w:rPr>
                <w:sz w:val="19"/>
                <w:szCs w:val="19"/>
                <w:color w:val="auto"/>
              </w:rPr>
            </w:pPr>
          </w:p>
        </w:tc>
      </w:tr>
      <w:tr>
        <w:trPr>
          <w:trHeight w:val="230"/>
        </w:trPr>
        <w:tc>
          <w:tcPr>
            <w:tcW w:w="4820" w:type="dxa"/>
            <w:vAlign w:val="bottom"/>
          </w:tcPr>
          <w:p>
            <w:pPr>
              <w:ind w:left="260"/>
              <w:spacing w:after="0"/>
              <w:rPr>
                <w:sz w:val="20"/>
                <w:szCs w:val="20"/>
                <w:color w:val="auto"/>
              </w:rPr>
            </w:pPr>
            <w:r>
              <w:rPr>
                <w:rFonts w:ascii="Arial" w:cs="Arial" w:eastAsia="Arial" w:hAnsi="Arial"/>
                <w:sz w:val="18"/>
                <w:szCs w:val="18"/>
                <w:color w:val="auto"/>
              </w:rPr>
              <w:t>Other comprehensive income</w:t>
            </w: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332</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332</w:t>
            </w:r>
          </w:p>
        </w:tc>
        <w:tc>
          <w:tcPr>
            <w:tcW w:w="100" w:type="dxa"/>
            <w:vAlign w:val="bottom"/>
          </w:tcPr>
          <w:p>
            <w:pPr>
              <w:spacing w:after="0"/>
              <w:rPr>
                <w:sz w:val="19"/>
                <w:szCs w:val="19"/>
                <w:color w:val="auto"/>
              </w:rPr>
            </w:pPr>
          </w:p>
        </w:tc>
      </w:tr>
      <w:tr>
        <w:trPr>
          <w:trHeight w:val="215"/>
        </w:trPr>
        <w:tc>
          <w:tcPr>
            <w:tcW w:w="48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Equity component of convertible senior notes,</w:t>
            </w:r>
          </w:p>
        </w:tc>
        <w:tc>
          <w:tcPr>
            <w:tcW w:w="8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180" w:type="dxa"/>
            <w:vAlign w:val="bottom"/>
            <w:tcBorders>
              <w:right w:val="single" w:sz="8" w:color="CFF0FC"/>
            </w:tcBorders>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03"/>
        </w:trPr>
        <w:tc>
          <w:tcPr>
            <w:tcW w:w="4820" w:type="dxa"/>
            <w:vAlign w:val="bottom"/>
            <w:shd w:val="clear" w:color="auto" w:fill="CFF0FC"/>
          </w:tcPr>
          <w:p>
            <w:pPr>
              <w:ind w:left="460"/>
              <w:spacing w:after="0" w:line="203" w:lineRule="exact"/>
              <w:rPr>
                <w:sz w:val="20"/>
                <w:szCs w:val="20"/>
                <w:color w:val="auto"/>
              </w:rPr>
            </w:pPr>
            <w:r>
              <w:rPr>
                <w:rFonts w:ascii="Arial" w:cs="Arial" w:eastAsia="Arial" w:hAnsi="Arial"/>
                <w:sz w:val="18"/>
                <w:szCs w:val="18"/>
                <w:color w:val="auto"/>
              </w:rPr>
              <w:t>net of issuance costs</w:t>
            </w:r>
          </w:p>
        </w:tc>
        <w:tc>
          <w:tcPr>
            <w:tcW w:w="880" w:type="dxa"/>
            <w:vAlign w:val="bottom"/>
            <w:shd w:val="clear" w:color="auto" w:fill="CFF0FC"/>
          </w:tcPr>
          <w:p>
            <w:pPr>
              <w:jc w:val="right"/>
              <w:spacing w:after="0" w:line="203" w:lineRule="exact"/>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760" w:type="dxa"/>
            <w:vAlign w:val="bottom"/>
            <w:shd w:val="clear" w:color="auto" w:fill="CFF0FC"/>
          </w:tcPr>
          <w:p>
            <w:pPr>
              <w:jc w:val="right"/>
              <w:spacing w:after="0" w:line="203" w:lineRule="exact"/>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740" w:type="dxa"/>
            <w:vAlign w:val="bottom"/>
            <w:shd w:val="clear" w:color="auto" w:fill="CFF0FC"/>
          </w:tcPr>
          <w:p>
            <w:pPr>
              <w:jc w:val="right"/>
              <w:spacing w:after="0" w:line="203" w:lineRule="exact"/>
              <w:rPr>
                <w:sz w:val="20"/>
                <w:szCs w:val="20"/>
                <w:color w:val="auto"/>
              </w:rPr>
            </w:pPr>
            <w:r>
              <w:rPr>
                <w:rFonts w:ascii="Arial" w:cs="Arial" w:eastAsia="Arial" w:hAnsi="Arial"/>
                <w:sz w:val="18"/>
                <w:szCs w:val="18"/>
                <w:color w:val="auto"/>
              </w:rPr>
              <w:t>111,230</w:t>
            </w:r>
          </w:p>
        </w:tc>
        <w:tc>
          <w:tcPr>
            <w:tcW w:w="180" w:type="dxa"/>
            <w:vAlign w:val="bottom"/>
            <w:tcBorders>
              <w:right w:val="single" w:sz="8" w:color="CFF0FC"/>
            </w:tcBorders>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060" w:type="dxa"/>
            <w:vAlign w:val="bottom"/>
            <w:gridSpan w:val="2"/>
            <w:shd w:val="clear" w:color="auto" w:fill="CFF0FC"/>
          </w:tcPr>
          <w:p>
            <w:pPr>
              <w:jc w:val="right"/>
              <w:ind w:right="200"/>
              <w:spacing w:after="0" w:line="203" w:lineRule="exact"/>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17"/>
                <w:szCs w:val="17"/>
                <w:color w:val="auto"/>
              </w:rPr>
            </w:pPr>
          </w:p>
        </w:tc>
        <w:tc>
          <w:tcPr>
            <w:tcW w:w="960" w:type="dxa"/>
            <w:vAlign w:val="bottom"/>
            <w:gridSpan w:val="2"/>
            <w:shd w:val="clear" w:color="auto" w:fill="CFF0FC"/>
          </w:tcPr>
          <w:p>
            <w:pPr>
              <w:jc w:val="right"/>
              <w:ind w:right="200"/>
              <w:spacing w:after="0" w:line="203" w:lineRule="exact"/>
              <w:rPr>
                <w:sz w:val="20"/>
                <w:szCs w:val="20"/>
                <w:color w:val="auto"/>
              </w:rPr>
            </w:pPr>
            <w:r>
              <w:rPr>
                <w:rFonts w:ascii="Arial" w:cs="Arial" w:eastAsia="Arial" w:hAnsi="Arial"/>
                <w:sz w:val="18"/>
                <w:szCs w:val="18"/>
                <w:color w:val="auto"/>
              </w:rPr>
              <w:t>—</w:t>
            </w:r>
          </w:p>
        </w:tc>
        <w:tc>
          <w:tcPr>
            <w:tcW w:w="160" w:type="dxa"/>
            <w:vAlign w:val="bottom"/>
            <w:shd w:val="clear" w:color="auto" w:fill="CFF0FC"/>
          </w:tcPr>
          <w:p>
            <w:pPr>
              <w:spacing w:after="0"/>
              <w:rPr>
                <w:sz w:val="17"/>
                <w:szCs w:val="17"/>
                <w:color w:val="auto"/>
              </w:rPr>
            </w:pPr>
          </w:p>
        </w:tc>
        <w:tc>
          <w:tcPr>
            <w:tcW w:w="740" w:type="dxa"/>
            <w:vAlign w:val="bottom"/>
            <w:shd w:val="clear" w:color="auto" w:fill="CFF0FC"/>
          </w:tcPr>
          <w:p>
            <w:pPr>
              <w:jc w:val="right"/>
              <w:spacing w:after="0" w:line="203" w:lineRule="exact"/>
              <w:rPr>
                <w:sz w:val="20"/>
                <w:szCs w:val="20"/>
                <w:color w:val="auto"/>
              </w:rPr>
            </w:pPr>
            <w:r>
              <w:rPr>
                <w:rFonts w:ascii="Arial" w:cs="Arial" w:eastAsia="Arial" w:hAnsi="Arial"/>
                <w:sz w:val="18"/>
                <w:szCs w:val="18"/>
                <w:color w:val="auto"/>
              </w:rPr>
              <w:t>111,230</w:t>
            </w:r>
          </w:p>
        </w:tc>
        <w:tc>
          <w:tcPr>
            <w:tcW w:w="100" w:type="dxa"/>
            <w:vAlign w:val="bottom"/>
            <w:shd w:val="clear" w:color="auto" w:fill="CFF0FC"/>
          </w:tcPr>
          <w:p>
            <w:pPr>
              <w:spacing w:after="0"/>
              <w:rPr>
                <w:sz w:val="17"/>
                <w:szCs w:val="17"/>
                <w:color w:val="auto"/>
              </w:rPr>
            </w:pPr>
          </w:p>
        </w:tc>
      </w:tr>
      <w:tr>
        <w:trPr>
          <w:trHeight w:val="230"/>
        </w:trPr>
        <w:tc>
          <w:tcPr>
            <w:tcW w:w="4820" w:type="dxa"/>
            <w:vAlign w:val="bottom"/>
          </w:tcPr>
          <w:p>
            <w:pPr>
              <w:ind w:left="260"/>
              <w:spacing w:after="0"/>
              <w:rPr>
                <w:sz w:val="20"/>
                <w:szCs w:val="20"/>
                <w:color w:val="auto"/>
              </w:rPr>
            </w:pPr>
            <w:r>
              <w:rPr>
                <w:rFonts w:ascii="Arial" w:cs="Arial" w:eastAsia="Arial" w:hAnsi="Arial"/>
                <w:sz w:val="18"/>
                <w:szCs w:val="18"/>
                <w:color w:val="auto"/>
              </w:rPr>
              <w:t>Purchase of capped calls</w:t>
            </w: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8"/>
                <w:szCs w:val="18"/>
                <w:color w:val="auto"/>
              </w:rPr>
              <w:t>(46,150)</w:t>
            </w:r>
          </w:p>
        </w:tc>
        <w:tc>
          <w:tcPr>
            <w:tcW w:w="220" w:type="dxa"/>
            <w:vAlign w:val="bottom"/>
          </w:tcPr>
          <w:p>
            <w:pPr>
              <w:spacing w:after="0"/>
              <w:rPr>
                <w:sz w:val="19"/>
                <w:szCs w:val="19"/>
                <w:color w:val="auto"/>
              </w:rPr>
            </w:pPr>
          </w:p>
        </w:tc>
        <w:tc>
          <w:tcPr>
            <w:tcW w:w="10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840" w:type="dxa"/>
            <w:vAlign w:val="bottom"/>
            <w:gridSpan w:val="2"/>
          </w:tcPr>
          <w:p>
            <w:pPr>
              <w:jc w:val="right"/>
              <w:ind w:right="40"/>
              <w:spacing w:after="0"/>
              <w:rPr>
                <w:sz w:val="20"/>
                <w:szCs w:val="20"/>
                <w:color w:val="auto"/>
              </w:rPr>
            </w:pPr>
            <w:r>
              <w:rPr>
                <w:rFonts w:ascii="Arial" w:cs="Arial" w:eastAsia="Arial" w:hAnsi="Arial"/>
                <w:sz w:val="18"/>
                <w:szCs w:val="18"/>
                <w:color w:val="auto"/>
              </w:rPr>
              <w:t>(46,150)</w:t>
            </w:r>
          </w:p>
        </w:tc>
      </w:tr>
      <w:tr>
        <w:trPr>
          <w:trHeight w:val="215"/>
        </w:trPr>
        <w:tc>
          <w:tcPr>
            <w:tcW w:w="48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Net loss attributable to BlackLine, Inc.,</w:t>
            </w:r>
          </w:p>
        </w:tc>
        <w:tc>
          <w:tcPr>
            <w:tcW w:w="8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180" w:type="dxa"/>
            <w:vAlign w:val="bottom"/>
            <w:tcBorders>
              <w:right w:val="single" w:sz="8" w:color="CFF0FC"/>
            </w:tcBorders>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03"/>
        </w:trPr>
        <w:tc>
          <w:tcPr>
            <w:tcW w:w="4820" w:type="dxa"/>
            <w:vAlign w:val="bottom"/>
            <w:shd w:val="clear" w:color="auto" w:fill="CFF0FC"/>
          </w:tcPr>
          <w:p>
            <w:pPr>
              <w:ind w:left="460"/>
              <w:spacing w:after="0" w:line="202" w:lineRule="exact"/>
              <w:rPr>
                <w:sz w:val="20"/>
                <w:szCs w:val="20"/>
                <w:color w:val="auto"/>
              </w:rPr>
            </w:pPr>
            <w:r>
              <w:rPr>
                <w:rFonts w:ascii="Arial" w:cs="Arial" w:eastAsia="Arial" w:hAnsi="Arial"/>
                <w:sz w:val="18"/>
                <w:szCs w:val="18"/>
                <w:color w:val="auto"/>
              </w:rPr>
              <w:t>including adjustment to redeemable</w:t>
            </w:r>
          </w:p>
        </w:tc>
        <w:tc>
          <w:tcPr>
            <w:tcW w:w="88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76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740" w:type="dxa"/>
            <w:vAlign w:val="bottom"/>
            <w:shd w:val="clear" w:color="auto" w:fill="CFF0FC"/>
          </w:tcPr>
          <w:p>
            <w:pPr>
              <w:spacing w:after="0"/>
              <w:rPr>
                <w:sz w:val="17"/>
                <w:szCs w:val="17"/>
                <w:color w:val="auto"/>
              </w:rPr>
            </w:pPr>
          </w:p>
        </w:tc>
        <w:tc>
          <w:tcPr>
            <w:tcW w:w="180" w:type="dxa"/>
            <w:vAlign w:val="bottom"/>
            <w:tcBorders>
              <w:right w:val="single" w:sz="8" w:color="CFF0FC"/>
            </w:tcBorders>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86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78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7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03"/>
        </w:trPr>
        <w:tc>
          <w:tcPr>
            <w:tcW w:w="4820" w:type="dxa"/>
            <w:vAlign w:val="bottom"/>
            <w:shd w:val="clear" w:color="auto" w:fill="CFF0FC"/>
          </w:tcPr>
          <w:p>
            <w:pPr>
              <w:ind w:left="460"/>
              <w:spacing w:after="0" w:line="203" w:lineRule="exact"/>
              <w:rPr>
                <w:sz w:val="20"/>
                <w:szCs w:val="20"/>
                <w:color w:val="auto"/>
              </w:rPr>
            </w:pPr>
            <w:r>
              <w:rPr>
                <w:rFonts w:ascii="Arial" w:cs="Arial" w:eastAsia="Arial" w:hAnsi="Arial"/>
                <w:sz w:val="18"/>
                <w:szCs w:val="18"/>
                <w:color w:val="auto"/>
              </w:rPr>
              <w:t>non-controlling interest</w:t>
            </w:r>
          </w:p>
        </w:tc>
        <w:tc>
          <w:tcPr>
            <w:tcW w:w="880" w:type="dxa"/>
            <w:vAlign w:val="bottom"/>
            <w:shd w:val="clear" w:color="auto" w:fill="CFF0FC"/>
          </w:tcPr>
          <w:p>
            <w:pPr>
              <w:jc w:val="right"/>
              <w:spacing w:after="0" w:line="203" w:lineRule="exact"/>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760" w:type="dxa"/>
            <w:vAlign w:val="bottom"/>
            <w:shd w:val="clear" w:color="auto" w:fill="CFF0FC"/>
          </w:tcPr>
          <w:p>
            <w:pPr>
              <w:jc w:val="right"/>
              <w:spacing w:after="0" w:line="203" w:lineRule="exact"/>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920" w:type="dxa"/>
            <w:vAlign w:val="bottom"/>
            <w:tcBorders>
              <w:right w:val="single" w:sz="8" w:color="CFF0FC"/>
            </w:tcBorders>
            <w:gridSpan w:val="2"/>
            <w:shd w:val="clear" w:color="auto" w:fill="CFF0FC"/>
          </w:tcPr>
          <w:p>
            <w:pPr>
              <w:jc w:val="right"/>
              <w:ind w:right="120"/>
              <w:spacing w:after="0" w:line="203" w:lineRule="exact"/>
              <w:rPr>
                <w:sz w:val="20"/>
                <w:szCs w:val="20"/>
                <w:color w:val="auto"/>
              </w:rPr>
            </w:pPr>
            <w:r>
              <w:rPr>
                <w:rFonts w:ascii="Arial" w:cs="Arial" w:eastAsia="Arial" w:hAnsi="Arial"/>
                <w:sz w:val="18"/>
                <w:szCs w:val="18"/>
                <w:color w:val="auto"/>
              </w:rPr>
              <w:t>(1,833)</w:t>
            </w:r>
          </w:p>
        </w:tc>
        <w:tc>
          <w:tcPr>
            <w:tcW w:w="220" w:type="dxa"/>
            <w:vAlign w:val="bottom"/>
            <w:shd w:val="clear" w:color="auto" w:fill="CFF0FC"/>
          </w:tcPr>
          <w:p>
            <w:pPr>
              <w:spacing w:after="0"/>
              <w:rPr>
                <w:sz w:val="17"/>
                <w:szCs w:val="17"/>
                <w:color w:val="auto"/>
              </w:rPr>
            </w:pPr>
          </w:p>
        </w:tc>
        <w:tc>
          <w:tcPr>
            <w:tcW w:w="1060" w:type="dxa"/>
            <w:vAlign w:val="bottom"/>
            <w:gridSpan w:val="2"/>
            <w:shd w:val="clear" w:color="auto" w:fill="CFF0FC"/>
          </w:tcPr>
          <w:p>
            <w:pPr>
              <w:jc w:val="right"/>
              <w:ind w:right="200"/>
              <w:spacing w:after="0" w:line="203" w:lineRule="exact"/>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17"/>
                <w:szCs w:val="17"/>
                <w:color w:val="auto"/>
              </w:rPr>
            </w:pPr>
          </w:p>
        </w:tc>
        <w:tc>
          <w:tcPr>
            <w:tcW w:w="960" w:type="dxa"/>
            <w:vAlign w:val="bottom"/>
            <w:gridSpan w:val="2"/>
            <w:shd w:val="clear" w:color="auto" w:fill="CFF0FC"/>
          </w:tcPr>
          <w:p>
            <w:pPr>
              <w:jc w:val="right"/>
              <w:ind w:right="120"/>
              <w:spacing w:after="0" w:line="203" w:lineRule="exact"/>
              <w:rPr>
                <w:sz w:val="20"/>
                <w:szCs w:val="20"/>
                <w:color w:val="auto"/>
              </w:rPr>
            </w:pPr>
            <w:r>
              <w:rPr>
                <w:rFonts w:ascii="Arial" w:cs="Arial" w:eastAsia="Arial" w:hAnsi="Arial"/>
                <w:sz w:val="18"/>
                <w:szCs w:val="18"/>
                <w:color w:val="auto"/>
              </w:rPr>
              <w:t>(30,702)</w:t>
            </w:r>
          </w:p>
        </w:tc>
        <w:tc>
          <w:tcPr>
            <w:tcW w:w="160" w:type="dxa"/>
            <w:vAlign w:val="bottom"/>
            <w:shd w:val="clear" w:color="auto" w:fill="CFF0FC"/>
          </w:tcPr>
          <w:p>
            <w:pPr>
              <w:spacing w:after="0"/>
              <w:rPr>
                <w:sz w:val="17"/>
                <w:szCs w:val="17"/>
                <w:color w:val="auto"/>
              </w:rPr>
            </w:pPr>
          </w:p>
        </w:tc>
        <w:tc>
          <w:tcPr>
            <w:tcW w:w="840" w:type="dxa"/>
            <w:vAlign w:val="bottom"/>
            <w:gridSpan w:val="2"/>
            <w:shd w:val="clear" w:color="auto" w:fill="CFF0FC"/>
          </w:tcPr>
          <w:p>
            <w:pPr>
              <w:jc w:val="right"/>
              <w:ind w:right="40"/>
              <w:spacing w:after="0" w:line="203" w:lineRule="exact"/>
              <w:rPr>
                <w:sz w:val="20"/>
                <w:szCs w:val="20"/>
                <w:color w:val="auto"/>
              </w:rPr>
            </w:pPr>
            <w:r>
              <w:rPr>
                <w:rFonts w:ascii="Arial" w:cs="Arial" w:eastAsia="Arial" w:hAnsi="Arial"/>
                <w:sz w:val="18"/>
                <w:szCs w:val="18"/>
                <w:color w:val="auto"/>
              </w:rPr>
              <w:t>(32,535)</w:t>
            </w:r>
          </w:p>
        </w:tc>
      </w:tr>
      <w:tr>
        <w:trPr>
          <w:trHeight w:val="20"/>
        </w:trPr>
        <w:tc>
          <w:tcPr>
            <w:tcW w:w="482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23"/>
        </w:trPr>
        <w:tc>
          <w:tcPr>
            <w:tcW w:w="4820" w:type="dxa"/>
            <w:vAlign w:val="bottom"/>
          </w:tcPr>
          <w:p>
            <w:pPr>
              <w:spacing w:after="0"/>
              <w:rPr>
                <w:sz w:val="20"/>
                <w:szCs w:val="20"/>
                <w:color w:val="auto"/>
              </w:rPr>
            </w:pPr>
            <w:r>
              <w:rPr>
                <w:rFonts w:ascii="Arial" w:cs="Arial" w:eastAsia="Arial" w:hAnsi="Arial"/>
                <w:sz w:val="18"/>
                <w:szCs w:val="18"/>
                <w:color w:val="auto"/>
              </w:rPr>
              <w:t>Balance at December 31, 2019</w:t>
            </w:r>
          </w:p>
        </w:tc>
        <w:tc>
          <w:tcPr>
            <w:tcW w:w="880" w:type="dxa"/>
            <w:vAlign w:val="bottom"/>
          </w:tcPr>
          <w:p>
            <w:pPr>
              <w:jc w:val="right"/>
              <w:spacing w:after="0"/>
              <w:rPr>
                <w:sz w:val="20"/>
                <w:szCs w:val="20"/>
                <w:color w:val="auto"/>
              </w:rPr>
            </w:pPr>
            <w:r>
              <w:rPr>
                <w:rFonts w:ascii="Arial" w:cs="Arial" w:eastAsia="Arial" w:hAnsi="Arial"/>
                <w:sz w:val="18"/>
                <w:szCs w:val="18"/>
                <w:color w:val="auto"/>
              </w:rPr>
              <w:t>55,931</w:t>
            </w:r>
          </w:p>
        </w:tc>
        <w:tc>
          <w:tcPr>
            <w:tcW w:w="18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559</w:t>
            </w:r>
          </w:p>
        </w:tc>
        <w:tc>
          <w:tcPr>
            <w:tcW w:w="18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561,275</w:t>
            </w:r>
          </w:p>
        </w:tc>
        <w:tc>
          <w:tcPr>
            <w:tcW w:w="180" w:type="dxa"/>
            <w:vAlign w:val="bottom"/>
          </w:tcPr>
          <w:p>
            <w:pPr>
              <w:spacing w:after="0"/>
              <w:rPr>
                <w:sz w:val="19"/>
                <w:szCs w:val="19"/>
                <w:color w:val="auto"/>
              </w:rPr>
            </w:pPr>
          </w:p>
        </w:tc>
        <w:tc>
          <w:tcPr>
            <w:tcW w:w="220" w:type="dxa"/>
            <w:vAlign w:val="bottom"/>
          </w:tcPr>
          <w:p>
            <w:pPr>
              <w:jc w:val="right"/>
              <w:ind w:right="41"/>
              <w:spacing w:after="0"/>
              <w:rPr>
                <w:sz w:val="20"/>
                <w:szCs w:val="20"/>
                <w:color w:val="auto"/>
              </w:rPr>
            </w:pPr>
            <w:r>
              <w:rPr>
                <w:rFonts w:ascii="Arial" w:cs="Arial" w:eastAsia="Arial" w:hAnsi="Arial"/>
                <w:sz w:val="18"/>
                <w:szCs w:val="18"/>
                <w:color w:val="auto"/>
                <w:w w:val="7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377</w:t>
            </w:r>
          </w:p>
        </w:tc>
        <w:tc>
          <w:tcPr>
            <w:tcW w:w="200" w:type="dxa"/>
            <w:vAlign w:val="bottom"/>
          </w:tcPr>
          <w:p>
            <w:pPr>
              <w:spacing w:after="0"/>
              <w:rPr>
                <w:sz w:val="19"/>
                <w:szCs w:val="19"/>
                <w:color w:val="auto"/>
              </w:rPr>
            </w:pP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120"/>
              <w:spacing w:after="0"/>
              <w:rPr>
                <w:sz w:val="20"/>
                <w:szCs w:val="20"/>
                <w:color w:val="auto"/>
              </w:rPr>
            </w:pPr>
            <w:r>
              <w:rPr>
                <w:rFonts w:ascii="Arial" w:cs="Arial" w:eastAsia="Arial" w:hAnsi="Arial"/>
                <w:sz w:val="18"/>
                <w:szCs w:val="18"/>
                <w:color w:val="auto"/>
              </w:rPr>
              <w:t>(163,598)</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398,613</w:t>
            </w:r>
          </w:p>
        </w:tc>
        <w:tc>
          <w:tcPr>
            <w:tcW w:w="100" w:type="dxa"/>
            <w:vAlign w:val="bottom"/>
          </w:tcPr>
          <w:p>
            <w:pPr>
              <w:spacing w:after="0"/>
              <w:rPr>
                <w:sz w:val="19"/>
                <w:szCs w:val="19"/>
                <w:color w:val="auto"/>
              </w:rPr>
            </w:pPr>
          </w:p>
        </w:tc>
      </w:tr>
      <w:tr>
        <w:trPr>
          <w:trHeight w:val="20"/>
        </w:trPr>
        <w:tc>
          <w:tcPr>
            <w:tcW w:w="482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272020"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333" w:right="239" w:bottom="1440" w:gutter="0" w:footer="0" w:header="0"/>
        </w:sectPr>
      </w:pPr>
    </w:p>
    <w:bookmarkStart w:id="60" w:name="page61"/>
    <w:bookmarkEnd w:id="60"/>
    <w:p>
      <w:pPr>
        <w:jc w:val="center"/>
        <w:spacing w:after="0"/>
        <w:rPr>
          <w:sz w:val="20"/>
          <w:szCs w:val="20"/>
          <w:color w:val="auto"/>
        </w:rPr>
      </w:pPr>
      <w:r>
        <w:rPr>
          <w:rFonts w:ascii="Arial" w:cs="Arial" w:eastAsia="Arial" w:hAnsi="Arial"/>
          <w:sz w:val="18"/>
          <w:szCs w:val="18"/>
          <w:b w:val="1"/>
          <w:bCs w:val="1"/>
          <w:color w:val="auto"/>
        </w:rPr>
        <w:t>BLACKLINE, INC.</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744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2740" w:type="dxa"/>
            <w:vAlign w:val="bottom"/>
            <w:tcBorders>
              <w:bottom w:val="single" w:sz="8" w:color="auto"/>
            </w:tcBorders>
            <w:gridSpan w:val="8"/>
          </w:tcPr>
          <w:p>
            <w:pPr>
              <w:jc w:val="right"/>
              <w:ind w:right="120"/>
              <w:spacing w:after="0"/>
              <w:rPr>
                <w:sz w:val="20"/>
                <w:szCs w:val="20"/>
                <w:color w:val="auto"/>
              </w:rPr>
            </w:pPr>
            <w:r>
              <w:rPr>
                <w:rFonts w:ascii="Arial" w:cs="Arial" w:eastAsia="Arial" w:hAnsi="Arial"/>
                <w:sz w:val="15"/>
                <w:szCs w:val="15"/>
                <w:b w:val="1"/>
                <w:bCs w:val="1"/>
                <w:color w:val="auto"/>
              </w:rPr>
              <w:t>Year Ended December 31,</w:t>
            </w:r>
          </w:p>
        </w:tc>
        <w:tc>
          <w:tcPr>
            <w:tcW w:w="88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r>
      <w:tr>
        <w:trPr>
          <w:trHeight w:val="169"/>
        </w:trPr>
        <w:tc>
          <w:tcPr>
            <w:tcW w:w="7440" w:type="dxa"/>
            <w:vAlign w:val="bottom"/>
            <w:tcBorders>
              <w:bottom w:val="single" w:sz="8" w:color="CFF0FC"/>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ind w:right="343"/>
              <w:spacing w:after="0" w:line="169" w:lineRule="exact"/>
              <w:rPr>
                <w:sz w:val="20"/>
                <w:szCs w:val="20"/>
                <w:color w:val="auto"/>
              </w:rPr>
            </w:pPr>
            <w:r>
              <w:rPr>
                <w:rFonts w:ascii="Arial" w:cs="Arial" w:eastAsia="Arial" w:hAnsi="Arial"/>
                <w:sz w:val="15"/>
                <w:szCs w:val="15"/>
                <w:b w:val="1"/>
                <w:bCs w:val="1"/>
                <w:color w:val="auto"/>
              </w:rPr>
              <w:t>2019</w:t>
            </w:r>
          </w:p>
        </w:tc>
        <w:tc>
          <w:tcPr>
            <w:tcW w:w="120" w:type="dxa"/>
            <w:vAlign w:val="bottom"/>
            <w:tcBorders>
              <w:bottom w:val="single" w:sz="8" w:color="CFF0FC"/>
            </w:tcBorders>
          </w:tcPr>
          <w:p>
            <w:pPr>
              <w:spacing w:after="0"/>
              <w:rPr>
                <w:sz w:val="14"/>
                <w:szCs w:val="14"/>
                <w:color w:val="auto"/>
              </w:rPr>
            </w:pPr>
          </w:p>
        </w:tc>
        <w:tc>
          <w:tcPr>
            <w:tcW w:w="80" w:type="dxa"/>
            <w:vAlign w:val="bottom"/>
            <w:tcBorders>
              <w:bottom w:val="single" w:sz="8" w:color="CFF0FC"/>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ind w:right="343"/>
              <w:spacing w:after="0" w:line="169" w:lineRule="exact"/>
              <w:rPr>
                <w:sz w:val="20"/>
                <w:szCs w:val="20"/>
                <w:color w:val="auto"/>
              </w:rPr>
            </w:pPr>
            <w:r>
              <w:rPr>
                <w:rFonts w:ascii="Arial" w:cs="Arial" w:eastAsia="Arial" w:hAnsi="Arial"/>
                <w:sz w:val="15"/>
                <w:szCs w:val="15"/>
                <w:b w:val="1"/>
                <w:bCs w:val="1"/>
                <w:color w:val="auto"/>
              </w:rPr>
              <w:t>2018</w:t>
            </w:r>
          </w:p>
        </w:tc>
        <w:tc>
          <w:tcPr>
            <w:tcW w:w="120" w:type="dxa"/>
            <w:vAlign w:val="bottom"/>
            <w:tcBorders>
              <w:bottom w:val="single" w:sz="8" w:color="CFF0FC"/>
            </w:tcBorders>
          </w:tcPr>
          <w:p>
            <w:pPr>
              <w:spacing w:after="0"/>
              <w:rPr>
                <w:sz w:val="14"/>
                <w:szCs w:val="14"/>
                <w:color w:val="auto"/>
              </w:rPr>
            </w:pPr>
          </w:p>
        </w:tc>
        <w:tc>
          <w:tcPr>
            <w:tcW w:w="100" w:type="dxa"/>
            <w:vAlign w:val="bottom"/>
            <w:tcBorders>
              <w:bottom w:val="single" w:sz="8" w:color="CFF0FC"/>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ind w:right="343"/>
              <w:spacing w:after="0" w:line="169" w:lineRule="exact"/>
              <w:rPr>
                <w:sz w:val="20"/>
                <w:szCs w:val="20"/>
                <w:color w:val="auto"/>
              </w:rPr>
            </w:pPr>
            <w:r>
              <w:rPr>
                <w:rFonts w:ascii="Arial" w:cs="Arial" w:eastAsia="Arial" w:hAnsi="Arial"/>
                <w:sz w:val="15"/>
                <w:szCs w:val="15"/>
                <w:b w:val="1"/>
                <w:bCs w:val="1"/>
                <w:color w:val="auto"/>
              </w:rPr>
              <w:t>2017</w:t>
            </w:r>
          </w:p>
        </w:tc>
        <w:tc>
          <w:tcPr>
            <w:tcW w:w="120" w:type="dxa"/>
            <w:vAlign w:val="bottom"/>
            <w:tcBorders>
              <w:bottom w:val="single" w:sz="8" w:color="CFF0FC"/>
            </w:tcBorders>
          </w:tcPr>
          <w:p>
            <w:pPr>
              <w:spacing w:after="0"/>
              <w:rPr>
                <w:sz w:val="14"/>
                <w:szCs w:val="14"/>
                <w:color w:val="auto"/>
              </w:rPr>
            </w:pPr>
          </w:p>
        </w:tc>
      </w:tr>
      <w:tr>
        <w:trPr>
          <w:trHeight w:val="169"/>
        </w:trPr>
        <w:tc>
          <w:tcPr>
            <w:tcW w:w="7440" w:type="dxa"/>
            <w:vAlign w:val="bottom"/>
            <w:shd w:val="clear" w:color="auto" w:fill="CFF0FC"/>
          </w:tcPr>
          <w:p>
            <w:pPr>
              <w:spacing w:after="0" w:line="169" w:lineRule="exact"/>
              <w:rPr>
                <w:sz w:val="20"/>
                <w:szCs w:val="20"/>
                <w:color w:val="auto"/>
              </w:rPr>
            </w:pPr>
            <w:r>
              <w:rPr>
                <w:rFonts w:ascii="Arial" w:cs="Arial" w:eastAsia="Arial" w:hAnsi="Arial"/>
                <w:sz w:val="15"/>
                <w:szCs w:val="15"/>
                <w:color w:val="auto"/>
              </w:rPr>
              <w:t>Cash flows from operating activities</w:t>
            </w:r>
          </w:p>
        </w:tc>
        <w:tc>
          <w:tcPr>
            <w:tcW w:w="240" w:type="dxa"/>
            <w:vAlign w:val="bottom"/>
            <w:shd w:val="clear" w:color="auto" w:fill="CFF0FC"/>
          </w:tcPr>
          <w:p>
            <w:pPr>
              <w:spacing w:after="0"/>
              <w:rPr>
                <w:sz w:val="14"/>
                <w:szCs w:val="14"/>
                <w:color w:val="auto"/>
              </w:rPr>
            </w:pPr>
          </w:p>
        </w:tc>
        <w:tc>
          <w:tcPr>
            <w:tcW w:w="9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9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88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r>
      <w:tr>
        <w:trPr>
          <w:trHeight w:val="176"/>
        </w:trPr>
        <w:tc>
          <w:tcPr>
            <w:tcW w:w="7440" w:type="dxa"/>
            <w:vAlign w:val="bottom"/>
          </w:tcPr>
          <w:p>
            <w:pPr>
              <w:spacing w:after="0"/>
              <w:rPr>
                <w:sz w:val="20"/>
                <w:szCs w:val="20"/>
                <w:color w:val="auto"/>
              </w:rPr>
            </w:pPr>
            <w:r>
              <w:rPr>
                <w:rFonts w:ascii="Arial" w:cs="Arial" w:eastAsia="Arial" w:hAnsi="Arial"/>
                <w:sz w:val="15"/>
                <w:szCs w:val="15"/>
                <w:color w:val="auto"/>
              </w:rPr>
              <w:t>Net loss attributable to BlackLine, Inc.</w:t>
            </w:r>
          </w:p>
        </w:tc>
        <w:tc>
          <w:tcPr>
            <w:tcW w:w="240" w:type="dxa"/>
            <w:vAlign w:val="bottom"/>
          </w:tcPr>
          <w:p>
            <w:pPr>
              <w:jc w:val="right"/>
              <w:ind w:right="83"/>
              <w:spacing w:after="0"/>
              <w:rPr>
                <w:sz w:val="20"/>
                <w:szCs w:val="20"/>
                <w:color w:val="auto"/>
              </w:rPr>
            </w:pPr>
            <w:r>
              <w:rPr>
                <w:rFonts w:ascii="Arial" w:cs="Arial" w:eastAsia="Arial" w:hAnsi="Arial"/>
                <w:sz w:val="15"/>
                <w:szCs w:val="15"/>
                <w:color w:val="auto"/>
                <w:w w:val="71"/>
              </w:rPr>
              <w:t>$</w:t>
            </w:r>
          </w:p>
        </w:tc>
        <w:tc>
          <w:tcPr>
            <w:tcW w:w="1020" w:type="dxa"/>
            <w:vAlign w:val="bottom"/>
            <w:gridSpan w:val="2"/>
          </w:tcPr>
          <w:p>
            <w:pPr>
              <w:jc w:val="right"/>
              <w:ind w:right="80"/>
              <w:spacing w:after="0"/>
              <w:rPr>
                <w:sz w:val="20"/>
                <w:szCs w:val="20"/>
                <w:color w:val="auto"/>
              </w:rPr>
            </w:pPr>
            <w:r>
              <w:rPr>
                <w:rFonts w:ascii="Arial" w:cs="Arial" w:eastAsia="Arial" w:hAnsi="Arial"/>
                <w:sz w:val="15"/>
                <w:szCs w:val="15"/>
                <w:color w:val="auto"/>
              </w:rPr>
              <w:t>(32,535)</w:t>
            </w:r>
          </w:p>
        </w:tc>
        <w:tc>
          <w:tcPr>
            <w:tcW w:w="320" w:type="dxa"/>
            <w:vAlign w:val="bottom"/>
            <w:gridSpan w:val="2"/>
          </w:tcPr>
          <w:p>
            <w:pPr>
              <w:jc w:val="right"/>
              <w:ind w:right="140"/>
              <w:spacing w:after="0"/>
              <w:rPr>
                <w:sz w:val="20"/>
                <w:szCs w:val="20"/>
                <w:color w:val="auto"/>
              </w:rPr>
            </w:pPr>
            <w:r>
              <w:rPr>
                <w:rFonts w:ascii="Arial" w:cs="Arial" w:eastAsia="Arial" w:hAnsi="Arial"/>
                <w:sz w:val="15"/>
                <w:szCs w:val="15"/>
                <w:color w:val="auto"/>
              </w:rPr>
              <w:t>$</w:t>
            </w:r>
          </w:p>
        </w:tc>
        <w:tc>
          <w:tcPr>
            <w:tcW w:w="1040" w:type="dxa"/>
            <w:vAlign w:val="bottom"/>
            <w:gridSpan w:val="2"/>
          </w:tcPr>
          <w:p>
            <w:pPr>
              <w:jc w:val="right"/>
              <w:ind w:right="80"/>
              <w:spacing w:after="0"/>
              <w:rPr>
                <w:sz w:val="20"/>
                <w:szCs w:val="20"/>
                <w:color w:val="auto"/>
              </w:rPr>
            </w:pPr>
            <w:r>
              <w:rPr>
                <w:rFonts w:ascii="Arial" w:cs="Arial" w:eastAsia="Arial" w:hAnsi="Arial"/>
                <w:sz w:val="15"/>
                <w:szCs w:val="15"/>
                <w:color w:val="auto"/>
              </w:rPr>
              <w:t>(28,714)</w:t>
            </w:r>
          </w:p>
        </w:tc>
        <w:tc>
          <w:tcPr>
            <w:tcW w:w="360" w:type="dxa"/>
            <w:vAlign w:val="bottom"/>
            <w:gridSpan w:val="2"/>
          </w:tcPr>
          <w:p>
            <w:pPr>
              <w:jc w:val="right"/>
              <w:ind w:right="180"/>
              <w:spacing w:after="0"/>
              <w:rPr>
                <w:sz w:val="20"/>
                <w:szCs w:val="20"/>
                <w:color w:val="auto"/>
              </w:rPr>
            </w:pPr>
            <w:r>
              <w:rPr>
                <w:rFonts w:ascii="Arial" w:cs="Arial" w:eastAsia="Arial" w:hAnsi="Arial"/>
                <w:sz w:val="15"/>
                <w:szCs w:val="15"/>
                <w:color w:val="auto"/>
              </w:rPr>
              <w:t>$</w:t>
            </w:r>
          </w:p>
        </w:tc>
        <w:tc>
          <w:tcPr>
            <w:tcW w:w="1000" w:type="dxa"/>
            <w:vAlign w:val="bottom"/>
            <w:gridSpan w:val="2"/>
          </w:tcPr>
          <w:p>
            <w:pPr>
              <w:jc w:val="right"/>
              <w:ind w:right="80"/>
              <w:spacing w:after="0"/>
              <w:rPr>
                <w:sz w:val="20"/>
                <w:szCs w:val="20"/>
                <w:color w:val="auto"/>
              </w:rPr>
            </w:pPr>
            <w:r>
              <w:rPr>
                <w:rFonts w:ascii="Arial" w:cs="Arial" w:eastAsia="Arial" w:hAnsi="Arial"/>
                <w:sz w:val="15"/>
                <w:szCs w:val="15"/>
                <w:color w:val="auto"/>
              </w:rPr>
              <w:t>(33,408)</w:t>
            </w:r>
          </w:p>
        </w:tc>
      </w:tr>
      <w:tr>
        <w:trPr>
          <w:trHeight w:val="176"/>
        </w:trPr>
        <w:tc>
          <w:tcPr>
            <w:tcW w:w="7440" w:type="dxa"/>
            <w:vAlign w:val="bottom"/>
            <w:shd w:val="clear" w:color="auto" w:fill="CFF0FC"/>
          </w:tcPr>
          <w:p>
            <w:pPr>
              <w:spacing w:after="0"/>
              <w:rPr>
                <w:sz w:val="20"/>
                <w:szCs w:val="20"/>
                <w:color w:val="auto"/>
              </w:rPr>
            </w:pPr>
            <w:r>
              <w:rPr>
                <w:rFonts w:ascii="Arial" w:cs="Arial" w:eastAsia="Arial" w:hAnsi="Arial"/>
                <w:sz w:val="15"/>
                <w:szCs w:val="15"/>
                <w:color w:val="auto"/>
              </w:rPr>
              <w:t>Net loss and adjustment attributable to redeemable non-controlling interest (Note 4)</w:t>
            </w:r>
          </w:p>
        </w:tc>
        <w:tc>
          <w:tcPr>
            <w:tcW w:w="240" w:type="dxa"/>
            <w:vAlign w:val="bottom"/>
            <w:shd w:val="clear" w:color="auto" w:fill="CFF0FC"/>
          </w:tcPr>
          <w:p>
            <w:pPr>
              <w:spacing w:after="0"/>
              <w:rPr>
                <w:sz w:val="15"/>
                <w:szCs w:val="15"/>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5"/>
                <w:szCs w:val="15"/>
                <w:color w:val="auto"/>
              </w:rPr>
              <w:t>389</w:t>
            </w:r>
          </w:p>
        </w:tc>
        <w:tc>
          <w:tcPr>
            <w:tcW w:w="12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1040" w:type="dxa"/>
            <w:vAlign w:val="bottom"/>
            <w:gridSpan w:val="2"/>
            <w:shd w:val="clear" w:color="auto" w:fill="CFF0FC"/>
          </w:tcPr>
          <w:p>
            <w:pPr>
              <w:jc w:val="right"/>
              <w:ind w:right="80"/>
              <w:spacing w:after="0"/>
              <w:rPr>
                <w:sz w:val="20"/>
                <w:szCs w:val="20"/>
                <w:color w:val="auto"/>
              </w:rPr>
            </w:pPr>
            <w:r>
              <w:rPr>
                <w:rFonts w:ascii="Arial" w:cs="Arial" w:eastAsia="Arial" w:hAnsi="Arial"/>
                <w:sz w:val="15"/>
                <w:szCs w:val="15"/>
                <w:color w:val="auto"/>
              </w:rPr>
              <w:t>(62)</w:t>
            </w:r>
          </w:p>
        </w:tc>
        <w:tc>
          <w:tcPr>
            <w:tcW w:w="10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1000" w:type="dxa"/>
            <w:vAlign w:val="bottom"/>
            <w:gridSpan w:val="2"/>
            <w:shd w:val="clear" w:color="auto" w:fill="CFF0FC"/>
          </w:tcPr>
          <w:p>
            <w:pPr>
              <w:jc w:val="right"/>
              <w:ind w:right="140"/>
              <w:spacing w:after="0"/>
              <w:rPr>
                <w:sz w:val="20"/>
                <w:szCs w:val="20"/>
                <w:color w:val="auto"/>
              </w:rPr>
            </w:pPr>
            <w:r>
              <w:rPr>
                <w:rFonts w:ascii="Arial" w:cs="Arial" w:eastAsia="Arial" w:hAnsi="Arial"/>
                <w:sz w:val="15"/>
                <w:szCs w:val="15"/>
                <w:color w:val="auto"/>
              </w:rPr>
              <w:t>—</w:t>
            </w:r>
          </w:p>
        </w:tc>
      </w:tr>
      <w:tr>
        <w:trPr>
          <w:trHeight w:val="20"/>
        </w:trPr>
        <w:tc>
          <w:tcPr>
            <w:tcW w:w="744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69"/>
        </w:trPr>
        <w:tc>
          <w:tcPr>
            <w:tcW w:w="7440" w:type="dxa"/>
            <w:vAlign w:val="bottom"/>
          </w:tcPr>
          <w:p>
            <w:pPr>
              <w:spacing w:after="0" w:line="169" w:lineRule="exact"/>
              <w:rPr>
                <w:sz w:val="20"/>
                <w:szCs w:val="20"/>
                <w:color w:val="auto"/>
              </w:rPr>
            </w:pPr>
            <w:r>
              <w:rPr>
                <w:rFonts w:ascii="Arial" w:cs="Arial" w:eastAsia="Arial" w:hAnsi="Arial"/>
                <w:sz w:val="15"/>
                <w:szCs w:val="15"/>
                <w:color w:val="auto"/>
              </w:rPr>
              <w:t>Net loss</w:t>
            </w:r>
          </w:p>
        </w:tc>
        <w:tc>
          <w:tcPr>
            <w:tcW w:w="240" w:type="dxa"/>
            <w:vAlign w:val="bottom"/>
          </w:tcPr>
          <w:p>
            <w:pPr>
              <w:spacing w:after="0"/>
              <w:rPr>
                <w:sz w:val="14"/>
                <w:szCs w:val="14"/>
                <w:color w:val="auto"/>
              </w:rPr>
            </w:pPr>
          </w:p>
        </w:tc>
        <w:tc>
          <w:tcPr>
            <w:tcW w:w="1020" w:type="dxa"/>
            <w:vAlign w:val="bottom"/>
            <w:gridSpan w:val="2"/>
          </w:tcPr>
          <w:p>
            <w:pPr>
              <w:jc w:val="right"/>
              <w:ind w:right="80"/>
              <w:spacing w:after="0" w:line="169" w:lineRule="exact"/>
              <w:rPr>
                <w:sz w:val="20"/>
                <w:szCs w:val="20"/>
                <w:color w:val="auto"/>
              </w:rPr>
            </w:pPr>
            <w:r>
              <w:rPr>
                <w:rFonts w:ascii="Arial" w:cs="Arial" w:eastAsia="Arial" w:hAnsi="Arial"/>
                <w:sz w:val="15"/>
                <w:szCs w:val="15"/>
                <w:color w:val="auto"/>
              </w:rPr>
              <w:t>(32,146)</w:t>
            </w: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40" w:type="dxa"/>
            <w:vAlign w:val="bottom"/>
            <w:gridSpan w:val="2"/>
          </w:tcPr>
          <w:p>
            <w:pPr>
              <w:jc w:val="right"/>
              <w:ind w:right="80"/>
              <w:spacing w:after="0" w:line="169" w:lineRule="exact"/>
              <w:rPr>
                <w:sz w:val="20"/>
                <w:szCs w:val="20"/>
                <w:color w:val="auto"/>
              </w:rPr>
            </w:pPr>
            <w:r>
              <w:rPr>
                <w:rFonts w:ascii="Arial" w:cs="Arial" w:eastAsia="Arial" w:hAnsi="Arial"/>
                <w:sz w:val="15"/>
                <w:szCs w:val="15"/>
                <w:color w:val="auto"/>
              </w:rPr>
              <w:t>(28,776)</w:t>
            </w: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0" w:type="dxa"/>
            <w:vAlign w:val="bottom"/>
            <w:gridSpan w:val="2"/>
          </w:tcPr>
          <w:p>
            <w:pPr>
              <w:jc w:val="right"/>
              <w:ind w:right="80"/>
              <w:spacing w:after="0" w:line="169" w:lineRule="exact"/>
              <w:rPr>
                <w:sz w:val="20"/>
                <w:szCs w:val="20"/>
                <w:color w:val="auto"/>
              </w:rPr>
            </w:pPr>
            <w:r>
              <w:rPr>
                <w:rFonts w:ascii="Arial" w:cs="Arial" w:eastAsia="Arial" w:hAnsi="Arial"/>
                <w:sz w:val="15"/>
                <w:szCs w:val="15"/>
                <w:color w:val="auto"/>
              </w:rPr>
              <w:t>(33,408)</w:t>
            </w:r>
          </w:p>
        </w:tc>
      </w:tr>
      <w:tr>
        <w:trPr>
          <w:trHeight w:val="176"/>
        </w:trPr>
        <w:tc>
          <w:tcPr>
            <w:tcW w:w="7440" w:type="dxa"/>
            <w:vAlign w:val="bottom"/>
            <w:shd w:val="clear" w:color="auto" w:fill="CFF0FC"/>
          </w:tcPr>
          <w:p>
            <w:pPr>
              <w:spacing w:after="0"/>
              <w:rPr>
                <w:sz w:val="20"/>
                <w:szCs w:val="20"/>
                <w:color w:val="auto"/>
              </w:rPr>
            </w:pPr>
            <w:r>
              <w:rPr>
                <w:rFonts w:ascii="Arial" w:cs="Arial" w:eastAsia="Arial" w:hAnsi="Arial"/>
                <w:sz w:val="15"/>
                <w:szCs w:val="15"/>
                <w:color w:val="auto"/>
              </w:rPr>
              <w:t>Adjustments to reconcile net loss to net cash provided by operating activities:</w:t>
            </w:r>
          </w:p>
        </w:tc>
        <w:tc>
          <w:tcPr>
            <w:tcW w:w="240" w:type="dxa"/>
            <w:vAlign w:val="bottom"/>
            <w:shd w:val="clear" w:color="auto" w:fill="CFF0FC"/>
          </w:tcPr>
          <w:p>
            <w:pPr>
              <w:spacing w:after="0"/>
              <w:rPr>
                <w:sz w:val="15"/>
                <w:szCs w:val="15"/>
                <w:color w:val="auto"/>
              </w:rPr>
            </w:pPr>
          </w:p>
        </w:tc>
        <w:tc>
          <w:tcPr>
            <w:tcW w:w="90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92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88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r>
      <w:tr>
        <w:trPr>
          <w:trHeight w:val="176"/>
        </w:trPr>
        <w:tc>
          <w:tcPr>
            <w:tcW w:w="7440" w:type="dxa"/>
            <w:vAlign w:val="bottom"/>
          </w:tcPr>
          <w:p>
            <w:pPr>
              <w:ind w:left="260"/>
              <w:spacing w:after="0"/>
              <w:rPr>
                <w:sz w:val="20"/>
                <w:szCs w:val="20"/>
                <w:color w:val="auto"/>
              </w:rPr>
            </w:pPr>
            <w:r>
              <w:rPr>
                <w:rFonts w:ascii="Arial" w:cs="Arial" w:eastAsia="Arial" w:hAnsi="Arial"/>
                <w:sz w:val="15"/>
                <w:szCs w:val="15"/>
                <w:color w:val="auto"/>
              </w:rPr>
              <w:t>Depreciation and amortization</w:t>
            </w:r>
          </w:p>
        </w:tc>
        <w:tc>
          <w:tcPr>
            <w:tcW w:w="24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Arial" w:cs="Arial" w:eastAsia="Arial" w:hAnsi="Arial"/>
                <w:sz w:val="15"/>
                <w:szCs w:val="15"/>
                <w:color w:val="auto"/>
              </w:rPr>
              <w:t>21,274</w:t>
            </w: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Arial" w:cs="Arial" w:eastAsia="Arial" w:hAnsi="Arial"/>
                <w:sz w:val="15"/>
                <w:szCs w:val="15"/>
                <w:color w:val="auto"/>
              </w:rPr>
              <w:t>22,336</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Arial" w:cs="Arial" w:eastAsia="Arial" w:hAnsi="Arial"/>
                <w:sz w:val="15"/>
                <w:szCs w:val="15"/>
                <w:color w:val="auto"/>
              </w:rPr>
              <w:t>19,971</w:t>
            </w:r>
          </w:p>
        </w:tc>
        <w:tc>
          <w:tcPr>
            <w:tcW w:w="120" w:type="dxa"/>
            <w:vAlign w:val="bottom"/>
          </w:tcPr>
          <w:p>
            <w:pPr>
              <w:spacing w:after="0"/>
              <w:rPr>
                <w:sz w:val="15"/>
                <w:szCs w:val="15"/>
                <w:color w:val="auto"/>
              </w:rPr>
            </w:pPr>
          </w:p>
        </w:tc>
      </w:tr>
      <w:tr>
        <w:trPr>
          <w:trHeight w:val="176"/>
        </w:trPr>
        <w:tc>
          <w:tcPr>
            <w:tcW w:w="7440" w:type="dxa"/>
            <w:vAlign w:val="bottom"/>
            <w:shd w:val="clear" w:color="auto" w:fill="CFF0FC"/>
          </w:tcPr>
          <w:p>
            <w:pPr>
              <w:ind w:left="260"/>
              <w:spacing w:after="0"/>
              <w:rPr>
                <w:sz w:val="20"/>
                <w:szCs w:val="20"/>
                <w:color w:val="auto"/>
              </w:rPr>
            </w:pPr>
            <w:r>
              <w:rPr>
                <w:rFonts w:ascii="Arial" w:cs="Arial" w:eastAsia="Arial" w:hAnsi="Arial"/>
                <w:sz w:val="15"/>
                <w:szCs w:val="15"/>
                <w:color w:val="auto"/>
              </w:rPr>
              <w:t>Change in fair value of common stock warrant liability</w:t>
            </w:r>
          </w:p>
        </w:tc>
        <w:tc>
          <w:tcPr>
            <w:tcW w:w="240" w:type="dxa"/>
            <w:vAlign w:val="bottom"/>
            <w:shd w:val="clear" w:color="auto" w:fill="CFF0FC"/>
          </w:tcPr>
          <w:p>
            <w:pPr>
              <w:spacing w:after="0"/>
              <w:rPr>
                <w:sz w:val="15"/>
                <w:szCs w:val="15"/>
                <w:color w:val="auto"/>
              </w:rPr>
            </w:pPr>
          </w:p>
        </w:tc>
        <w:tc>
          <w:tcPr>
            <w:tcW w:w="1020" w:type="dxa"/>
            <w:vAlign w:val="bottom"/>
            <w:gridSpan w:val="2"/>
            <w:shd w:val="clear" w:color="auto" w:fill="CFF0FC"/>
          </w:tcPr>
          <w:p>
            <w:pPr>
              <w:jc w:val="right"/>
              <w:ind w:right="140"/>
              <w:spacing w:after="0"/>
              <w:rPr>
                <w:sz w:val="20"/>
                <w:szCs w:val="20"/>
                <w:color w:val="auto"/>
              </w:rPr>
            </w:pPr>
            <w:r>
              <w:rPr>
                <w:rFonts w:ascii="Arial" w:cs="Arial" w:eastAsia="Arial" w:hAnsi="Arial"/>
                <w:sz w:val="15"/>
                <w:szCs w:val="15"/>
                <w:color w:val="auto"/>
              </w:rPr>
              <w:t>—</w:t>
            </w:r>
          </w:p>
        </w:tc>
        <w:tc>
          <w:tcPr>
            <w:tcW w:w="8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1040" w:type="dxa"/>
            <w:vAlign w:val="bottom"/>
            <w:gridSpan w:val="2"/>
            <w:shd w:val="clear" w:color="auto" w:fill="CFF0FC"/>
          </w:tcPr>
          <w:p>
            <w:pPr>
              <w:jc w:val="right"/>
              <w:ind w:right="140"/>
              <w:spacing w:after="0"/>
              <w:rPr>
                <w:sz w:val="20"/>
                <w:szCs w:val="20"/>
                <w:color w:val="auto"/>
              </w:rPr>
            </w:pPr>
            <w:r>
              <w:rPr>
                <w:rFonts w:ascii="Arial" w:cs="Arial" w:eastAsia="Arial" w:hAnsi="Arial"/>
                <w:sz w:val="15"/>
                <w:szCs w:val="15"/>
                <w:color w:val="auto"/>
              </w:rPr>
              <w:t>—</w:t>
            </w:r>
          </w:p>
        </w:tc>
        <w:tc>
          <w:tcPr>
            <w:tcW w:w="10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5"/>
                <w:szCs w:val="15"/>
                <w:color w:val="auto"/>
              </w:rPr>
              <w:t>3,490</w:t>
            </w:r>
          </w:p>
        </w:tc>
        <w:tc>
          <w:tcPr>
            <w:tcW w:w="120" w:type="dxa"/>
            <w:vAlign w:val="bottom"/>
            <w:shd w:val="clear" w:color="auto" w:fill="CFF0FC"/>
          </w:tcPr>
          <w:p>
            <w:pPr>
              <w:spacing w:after="0"/>
              <w:rPr>
                <w:sz w:val="15"/>
                <w:szCs w:val="15"/>
                <w:color w:val="auto"/>
              </w:rPr>
            </w:pPr>
          </w:p>
        </w:tc>
      </w:tr>
      <w:tr>
        <w:trPr>
          <w:trHeight w:val="176"/>
        </w:trPr>
        <w:tc>
          <w:tcPr>
            <w:tcW w:w="7440" w:type="dxa"/>
            <w:vAlign w:val="bottom"/>
          </w:tcPr>
          <w:p>
            <w:pPr>
              <w:ind w:left="260"/>
              <w:spacing w:after="0"/>
              <w:rPr>
                <w:sz w:val="20"/>
                <w:szCs w:val="20"/>
                <w:color w:val="auto"/>
              </w:rPr>
            </w:pPr>
            <w:r>
              <w:rPr>
                <w:rFonts w:ascii="Arial" w:cs="Arial" w:eastAsia="Arial" w:hAnsi="Arial"/>
                <w:sz w:val="15"/>
                <w:szCs w:val="15"/>
                <w:color w:val="auto"/>
              </w:rPr>
              <w:t>Change in fair value of contingent consideration</w:t>
            </w:r>
          </w:p>
        </w:tc>
        <w:tc>
          <w:tcPr>
            <w:tcW w:w="24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Arial" w:cs="Arial" w:eastAsia="Arial" w:hAnsi="Arial"/>
                <w:sz w:val="15"/>
                <w:szCs w:val="15"/>
                <w:color w:val="auto"/>
              </w:rPr>
              <w:t>46</w:t>
            </w: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Arial" w:cs="Arial" w:eastAsia="Arial" w:hAnsi="Arial"/>
                <w:sz w:val="15"/>
                <w:szCs w:val="15"/>
                <w:color w:val="auto"/>
              </w:rPr>
              <w:t>450</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Arial" w:cs="Arial" w:eastAsia="Arial" w:hAnsi="Arial"/>
                <w:sz w:val="15"/>
                <w:szCs w:val="15"/>
                <w:color w:val="auto"/>
              </w:rPr>
              <w:t>628</w:t>
            </w:r>
          </w:p>
        </w:tc>
        <w:tc>
          <w:tcPr>
            <w:tcW w:w="120" w:type="dxa"/>
            <w:vAlign w:val="bottom"/>
          </w:tcPr>
          <w:p>
            <w:pPr>
              <w:spacing w:after="0"/>
              <w:rPr>
                <w:sz w:val="15"/>
                <w:szCs w:val="15"/>
                <w:color w:val="auto"/>
              </w:rPr>
            </w:pPr>
          </w:p>
        </w:tc>
      </w:tr>
      <w:tr>
        <w:trPr>
          <w:trHeight w:val="176"/>
        </w:trPr>
        <w:tc>
          <w:tcPr>
            <w:tcW w:w="7440" w:type="dxa"/>
            <w:vAlign w:val="bottom"/>
            <w:shd w:val="clear" w:color="auto" w:fill="CFF0FC"/>
          </w:tcPr>
          <w:p>
            <w:pPr>
              <w:ind w:left="260"/>
              <w:spacing w:after="0"/>
              <w:rPr>
                <w:sz w:val="20"/>
                <w:szCs w:val="20"/>
                <w:color w:val="auto"/>
              </w:rPr>
            </w:pPr>
            <w:r>
              <w:rPr>
                <w:rFonts w:ascii="Arial" w:cs="Arial" w:eastAsia="Arial" w:hAnsi="Arial"/>
                <w:sz w:val="15"/>
                <w:szCs w:val="15"/>
                <w:color w:val="auto"/>
              </w:rPr>
              <w:t>Amortization of debt discount and issuance costs</w:t>
            </w:r>
          </w:p>
        </w:tc>
        <w:tc>
          <w:tcPr>
            <w:tcW w:w="240" w:type="dxa"/>
            <w:vAlign w:val="bottom"/>
            <w:shd w:val="clear" w:color="auto" w:fill="CFF0FC"/>
          </w:tcPr>
          <w:p>
            <w:pPr>
              <w:spacing w:after="0"/>
              <w:rPr>
                <w:sz w:val="15"/>
                <w:szCs w:val="15"/>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5"/>
                <w:szCs w:val="15"/>
                <w:color w:val="auto"/>
              </w:rPr>
              <w:t>8,410</w:t>
            </w:r>
          </w:p>
        </w:tc>
        <w:tc>
          <w:tcPr>
            <w:tcW w:w="12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1040" w:type="dxa"/>
            <w:vAlign w:val="bottom"/>
            <w:gridSpan w:val="2"/>
            <w:shd w:val="clear" w:color="auto" w:fill="CFF0FC"/>
          </w:tcPr>
          <w:p>
            <w:pPr>
              <w:jc w:val="right"/>
              <w:ind w:right="140"/>
              <w:spacing w:after="0"/>
              <w:rPr>
                <w:sz w:val="20"/>
                <w:szCs w:val="20"/>
                <w:color w:val="auto"/>
              </w:rPr>
            </w:pPr>
            <w:r>
              <w:rPr>
                <w:rFonts w:ascii="Arial" w:cs="Arial" w:eastAsia="Arial" w:hAnsi="Arial"/>
                <w:sz w:val="15"/>
                <w:szCs w:val="15"/>
                <w:color w:val="auto"/>
              </w:rPr>
              <w:t>—</w:t>
            </w:r>
          </w:p>
        </w:tc>
        <w:tc>
          <w:tcPr>
            <w:tcW w:w="10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1000" w:type="dxa"/>
            <w:vAlign w:val="bottom"/>
            <w:gridSpan w:val="2"/>
            <w:shd w:val="clear" w:color="auto" w:fill="CFF0FC"/>
          </w:tcPr>
          <w:p>
            <w:pPr>
              <w:jc w:val="right"/>
              <w:ind w:right="140"/>
              <w:spacing w:after="0"/>
              <w:rPr>
                <w:sz w:val="20"/>
                <w:szCs w:val="20"/>
                <w:color w:val="auto"/>
              </w:rPr>
            </w:pPr>
            <w:r>
              <w:rPr>
                <w:rFonts w:ascii="Arial" w:cs="Arial" w:eastAsia="Arial" w:hAnsi="Arial"/>
                <w:sz w:val="15"/>
                <w:szCs w:val="15"/>
                <w:color w:val="auto"/>
              </w:rPr>
              <w:t>—</w:t>
            </w:r>
          </w:p>
        </w:tc>
      </w:tr>
      <w:tr>
        <w:trPr>
          <w:trHeight w:val="176"/>
        </w:trPr>
        <w:tc>
          <w:tcPr>
            <w:tcW w:w="7440" w:type="dxa"/>
            <w:vAlign w:val="bottom"/>
          </w:tcPr>
          <w:p>
            <w:pPr>
              <w:ind w:left="260"/>
              <w:spacing w:after="0"/>
              <w:rPr>
                <w:sz w:val="20"/>
                <w:szCs w:val="20"/>
                <w:color w:val="auto"/>
              </w:rPr>
            </w:pPr>
            <w:r>
              <w:rPr>
                <w:rFonts w:ascii="Arial" w:cs="Arial" w:eastAsia="Arial" w:hAnsi="Arial"/>
                <w:sz w:val="15"/>
                <w:szCs w:val="15"/>
                <w:color w:val="auto"/>
              </w:rPr>
              <w:t>Stock-based compensation</w:t>
            </w:r>
          </w:p>
        </w:tc>
        <w:tc>
          <w:tcPr>
            <w:tcW w:w="24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Arial" w:cs="Arial" w:eastAsia="Arial" w:hAnsi="Arial"/>
                <w:sz w:val="15"/>
                <w:szCs w:val="15"/>
                <w:color w:val="auto"/>
              </w:rPr>
              <w:t>34,052</w:t>
            </w: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Arial" w:cs="Arial" w:eastAsia="Arial" w:hAnsi="Arial"/>
                <w:sz w:val="15"/>
                <w:szCs w:val="15"/>
                <w:color w:val="auto"/>
              </w:rPr>
              <w:t>20,895</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Arial" w:cs="Arial" w:eastAsia="Arial" w:hAnsi="Arial"/>
                <w:sz w:val="15"/>
                <w:szCs w:val="15"/>
                <w:color w:val="auto"/>
              </w:rPr>
              <w:t>16,044</w:t>
            </w:r>
          </w:p>
        </w:tc>
        <w:tc>
          <w:tcPr>
            <w:tcW w:w="120" w:type="dxa"/>
            <w:vAlign w:val="bottom"/>
          </w:tcPr>
          <w:p>
            <w:pPr>
              <w:spacing w:after="0"/>
              <w:rPr>
                <w:sz w:val="15"/>
                <w:szCs w:val="15"/>
                <w:color w:val="auto"/>
              </w:rPr>
            </w:pPr>
          </w:p>
        </w:tc>
      </w:tr>
      <w:tr>
        <w:trPr>
          <w:trHeight w:val="176"/>
        </w:trPr>
        <w:tc>
          <w:tcPr>
            <w:tcW w:w="7440" w:type="dxa"/>
            <w:vAlign w:val="bottom"/>
            <w:shd w:val="clear" w:color="auto" w:fill="CFF0FC"/>
          </w:tcPr>
          <w:p>
            <w:pPr>
              <w:ind w:left="260"/>
              <w:spacing w:after="0"/>
              <w:rPr>
                <w:sz w:val="20"/>
                <w:szCs w:val="20"/>
                <w:color w:val="auto"/>
              </w:rPr>
            </w:pPr>
            <w:r>
              <w:rPr>
                <w:rFonts w:ascii="Arial" w:cs="Arial" w:eastAsia="Arial" w:hAnsi="Arial"/>
                <w:sz w:val="15"/>
                <w:szCs w:val="15"/>
                <w:color w:val="auto"/>
              </w:rPr>
              <w:t>Noncash lease expense</w:t>
            </w:r>
          </w:p>
        </w:tc>
        <w:tc>
          <w:tcPr>
            <w:tcW w:w="240" w:type="dxa"/>
            <w:vAlign w:val="bottom"/>
            <w:shd w:val="clear" w:color="auto" w:fill="CFF0FC"/>
          </w:tcPr>
          <w:p>
            <w:pPr>
              <w:spacing w:after="0"/>
              <w:rPr>
                <w:sz w:val="15"/>
                <w:szCs w:val="15"/>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5"/>
                <w:szCs w:val="15"/>
                <w:color w:val="auto"/>
              </w:rPr>
              <w:t>5,013</w:t>
            </w:r>
          </w:p>
        </w:tc>
        <w:tc>
          <w:tcPr>
            <w:tcW w:w="12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1040" w:type="dxa"/>
            <w:vAlign w:val="bottom"/>
            <w:gridSpan w:val="2"/>
            <w:shd w:val="clear" w:color="auto" w:fill="CFF0FC"/>
          </w:tcPr>
          <w:p>
            <w:pPr>
              <w:jc w:val="right"/>
              <w:ind w:right="140"/>
              <w:spacing w:after="0"/>
              <w:rPr>
                <w:sz w:val="20"/>
                <w:szCs w:val="20"/>
                <w:color w:val="auto"/>
              </w:rPr>
            </w:pPr>
            <w:r>
              <w:rPr>
                <w:rFonts w:ascii="Arial" w:cs="Arial" w:eastAsia="Arial" w:hAnsi="Arial"/>
                <w:sz w:val="15"/>
                <w:szCs w:val="15"/>
                <w:color w:val="auto"/>
              </w:rPr>
              <w:t>—</w:t>
            </w:r>
          </w:p>
        </w:tc>
        <w:tc>
          <w:tcPr>
            <w:tcW w:w="10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1000" w:type="dxa"/>
            <w:vAlign w:val="bottom"/>
            <w:gridSpan w:val="2"/>
            <w:shd w:val="clear" w:color="auto" w:fill="CFF0FC"/>
          </w:tcPr>
          <w:p>
            <w:pPr>
              <w:jc w:val="right"/>
              <w:ind w:right="140"/>
              <w:spacing w:after="0"/>
              <w:rPr>
                <w:sz w:val="20"/>
                <w:szCs w:val="20"/>
                <w:color w:val="auto"/>
              </w:rPr>
            </w:pPr>
            <w:r>
              <w:rPr>
                <w:rFonts w:ascii="Arial" w:cs="Arial" w:eastAsia="Arial" w:hAnsi="Arial"/>
                <w:sz w:val="15"/>
                <w:szCs w:val="15"/>
                <w:color w:val="auto"/>
              </w:rPr>
              <w:t>—</w:t>
            </w:r>
          </w:p>
        </w:tc>
      </w:tr>
      <w:tr>
        <w:trPr>
          <w:trHeight w:val="176"/>
        </w:trPr>
        <w:tc>
          <w:tcPr>
            <w:tcW w:w="7440" w:type="dxa"/>
            <w:vAlign w:val="bottom"/>
          </w:tcPr>
          <w:p>
            <w:pPr>
              <w:ind w:left="260"/>
              <w:spacing w:after="0"/>
              <w:rPr>
                <w:sz w:val="20"/>
                <w:szCs w:val="20"/>
                <w:color w:val="auto"/>
              </w:rPr>
            </w:pPr>
            <w:r>
              <w:rPr>
                <w:rFonts w:ascii="Arial" w:cs="Arial" w:eastAsia="Arial" w:hAnsi="Arial"/>
                <w:sz w:val="15"/>
                <w:szCs w:val="15"/>
                <w:color w:val="auto"/>
              </w:rPr>
              <w:t>(Accretion) amortization of purchase discounts/premiums on marketable securities, net</w:t>
            </w:r>
          </w:p>
        </w:tc>
        <w:tc>
          <w:tcPr>
            <w:tcW w:w="240" w:type="dxa"/>
            <w:vAlign w:val="bottom"/>
          </w:tcPr>
          <w:p>
            <w:pPr>
              <w:spacing w:after="0"/>
              <w:rPr>
                <w:sz w:val="15"/>
                <w:szCs w:val="15"/>
                <w:color w:val="auto"/>
              </w:rPr>
            </w:pPr>
          </w:p>
        </w:tc>
        <w:tc>
          <w:tcPr>
            <w:tcW w:w="1020" w:type="dxa"/>
            <w:vAlign w:val="bottom"/>
            <w:gridSpan w:val="2"/>
          </w:tcPr>
          <w:p>
            <w:pPr>
              <w:jc w:val="right"/>
              <w:ind w:right="80"/>
              <w:spacing w:after="0"/>
              <w:rPr>
                <w:sz w:val="20"/>
                <w:szCs w:val="20"/>
                <w:color w:val="auto"/>
              </w:rPr>
            </w:pPr>
            <w:r>
              <w:rPr>
                <w:rFonts w:ascii="Arial" w:cs="Arial" w:eastAsia="Arial" w:hAnsi="Arial"/>
                <w:sz w:val="15"/>
                <w:szCs w:val="15"/>
                <w:color w:val="auto"/>
              </w:rPr>
              <w:t>(2,161)</w:t>
            </w: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5"/>
                <w:szCs w:val="15"/>
                <w:color w:val="auto"/>
              </w:rPr>
              <w:t>(928)</w:t>
            </w: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Arial" w:cs="Arial" w:eastAsia="Arial" w:hAnsi="Arial"/>
                <w:sz w:val="15"/>
                <w:szCs w:val="15"/>
                <w:color w:val="auto"/>
              </w:rPr>
              <w:t>37</w:t>
            </w:r>
          </w:p>
        </w:tc>
        <w:tc>
          <w:tcPr>
            <w:tcW w:w="120" w:type="dxa"/>
            <w:vAlign w:val="bottom"/>
          </w:tcPr>
          <w:p>
            <w:pPr>
              <w:spacing w:after="0"/>
              <w:rPr>
                <w:sz w:val="15"/>
                <w:szCs w:val="15"/>
                <w:color w:val="auto"/>
              </w:rPr>
            </w:pPr>
          </w:p>
        </w:tc>
      </w:tr>
      <w:tr>
        <w:trPr>
          <w:trHeight w:val="176"/>
        </w:trPr>
        <w:tc>
          <w:tcPr>
            <w:tcW w:w="7440" w:type="dxa"/>
            <w:vAlign w:val="bottom"/>
            <w:shd w:val="clear" w:color="auto" w:fill="CFF0FC"/>
          </w:tcPr>
          <w:p>
            <w:pPr>
              <w:ind w:left="260"/>
              <w:spacing w:after="0"/>
              <w:rPr>
                <w:sz w:val="20"/>
                <w:szCs w:val="20"/>
                <w:color w:val="auto"/>
              </w:rPr>
            </w:pPr>
            <w:r>
              <w:rPr>
                <w:rFonts w:ascii="Arial" w:cs="Arial" w:eastAsia="Arial" w:hAnsi="Arial"/>
                <w:sz w:val="15"/>
                <w:szCs w:val="15"/>
                <w:color w:val="auto"/>
              </w:rPr>
              <w:t>Net foreign currency losses</w:t>
            </w:r>
          </w:p>
        </w:tc>
        <w:tc>
          <w:tcPr>
            <w:tcW w:w="240" w:type="dxa"/>
            <w:vAlign w:val="bottom"/>
            <w:shd w:val="clear" w:color="auto" w:fill="CFF0FC"/>
          </w:tcPr>
          <w:p>
            <w:pPr>
              <w:spacing w:after="0"/>
              <w:rPr>
                <w:sz w:val="15"/>
                <w:szCs w:val="15"/>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5"/>
                <w:szCs w:val="15"/>
                <w:color w:val="auto"/>
              </w:rPr>
              <w:t>65</w:t>
            </w:r>
          </w:p>
        </w:tc>
        <w:tc>
          <w:tcPr>
            <w:tcW w:w="12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5"/>
                <w:szCs w:val="15"/>
                <w:color w:val="auto"/>
              </w:rPr>
              <w:t>420</w:t>
            </w:r>
          </w:p>
        </w:tc>
        <w:tc>
          <w:tcPr>
            <w:tcW w:w="1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1000" w:type="dxa"/>
            <w:vAlign w:val="bottom"/>
            <w:gridSpan w:val="2"/>
            <w:shd w:val="clear" w:color="auto" w:fill="CFF0FC"/>
          </w:tcPr>
          <w:p>
            <w:pPr>
              <w:jc w:val="right"/>
              <w:ind w:right="140"/>
              <w:spacing w:after="0"/>
              <w:rPr>
                <w:sz w:val="20"/>
                <w:szCs w:val="20"/>
                <w:color w:val="auto"/>
              </w:rPr>
            </w:pPr>
            <w:r>
              <w:rPr>
                <w:rFonts w:ascii="Arial" w:cs="Arial" w:eastAsia="Arial" w:hAnsi="Arial"/>
                <w:sz w:val="15"/>
                <w:szCs w:val="15"/>
                <w:color w:val="auto"/>
              </w:rPr>
              <w:t>—</w:t>
            </w:r>
          </w:p>
        </w:tc>
      </w:tr>
      <w:tr>
        <w:trPr>
          <w:trHeight w:val="176"/>
        </w:trPr>
        <w:tc>
          <w:tcPr>
            <w:tcW w:w="7440" w:type="dxa"/>
            <w:vAlign w:val="bottom"/>
          </w:tcPr>
          <w:p>
            <w:pPr>
              <w:ind w:left="260"/>
              <w:spacing w:after="0"/>
              <w:rPr>
                <w:sz w:val="20"/>
                <w:szCs w:val="20"/>
                <w:color w:val="auto"/>
              </w:rPr>
            </w:pPr>
            <w:r>
              <w:rPr>
                <w:rFonts w:ascii="Arial" w:cs="Arial" w:eastAsia="Arial" w:hAnsi="Arial"/>
                <w:sz w:val="15"/>
                <w:szCs w:val="15"/>
                <w:color w:val="auto"/>
              </w:rPr>
              <w:t>Deferred income taxes</w:t>
            </w:r>
          </w:p>
        </w:tc>
        <w:tc>
          <w:tcPr>
            <w:tcW w:w="24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Arial" w:cs="Arial" w:eastAsia="Arial" w:hAnsi="Arial"/>
                <w:sz w:val="15"/>
                <w:szCs w:val="15"/>
                <w:color w:val="auto"/>
              </w:rPr>
              <w:t>1,314</w:t>
            </w: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Arial" w:cs="Arial" w:eastAsia="Arial" w:hAnsi="Arial"/>
                <w:sz w:val="15"/>
                <w:szCs w:val="15"/>
                <w:color w:val="auto"/>
              </w:rPr>
              <w:t>213</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Arial" w:cs="Arial" w:eastAsia="Arial" w:hAnsi="Arial"/>
                <w:sz w:val="15"/>
                <w:szCs w:val="15"/>
                <w:color w:val="auto"/>
              </w:rPr>
              <w:t>85</w:t>
            </w:r>
          </w:p>
        </w:tc>
        <w:tc>
          <w:tcPr>
            <w:tcW w:w="120" w:type="dxa"/>
            <w:vAlign w:val="bottom"/>
          </w:tcPr>
          <w:p>
            <w:pPr>
              <w:spacing w:after="0"/>
              <w:rPr>
                <w:sz w:val="15"/>
                <w:szCs w:val="15"/>
                <w:color w:val="auto"/>
              </w:rPr>
            </w:pPr>
          </w:p>
        </w:tc>
      </w:tr>
      <w:tr>
        <w:trPr>
          <w:trHeight w:val="176"/>
        </w:trPr>
        <w:tc>
          <w:tcPr>
            <w:tcW w:w="7440" w:type="dxa"/>
            <w:vAlign w:val="bottom"/>
            <w:shd w:val="clear" w:color="auto" w:fill="CFF0FC"/>
          </w:tcPr>
          <w:p>
            <w:pPr>
              <w:ind w:left="260"/>
              <w:spacing w:after="0"/>
              <w:rPr>
                <w:sz w:val="20"/>
                <w:szCs w:val="20"/>
                <w:color w:val="auto"/>
              </w:rPr>
            </w:pPr>
            <w:r>
              <w:rPr>
                <w:rFonts w:ascii="Arial" w:cs="Arial" w:eastAsia="Arial" w:hAnsi="Arial"/>
                <w:sz w:val="15"/>
                <w:szCs w:val="15"/>
                <w:color w:val="auto"/>
              </w:rPr>
              <w:t>Provision for (benefit from) doubtful accounts receivable</w:t>
            </w:r>
          </w:p>
        </w:tc>
        <w:tc>
          <w:tcPr>
            <w:tcW w:w="240" w:type="dxa"/>
            <w:vAlign w:val="bottom"/>
            <w:shd w:val="clear" w:color="auto" w:fill="CFF0FC"/>
          </w:tcPr>
          <w:p>
            <w:pPr>
              <w:spacing w:after="0"/>
              <w:rPr>
                <w:sz w:val="15"/>
                <w:szCs w:val="15"/>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5"/>
                <w:szCs w:val="15"/>
                <w:color w:val="auto"/>
              </w:rPr>
              <w:t>157</w:t>
            </w:r>
          </w:p>
        </w:tc>
        <w:tc>
          <w:tcPr>
            <w:tcW w:w="12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1040" w:type="dxa"/>
            <w:vAlign w:val="bottom"/>
            <w:gridSpan w:val="2"/>
            <w:shd w:val="clear" w:color="auto" w:fill="CFF0FC"/>
          </w:tcPr>
          <w:p>
            <w:pPr>
              <w:jc w:val="right"/>
              <w:ind w:right="80"/>
              <w:spacing w:after="0"/>
              <w:rPr>
                <w:sz w:val="20"/>
                <w:szCs w:val="20"/>
                <w:color w:val="auto"/>
              </w:rPr>
            </w:pPr>
            <w:r>
              <w:rPr>
                <w:rFonts w:ascii="Arial" w:cs="Arial" w:eastAsia="Arial" w:hAnsi="Arial"/>
                <w:sz w:val="15"/>
                <w:szCs w:val="15"/>
                <w:color w:val="auto"/>
              </w:rPr>
              <w:t>(84)</w:t>
            </w:r>
          </w:p>
        </w:tc>
        <w:tc>
          <w:tcPr>
            <w:tcW w:w="10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5"/>
                <w:szCs w:val="15"/>
                <w:color w:val="auto"/>
              </w:rPr>
              <w:t>565</w:t>
            </w:r>
          </w:p>
        </w:tc>
        <w:tc>
          <w:tcPr>
            <w:tcW w:w="120" w:type="dxa"/>
            <w:vAlign w:val="bottom"/>
            <w:shd w:val="clear" w:color="auto" w:fill="CFF0FC"/>
          </w:tcPr>
          <w:p>
            <w:pPr>
              <w:spacing w:after="0"/>
              <w:rPr>
                <w:sz w:val="15"/>
                <w:szCs w:val="15"/>
                <w:color w:val="auto"/>
              </w:rPr>
            </w:pPr>
          </w:p>
        </w:tc>
      </w:tr>
      <w:tr>
        <w:trPr>
          <w:trHeight w:val="176"/>
        </w:trPr>
        <w:tc>
          <w:tcPr>
            <w:tcW w:w="7440" w:type="dxa"/>
            <w:vAlign w:val="bottom"/>
          </w:tcPr>
          <w:p>
            <w:pPr>
              <w:ind w:left="260"/>
              <w:spacing w:after="0"/>
              <w:rPr>
                <w:sz w:val="20"/>
                <w:szCs w:val="20"/>
                <w:color w:val="auto"/>
              </w:rPr>
            </w:pPr>
            <w:r>
              <w:rPr>
                <w:rFonts w:ascii="Arial" w:cs="Arial" w:eastAsia="Arial" w:hAnsi="Arial"/>
                <w:sz w:val="15"/>
                <w:szCs w:val="15"/>
                <w:color w:val="auto"/>
              </w:rPr>
              <w:t>Changes in operating assets and liabilities:</w:t>
            </w:r>
          </w:p>
        </w:tc>
        <w:tc>
          <w:tcPr>
            <w:tcW w:w="2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20" w:type="dxa"/>
            <w:vAlign w:val="bottom"/>
          </w:tcPr>
          <w:p>
            <w:pPr>
              <w:spacing w:after="0"/>
              <w:rPr>
                <w:sz w:val="15"/>
                <w:szCs w:val="15"/>
                <w:color w:val="auto"/>
              </w:rPr>
            </w:pPr>
          </w:p>
        </w:tc>
      </w:tr>
      <w:tr>
        <w:trPr>
          <w:trHeight w:val="176"/>
        </w:trPr>
        <w:tc>
          <w:tcPr>
            <w:tcW w:w="7440" w:type="dxa"/>
            <w:vAlign w:val="bottom"/>
            <w:shd w:val="clear" w:color="auto" w:fill="CFF0FC"/>
          </w:tcPr>
          <w:p>
            <w:pPr>
              <w:ind w:left="500"/>
              <w:spacing w:after="0"/>
              <w:rPr>
                <w:sz w:val="20"/>
                <w:szCs w:val="20"/>
                <w:color w:val="auto"/>
              </w:rPr>
            </w:pPr>
            <w:r>
              <w:rPr>
                <w:rFonts w:ascii="Arial" w:cs="Arial" w:eastAsia="Arial" w:hAnsi="Arial"/>
                <w:sz w:val="15"/>
                <w:szCs w:val="15"/>
                <w:color w:val="auto"/>
              </w:rPr>
              <w:t>Accounts receivable</w:t>
            </w:r>
          </w:p>
        </w:tc>
        <w:tc>
          <w:tcPr>
            <w:tcW w:w="240" w:type="dxa"/>
            <w:vAlign w:val="bottom"/>
            <w:shd w:val="clear" w:color="auto" w:fill="CFF0FC"/>
          </w:tcPr>
          <w:p>
            <w:pPr>
              <w:spacing w:after="0"/>
              <w:rPr>
                <w:sz w:val="15"/>
                <w:szCs w:val="15"/>
                <w:color w:val="auto"/>
              </w:rPr>
            </w:pPr>
          </w:p>
        </w:tc>
        <w:tc>
          <w:tcPr>
            <w:tcW w:w="1020" w:type="dxa"/>
            <w:vAlign w:val="bottom"/>
            <w:gridSpan w:val="2"/>
            <w:shd w:val="clear" w:color="auto" w:fill="CFF0FC"/>
          </w:tcPr>
          <w:p>
            <w:pPr>
              <w:jc w:val="right"/>
              <w:ind w:right="80"/>
              <w:spacing w:after="0"/>
              <w:rPr>
                <w:sz w:val="20"/>
                <w:szCs w:val="20"/>
                <w:color w:val="auto"/>
              </w:rPr>
            </w:pPr>
            <w:r>
              <w:rPr>
                <w:rFonts w:ascii="Arial" w:cs="Arial" w:eastAsia="Arial" w:hAnsi="Arial"/>
                <w:sz w:val="15"/>
                <w:szCs w:val="15"/>
                <w:color w:val="auto"/>
              </w:rPr>
              <w:t>(27,962)</w:t>
            </w:r>
          </w:p>
        </w:tc>
        <w:tc>
          <w:tcPr>
            <w:tcW w:w="8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1040" w:type="dxa"/>
            <w:vAlign w:val="bottom"/>
            <w:gridSpan w:val="2"/>
            <w:shd w:val="clear" w:color="auto" w:fill="CFF0FC"/>
          </w:tcPr>
          <w:p>
            <w:pPr>
              <w:jc w:val="right"/>
              <w:ind w:right="80"/>
              <w:spacing w:after="0"/>
              <w:rPr>
                <w:sz w:val="20"/>
                <w:szCs w:val="20"/>
                <w:color w:val="auto"/>
              </w:rPr>
            </w:pPr>
            <w:r>
              <w:rPr>
                <w:rFonts w:ascii="Arial" w:cs="Arial" w:eastAsia="Arial" w:hAnsi="Arial"/>
                <w:sz w:val="15"/>
                <w:szCs w:val="15"/>
                <w:color w:val="auto"/>
              </w:rPr>
              <w:t>(13,207)</w:t>
            </w:r>
          </w:p>
        </w:tc>
        <w:tc>
          <w:tcPr>
            <w:tcW w:w="10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1000" w:type="dxa"/>
            <w:vAlign w:val="bottom"/>
            <w:gridSpan w:val="2"/>
            <w:shd w:val="clear" w:color="auto" w:fill="CFF0FC"/>
          </w:tcPr>
          <w:p>
            <w:pPr>
              <w:jc w:val="right"/>
              <w:ind w:right="80"/>
              <w:spacing w:after="0"/>
              <w:rPr>
                <w:sz w:val="20"/>
                <w:szCs w:val="20"/>
                <w:color w:val="auto"/>
              </w:rPr>
            </w:pPr>
            <w:r>
              <w:rPr>
                <w:rFonts w:ascii="Arial" w:cs="Arial" w:eastAsia="Arial" w:hAnsi="Arial"/>
                <w:sz w:val="15"/>
                <w:szCs w:val="15"/>
                <w:color w:val="auto"/>
              </w:rPr>
              <w:t>(20,189)</w:t>
            </w:r>
          </w:p>
        </w:tc>
      </w:tr>
      <w:tr>
        <w:trPr>
          <w:trHeight w:val="176"/>
        </w:trPr>
        <w:tc>
          <w:tcPr>
            <w:tcW w:w="7440" w:type="dxa"/>
            <w:vAlign w:val="bottom"/>
          </w:tcPr>
          <w:p>
            <w:pPr>
              <w:ind w:left="500"/>
              <w:spacing w:after="0"/>
              <w:rPr>
                <w:sz w:val="20"/>
                <w:szCs w:val="20"/>
                <w:color w:val="auto"/>
              </w:rPr>
            </w:pPr>
            <w:r>
              <w:rPr>
                <w:rFonts w:ascii="Arial" w:cs="Arial" w:eastAsia="Arial" w:hAnsi="Arial"/>
                <w:sz w:val="15"/>
                <w:szCs w:val="15"/>
                <w:color w:val="auto"/>
              </w:rPr>
              <w:t>Prepaid expenses and other current assets</w:t>
            </w:r>
          </w:p>
        </w:tc>
        <w:tc>
          <w:tcPr>
            <w:tcW w:w="24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Arial" w:cs="Arial" w:eastAsia="Arial" w:hAnsi="Arial"/>
                <w:sz w:val="15"/>
                <w:szCs w:val="15"/>
                <w:color w:val="auto"/>
              </w:rPr>
              <w:t>1,224</w:t>
            </w: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5"/>
                <w:szCs w:val="15"/>
                <w:color w:val="auto"/>
              </w:rPr>
              <w:t>(449)</w:t>
            </w: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00" w:type="dxa"/>
            <w:vAlign w:val="bottom"/>
            <w:gridSpan w:val="2"/>
          </w:tcPr>
          <w:p>
            <w:pPr>
              <w:jc w:val="right"/>
              <w:ind w:right="80"/>
              <w:spacing w:after="0"/>
              <w:rPr>
                <w:sz w:val="20"/>
                <w:szCs w:val="20"/>
                <w:color w:val="auto"/>
              </w:rPr>
            </w:pPr>
            <w:r>
              <w:rPr>
                <w:rFonts w:ascii="Arial" w:cs="Arial" w:eastAsia="Arial" w:hAnsi="Arial"/>
                <w:sz w:val="15"/>
                <w:szCs w:val="15"/>
                <w:color w:val="auto"/>
              </w:rPr>
              <w:t>(2,035)</w:t>
            </w:r>
          </w:p>
        </w:tc>
      </w:tr>
      <w:tr>
        <w:trPr>
          <w:trHeight w:val="176"/>
        </w:trPr>
        <w:tc>
          <w:tcPr>
            <w:tcW w:w="7440" w:type="dxa"/>
            <w:vAlign w:val="bottom"/>
            <w:shd w:val="clear" w:color="auto" w:fill="CFF0FC"/>
          </w:tcPr>
          <w:p>
            <w:pPr>
              <w:ind w:left="500"/>
              <w:spacing w:after="0"/>
              <w:rPr>
                <w:sz w:val="20"/>
                <w:szCs w:val="20"/>
                <w:color w:val="auto"/>
              </w:rPr>
            </w:pPr>
            <w:r>
              <w:rPr>
                <w:rFonts w:ascii="Arial" w:cs="Arial" w:eastAsia="Arial" w:hAnsi="Arial"/>
                <w:sz w:val="15"/>
                <w:szCs w:val="15"/>
                <w:color w:val="auto"/>
              </w:rPr>
              <w:t>Other assets</w:t>
            </w:r>
          </w:p>
        </w:tc>
        <w:tc>
          <w:tcPr>
            <w:tcW w:w="240" w:type="dxa"/>
            <w:vAlign w:val="bottom"/>
            <w:shd w:val="clear" w:color="auto" w:fill="CFF0FC"/>
          </w:tcPr>
          <w:p>
            <w:pPr>
              <w:spacing w:after="0"/>
              <w:rPr>
                <w:sz w:val="15"/>
                <w:szCs w:val="15"/>
                <w:color w:val="auto"/>
              </w:rPr>
            </w:pPr>
          </w:p>
        </w:tc>
        <w:tc>
          <w:tcPr>
            <w:tcW w:w="1020" w:type="dxa"/>
            <w:vAlign w:val="bottom"/>
            <w:gridSpan w:val="2"/>
            <w:shd w:val="clear" w:color="auto" w:fill="CFF0FC"/>
          </w:tcPr>
          <w:p>
            <w:pPr>
              <w:jc w:val="right"/>
              <w:ind w:right="80"/>
              <w:spacing w:after="0"/>
              <w:rPr>
                <w:sz w:val="20"/>
                <w:szCs w:val="20"/>
                <w:color w:val="auto"/>
              </w:rPr>
            </w:pPr>
            <w:r>
              <w:rPr>
                <w:rFonts w:ascii="Arial" w:cs="Arial" w:eastAsia="Arial" w:hAnsi="Arial"/>
                <w:sz w:val="15"/>
                <w:szCs w:val="15"/>
                <w:color w:val="auto"/>
              </w:rPr>
              <w:t>(16,429)</w:t>
            </w:r>
          </w:p>
        </w:tc>
        <w:tc>
          <w:tcPr>
            <w:tcW w:w="8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1040" w:type="dxa"/>
            <w:vAlign w:val="bottom"/>
            <w:gridSpan w:val="2"/>
            <w:shd w:val="clear" w:color="auto" w:fill="CFF0FC"/>
          </w:tcPr>
          <w:p>
            <w:pPr>
              <w:jc w:val="right"/>
              <w:ind w:right="80"/>
              <w:spacing w:after="0"/>
              <w:rPr>
                <w:sz w:val="20"/>
                <w:szCs w:val="20"/>
                <w:color w:val="auto"/>
              </w:rPr>
            </w:pPr>
            <w:r>
              <w:rPr>
                <w:rFonts w:ascii="Arial" w:cs="Arial" w:eastAsia="Arial" w:hAnsi="Arial"/>
                <w:sz w:val="15"/>
                <w:szCs w:val="15"/>
                <w:color w:val="auto"/>
              </w:rPr>
              <w:t>(9,475)</w:t>
            </w:r>
          </w:p>
        </w:tc>
        <w:tc>
          <w:tcPr>
            <w:tcW w:w="10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1000" w:type="dxa"/>
            <w:vAlign w:val="bottom"/>
            <w:gridSpan w:val="2"/>
            <w:shd w:val="clear" w:color="auto" w:fill="CFF0FC"/>
          </w:tcPr>
          <w:p>
            <w:pPr>
              <w:jc w:val="right"/>
              <w:ind w:right="80"/>
              <w:spacing w:after="0"/>
              <w:rPr>
                <w:sz w:val="20"/>
                <w:szCs w:val="20"/>
                <w:color w:val="auto"/>
              </w:rPr>
            </w:pPr>
            <w:r>
              <w:rPr>
                <w:rFonts w:ascii="Arial" w:cs="Arial" w:eastAsia="Arial" w:hAnsi="Arial"/>
                <w:sz w:val="15"/>
                <w:szCs w:val="15"/>
                <w:color w:val="auto"/>
              </w:rPr>
              <w:t>(7,176)</w:t>
            </w:r>
          </w:p>
        </w:tc>
      </w:tr>
      <w:tr>
        <w:trPr>
          <w:trHeight w:val="176"/>
        </w:trPr>
        <w:tc>
          <w:tcPr>
            <w:tcW w:w="7440" w:type="dxa"/>
            <w:vAlign w:val="bottom"/>
          </w:tcPr>
          <w:p>
            <w:pPr>
              <w:ind w:left="500"/>
              <w:spacing w:after="0"/>
              <w:rPr>
                <w:sz w:val="20"/>
                <w:szCs w:val="20"/>
                <w:color w:val="auto"/>
              </w:rPr>
            </w:pPr>
            <w:r>
              <w:rPr>
                <w:rFonts w:ascii="Arial" w:cs="Arial" w:eastAsia="Arial" w:hAnsi="Arial"/>
                <w:sz w:val="15"/>
                <w:szCs w:val="15"/>
                <w:color w:val="auto"/>
              </w:rPr>
              <w:t>Accounts payable</w:t>
            </w:r>
          </w:p>
        </w:tc>
        <w:tc>
          <w:tcPr>
            <w:tcW w:w="24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Arial" w:cs="Arial" w:eastAsia="Arial" w:hAnsi="Arial"/>
                <w:sz w:val="15"/>
                <w:szCs w:val="15"/>
                <w:color w:val="auto"/>
              </w:rPr>
              <w:t>3,244</w:t>
            </w: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5"/>
                <w:szCs w:val="15"/>
                <w:color w:val="auto"/>
              </w:rPr>
              <w:t>(4,008)</w:t>
            </w: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00" w:type="dxa"/>
            <w:vAlign w:val="bottom"/>
            <w:gridSpan w:val="2"/>
          </w:tcPr>
          <w:p>
            <w:pPr>
              <w:jc w:val="right"/>
              <w:ind w:right="80"/>
              <w:spacing w:after="0"/>
              <w:rPr>
                <w:sz w:val="20"/>
                <w:szCs w:val="20"/>
                <w:color w:val="auto"/>
              </w:rPr>
            </w:pPr>
            <w:r>
              <w:rPr>
                <w:rFonts w:ascii="Arial" w:cs="Arial" w:eastAsia="Arial" w:hAnsi="Arial"/>
                <w:sz w:val="15"/>
                <w:szCs w:val="15"/>
                <w:color w:val="auto"/>
              </w:rPr>
              <w:t>(25)</w:t>
            </w:r>
          </w:p>
        </w:tc>
      </w:tr>
      <w:tr>
        <w:trPr>
          <w:trHeight w:val="176"/>
        </w:trPr>
        <w:tc>
          <w:tcPr>
            <w:tcW w:w="7440" w:type="dxa"/>
            <w:vAlign w:val="bottom"/>
            <w:shd w:val="clear" w:color="auto" w:fill="CFF0FC"/>
          </w:tcPr>
          <w:p>
            <w:pPr>
              <w:ind w:left="500"/>
              <w:spacing w:after="0"/>
              <w:rPr>
                <w:sz w:val="20"/>
                <w:szCs w:val="20"/>
                <w:color w:val="auto"/>
              </w:rPr>
            </w:pPr>
            <w:r>
              <w:rPr>
                <w:rFonts w:ascii="Arial" w:cs="Arial" w:eastAsia="Arial" w:hAnsi="Arial"/>
                <w:sz w:val="15"/>
                <w:szCs w:val="15"/>
                <w:color w:val="auto"/>
              </w:rPr>
              <w:t>Accrued expenses and other current liabilities</w:t>
            </w:r>
          </w:p>
        </w:tc>
        <w:tc>
          <w:tcPr>
            <w:tcW w:w="240" w:type="dxa"/>
            <w:vAlign w:val="bottom"/>
            <w:shd w:val="clear" w:color="auto" w:fill="CFF0FC"/>
          </w:tcPr>
          <w:p>
            <w:pPr>
              <w:spacing w:after="0"/>
              <w:rPr>
                <w:sz w:val="15"/>
                <w:szCs w:val="15"/>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5"/>
                <w:szCs w:val="15"/>
                <w:color w:val="auto"/>
              </w:rPr>
              <w:t>5,789</w:t>
            </w:r>
          </w:p>
        </w:tc>
        <w:tc>
          <w:tcPr>
            <w:tcW w:w="12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5"/>
                <w:szCs w:val="15"/>
                <w:color w:val="auto"/>
              </w:rPr>
              <w:t>4,191</w:t>
            </w:r>
          </w:p>
        </w:tc>
        <w:tc>
          <w:tcPr>
            <w:tcW w:w="1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5"/>
                <w:szCs w:val="15"/>
                <w:color w:val="auto"/>
              </w:rPr>
              <w:t>2,120</w:t>
            </w:r>
          </w:p>
        </w:tc>
        <w:tc>
          <w:tcPr>
            <w:tcW w:w="120" w:type="dxa"/>
            <w:vAlign w:val="bottom"/>
            <w:shd w:val="clear" w:color="auto" w:fill="CFF0FC"/>
          </w:tcPr>
          <w:p>
            <w:pPr>
              <w:spacing w:after="0"/>
              <w:rPr>
                <w:sz w:val="15"/>
                <w:szCs w:val="15"/>
                <w:color w:val="auto"/>
              </w:rPr>
            </w:pPr>
          </w:p>
        </w:tc>
      </w:tr>
      <w:tr>
        <w:trPr>
          <w:trHeight w:val="176"/>
        </w:trPr>
        <w:tc>
          <w:tcPr>
            <w:tcW w:w="7440" w:type="dxa"/>
            <w:vAlign w:val="bottom"/>
          </w:tcPr>
          <w:p>
            <w:pPr>
              <w:ind w:left="500"/>
              <w:spacing w:after="0"/>
              <w:rPr>
                <w:sz w:val="20"/>
                <w:szCs w:val="20"/>
                <w:color w:val="auto"/>
              </w:rPr>
            </w:pPr>
            <w:r>
              <w:rPr>
                <w:rFonts w:ascii="Arial" w:cs="Arial" w:eastAsia="Arial" w:hAnsi="Arial"/>
                <w:sz w:val="15"/>
                <w:szCs w:val="15"/>
                <w:color w:val="auto"/>
              </w:rPr>
              <w:t>Deferred revenue</w:t>
            </w:r>
          </w:p>
        </w:tc>
        <w:tc>
          <w:tcPr>
            <w:tcW w:w="24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Arial" w:cs="Arial" w:eastAsia="Arial" w:hAnsi="Arial"/>
                <w:sz w:val="15"/>
                <w:szCs w:val="15"/>
                <w:color w:val="auto"/>
              </w:rPr>
              <w:t>33,364</w:t>
            </w: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Arial" w:cs="Arial" w:eastAsia="Arial" w:hAnsi="Arial"/>
                <w:sz w:val="15"/>
                <w:szCs w:val="15"/>
                <w:color w:val="auto"/>
              </w:rPr>
              <w:t>24,699</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Arial" w:cs="Arial" w:eastAsia="Arial" w:hAnsi="Arial"/>
                <w:sz w:val="15"/>
                <w:szCs w:val="15"/>
                <w:color w:val="auto"/>
              </w:rPr>
              <w:t>26,504</w:t>
            </w:r>
          </w:p>
        </w:tc>
        <w:tc>
          <w:tcPr>
            <w:tcW w:w="120" w:type="dxa"/>
            <w:vAlign w:val="bottom"/>
          </w:tcPr>
          <w:p>
            <w:pPr>
              <w:spacing w:after="0"/>
              <w:rPr>
                <w:sz w:val="15"/>
                <w:szCs w:val="15"/>
                <w:color w:val="auto"/>
              </w:rPr>
            </w:pPr>
          </w:p>
        </w:tc>
      </w:tr>
      <w:tr>
        <w:trPr>
          <w:trHeight w:val="176"/>
        </w:trPr>
        <w:tc>
          <w:tcPr>
            <w:tcW w:w="7440" w:type="dxa"/>
            <w:vAlign w:val="bottom"/>
            <w:shd w:val="clear" w:color="auto" w:fill="CFF0FC"/>
          </w:tcPr>
          <w:p>
            <w:pPr>
              <w:ind w:left="500"/>
              <w:spacing w:after="0"/>
              <w:rPr>
                <w:sz w:val="20"/>
                <w:szCs w:val="20"/>
                <w:color w:val="auto"/>
              </w:rPr>
            </w:pPr>
            <w:r>
              <w:rPr>
                <w:rFonts w:ascii="Arial" w:cs="Arial" w:eastAsia="Arial" w:hAnsi="Arial"/>
                <w:sz w:val="15"/>
                <w:szCs w:val="15"/>
                <w:color w:val="auto"/>
              </w:rPr>
              <w:t>Operating lease liabilities</w:t>
            </w:r>
          </w:p>
        </w:tc>
        <w:tc>
          <w:tcPr>
            <w:tcW w:w="240" w:type="dxa"/>
            <w:vAlign w:val="bottom"/>
            <w:shd w:val="clear" w:color="auto" w:fill="CFF0FC"/>
          </w:tcPr>
          <w:p>
            <w:pPr>
              <w:spacing w:after="0"/>
              <w:rPr>
                <w:sz w:val="15"/>
                <w:szCs w:val="15"/>
                <w:color w:val="auto"/>
              </w:rPr>
            </w:pPr>
          </w:p>
        </w:tc>
        <w:tc>
          <w:tcPr>
            <w:tcW w:w="1020" w:type="dxa"/>
            <w:vAlign w:val="bottom"/>
            <w:gridSpan w:val="2"/>
            <w:shd w:val="clear" w:color="auto" w:fill="CFF0FC"/>
          </w:tcPr>
          <w:p>
            <w:pPr>
              <w:jc w:val="right"/>
              <w:ind w:right="80"/>
              <w:spacing w:after="0"/>
              <w:rPr>
                <w:sz w:val="20"/>
                <w:szCs w:val="20"/>
                <w:color w:val="auto"/>
              </w:rPr>
            </w:pPr>
            <w:r>
              <w:rPr>
                <w:rFonts w:ascii="Arial" w:cs="Arial" w:eastAsia="Arial" w:hAnsi="Arial"/>
                <w:sz w:val="15"/>
                <w:szCs w:val="15"/>
                <w:color w:val="auto"/>
              </w:rPr>
              <w:t>(5,530)</w:t>
            </w:r>
          </w:p>
        </w:tc>
        <w:tc>
          <w:tcPr>
            <w:tcW w:w="8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1040" w:type="dxa"/>
            <w:vAlign w:val="bottom"/>
            <w:gridSpan w:val="2"/>
            <w:shd w:val="clear" w:color="auto" w:fill="CFF0FC"/>
          </w:tcPr>
          <w:p>
            <w:pPr>
              <w:jc w:val="right"/>
              <w:ind w:right="140"/>
              <w:spacing w:after="0"/>
              <w:rPr>
                <w:sz w:val="20"/>
                <w:szCs w:val="20"/>
                <w:color w:val="auto"/>
              </w:rPr>
            </w:pPr>
            <w:r>
              <w:rPr>
                <w:rFonts w:ascii="Arial" w:cs="Arial" w:eastAsia="Arial" w:hAnsi="Arial"/>
                <w:sz w:val="15"/>
                <w:szCs w:val="15"/>
                <w:color w:val="auto"/>
              </w:rPr>
              <w:t>—</w:t>
            </w:r>
          </w:p>
        </w:tc>
        <w:tc>
          <w:tcPr>
            <w:tcW w:w="10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1000" w:type="dxa"/>
            <w:vAlign w:val="bottom"/>
            <w:gridSpan w:val="2"/>
            <w:shd w:val="clear" w:color="auto" w:fill="CFF0FC"/>
          </w:tcPr>
          <w:p>
            <w:pPr>
              <w:jc w:val="right"/>
              <w:ind w:right="140"/>
              <w:spacing w:after="0"/>
              <w:rPr>
                <w:sz w:val="20"/>
                <w:szCs w:val="20"/>
                <w:color w:val="auto"/>
              </w:rPr>
            </w:pPr>
            <w:r>
              <w:rPr>
                <w:rFonts w:ascii="Arial" w:cs="Arial" w:eastAsia="Arial" w:hAnsi="Arial"/>
                <w:sz w:val="15"/>
                <w:szCs w:val="15"/>
                <w:color w:val="auto"/>
              </w:rPr>
              <w:t>—</w:t>
            </w:r>
          </w:p>
        </w:tc>
      </w:tr>
      <w:tr>
        <w:trPr>
          <w:trHeight w:val="176"/>
        </w:trPr>
        <w:tc>
          <w:tcPr>
            <w:tcW w:w="7440" w:type="dxa"/>
            <w:vAlign w:val="bottom"/>
          </w:tcPr>
          <w:p>
            <w:pPr>
              <w:ind w:left="500"/>
              <w:spacing w:after="0"/>
              <w:rPr>
                <w:sz w:val="20"/>
                <w:szCs w:val="20"/>
                <w:color w:val="auto"/>
              </w:rPr>
            </w:pPr>
            <w:r>
              <w:rPr>
                <w:rFonts w:ascii="Arial" w:cs="Arial" w:eastAsia="Arial" w:hAnsi="Arial"/>
                <w:sz w:val="15"/>
                <w:szCs w:val="15"/>
                <w:color w:val="auto"/>
              </w:rPr>
              <w:t>Other long-term liabilities</w:t>
            </w:r>
          </w:p>
        </w:tc>
        <w:tc>
          <w:tcPr>
            <w:tcW w:w="240" w:type="dxa"/>
            <w:vAlign w:val="bottom"/>
          </w:tcPr>
          <w:p>
            <w:pPr>
              <w:spacing w:after="0"/>
              <w:rPr>
                <w:sz w:val="15"/>
                <w:szCs w:val="15"/>
                <w:color w:val="auto"/>
              </w:rPr>
            </w:pPr>
          </w:p>
        </w:tc>
        <w:tc>
          <w:tcPr>
            <w:tcW w:w="1020" w:type="dxa"/>
            <w:vAlign w:val="bottom"/>
            <w:gridSpan w:val="2"/>
          </w:tcPr>
          <w:p>
            <w:pPr>
              <w:jc w:val="right"/>
              <w:ind w:right="140"/>
              <w:spacing w:after="0"/>
              <w:rPr>
                <w:sz w:val="20"/>
                <w:szCs w:val="20"/>
                <w:color w:val="auto"/>
              </w:rPr>
            </w:pPr>
            <w:r>
              <w:rPr>
                <w:rFonts w:ascii="Arial" w:cs="Arial" w:eastAsia="Arial" w:hAnsi="Arial"/>
                <w:sz w:val="15"/>
                <w:szCs w:val="15"/>
                <w:color w:val="auto"/>
              </w:rPr>
              <w:t>—</w:t>
            </w: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5"/>
                <w:szCs w:val="15"/>
                <w:color w:val="auto"/>
              </w:rPr>
              <w:t>(137)</w:t>
            </w: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00" w:type="dxa"/>
            <w:vAlign w:val="bottom"/>
            <w:gridSpan w:val="2"/>
          </w:tcPr>
          <w:p>
            <w:pPr>
              <w:jc w:val="right"/>
              <w:ind w:right="80"/>
              <w:spacing w:after="0"/>
              <w:rPr>
                <w:sz w:val="20"/>
                <w:szCs w:val="20"/>
                <w:color w:val="auto"/>
              </w:rPr>
            </w:pPr>
            <w:r>
              <w:rPr>
                <w:rFonts w:ascii="Arial" w:cs="Arial" w:eastAsia="Arial" w:hAnsi="Arial"/>
                <w:sz w:val="15"/>
                <w:szCs w:val="15"/>
                <w:color w:val="auto"/>
              </w:rPr>
              <w:t>(187)</w:t>
            </w:r>
          </w:p>
        </w:tc>
      </w:tr>
      <w:tr>
        <w:trPr>
          <w:trHeight w:val="169"/>
        </w:trPr>
        <w:tc>
          <w:tcPr>
            <w:tcW w:w="7440" w:type="dxa"/>
            <w:vAlign w:val="bottom"/>
            <w:tcBorders>
              <w:top w:val="single" w:sz="8" w:color="CFF0FC"/>
            </w:tcBorders>
            <w:shd w:val="clear" w:color="auto" w:fill="CFF0FC"/>
          </w:tcPr>
          <w:p>
            <w:pPr>
              <w:ind w:left="740"/>
              <w:spacing w:after="0" w:line="169" w:lineRule="exact"/>
              <w:rPr>
                <w:sz w:val="20"/>
                <w:szCs w:val="20"/>
                <w:color w:val="auto"/>
              </w:rPr>
            </w:pPr>
            <w:r>
              <w:rPr>
                <w:rFonts w:ascii="Arial" w:cs="Arial" w:eastAsia="Arial" w:hAnsi="Arial"/>
                <w:sz w:val="15"/>
                <w:szCs w:val="15"/>
                <w:color w:val="auto"/>
              </w:rPr>
              <w:t>Net cash provided by operating activities</w:t>
            </w:r>
          </w:p>
        </w:tc>
        <w:tc>
          <w:tcPr>
            <w:tcW w:w="240" w:type="dxa"/>
            <w:vAlign w:val="bottom"/>
            <w:tcBorders>
              <w:top w:val="single" w:sz="8" w:color="auto"/>
              <w:bottom w:val="single" w:sz="8" w:color="auto"/>
            </w:tcBorders>
            <w:shd w:val="clear" w:color="auto" w:fill="CFF0FC"/>
          </w:tcPr>
          <w:p>
            <w:pPr>
              <w:spacing w:after="0"/>
              <w:rPr>
                <w:sz w:val="14"/>
                <w:szCs w:val="14"/>
                <w:color w:val="auto"/>
              </w:rPr>
            </w:pPr>
          </w:p>
        </w:tc>
        <w:tc>
          <w:tcPr>
            <w:tcW w:w="900" w:type="dxa"/>
            <w:vAlign w:val="bottom"/>
            <w:tcBorders>
              <w:top w:val="single" w:sz="8" w:color="auto"/>
              <w:bottom w:val="single" w:sz="8" w:color="auto"/>
            </w:tcBorders>
            <w:shd w:val="clear" w:color="auto" w:fill="CFF0FC"/>
          </w:tcPr>
          <w:p>
            <w:pPr>
              <w:jc w:val="right"/>
              <w:spacing w:after="0" w:line="169" w:lineRule="exact"/>
              <w:rPr>
                <w:sz w:val="20"/>
                <w:szCs w:val="20"/>
                <w:color w:val="auto"/>
              </w:rPr>
            </w:pPr>
            <w:r>
              <w:rPr>
                <w:rFonts w:ascii="Arial" w:cs="Arial" w:eastAsia="Arial" w:hAnsi="Arial"/>
                <w:sz w:val="15"/>
                <w:szCs w:val="15"/>
                <w:color w:val="auto"/>
              </w:rPr>
              <w:t>29,724</w:t>
            </w:r>
          </w:p>
        </w:tc>
        <w:tc>
          <w:tcPr>
            <w:tcW w:w="120" w:type="dxa"/>
            <w:vAlign w:val="bottom"/>
            <w:tcBorders>
              <w:top w:val="single" w:sz="8" w:color="CFF0FC"/>
            </w:tcBorders>
            <w:shd w:val="clear" w:color="auto" w:fill="CFF0FC"/>
          </w:tcPr>
          <w:p>
            <w:pPr>
              <w:spacing w:after="0"/>
              <w:rPr>
                <w:sz w:val="14"/>
                <w:szCs w:val="14"/>
                <w:color w:val="auto"/>
              </w:rPr>
            </w:pPr>
          </w:p>
        </w:tc>
        <w:tc>
          <w:tcPr>
            <w:tcW w:w="80" w:type="dxa"/>
            <w:vAlign w:val="bottom"/>
            <w:tcBorders>
              <w:top w:val="single" w:sz="8" w:color="CFF0FC"/>
            </w:tcBorders>
            <w:shd w:val="clear" w:color="auto" w:fill="CFF0FC"/>
          </w:tcPr>
          <w:p>
            <w:pPr>
              <w:spacing w:after="0"/>
              <w:rPr>
                <w:sz w:val="14"/>
                <w:szCs w:val="14"/>
                <w:color w:val="auto"/>
              </w:rPr>
            </w:pPr>
          </w:p>
        </w:tc>
        <w:tc>
          <w:tcPr>
            <w:tcW w:w="240" w:type="dxa"/>
            <w:vAlign w:val="bottom"/>
            <w:tcBorders>
              <w:top w:val="single" w:sz="8" w:color="auto"/>
              <w:bottom w:val="single" w:sz="8" w:color="auto"/>
            </w:tcBorders>
            <w:shd w:val="clear" w:color="auto" w:fill="CFF0FC"/>
          </w:tcPr>
          <w:p>
            <w:pPr>
              <w:spacing w:after="0"/>
              <w:rPr>
                <w:sz w:val="14"/>
                <w:szCs w:val="14"/>
                <w:color w:val="auto"/>
              </w:rPr>
            </w:pPr>
          </w:p>
        </w:tc>
        <w:tc>
          <w:tcPr>
            <w:tcW w:w="920" w:type="dxa"/>
            <w:vAlign w:val="bottom"/>
            <w:tcBorders>
              <w:top w:val="single" w:sz="8" w:color="auto"/>
              <w:bottom w:val="single" w:sz="8" w:color="auto"/>
            </w:tcBorders>
            <w:shd w:val="clear" w:color="auto" w:fill="CFF0FC"/>
          </w:tcPr>
          <w:p>
            <w:pPr>
              <w:jc w:val="right"/>
              <w:spacing w:after="0" w:line="169" w:lineRule="exact"/>
              <w:rPr>
                <w:sz w:val="20"/>
                <w:szCs w:val="20"/>
                <w:color w:val="auto"/>
              </w:rPr>
            </w:pPr>
            <w:r>
              <w:rPr>
                <w:rFonts w:ascii="Arial" w:cs="Arial" w:eastAsia="Arial" w:hAnsi="Arial"/>
                <w:sz w:val="15"/>
                <w:szCs w:val="15"/>
                <w:color w:val="auto"/>
              </w:rPr>
              <w:t>16,140</w:t>
            </w:r>
          </w:p>
        </w:tc>
        <w:tc>
          <w:tcPr>
            <w:tcW w:w="120" w:type="dxa"/>
            <w:vAlign w:val="bottom"/>
            <w:tcBorders>
              <w:top w:val="single" w:sz="8" w:color="CFF0FC"/>
            </w:tcBorders>
            <w:shd w:val="clear" w:color="auto" w:fill="CFF0FC"/>
          </w:tcPr>
          <w:p>
            <w:pPr>
              <w:spacing w:after="0"/>
              <w:rPr>
                <w:sz w:val="14"/>
                <w:szCs w:val="14"/>
                <w:color w:val="auto"/>
              </w:rPr>
            </w:pPr>
          </w:p>
        </w:tc>
        <w:tc>
          <w:tcPr>
            <w:tcW w:w="100" w:type="dxa"/>
            <w:vAlign w:val="bottom"/>
            <w:tcBorders>
              <w:top w:val="single" w:sz="8" w:color="CFF0FC"/>
            </w:tcBorders>
            <w:shd w:val="clear" w:color="auto" w:fill="CFF0FC"/>
          </w:tcPr>
          <w:p>
            <w:pPr>
              <w:spacing w:after="0"/>
              <w:rPr>
                <w:sz w:val="14"/>
                <w:szCs w:val="14"/>
                <w:color w:val="auto"/>
              </w:rPr>
            </w:pPr>
          </w:p>
        </w:tc>
        <w:tc>
          <w:tcPr>
            <w:tcW w:w="260" w:type="dxa"/>
            <w:vAlign w:val="bottom"/>
            <w:tcBorders>
              <w:top w:val="single" w:sz="8" w:color="auto"/>
              <w:bottom w:val="single" w:sz="8" w:color="auto"/>
            </w:tcBorders>
            <w:shd w:val="clear" w:color="auto" w:fill="CFF0FC"/>
          </w:tcPr>
          <w:p>
            <w:pPr>
              <w:spacing w:after="0"/>
              <w:rPr>
                <w:sz w:val="14"/>
                <w:szCs w:val="14"/>
                <w:color w:val="auto"/>
              </w:rPr>
            </w:pPr>
          </w:p>
        </w:tc>
        <w:tc>
          <w:tcPr>
            <w:tcW w:w="880" w:type="dxa"/>
            <w:vAlign w:val="bottom"/>
            <w:tcBorders>
              <w:top w:val="single" w:sz="8" w:color="auto"/>
              <w:bottom w:val="single" w:sz="8" w:color="auto"/>
            </w:tcBorders>
            <w:shd w:val="clear" w:color="auto" w:fill="CFF0FC"/>
          </w:tcPr>
          <w:p>
            <w:pPr>
              <w:jc w:val="right"/>
              <w:spacing w:after="0" w:line="169" w:lineRule="exact"/>
              <w:rPr>
                <w:sz w:val="20"/>
                <w:szCs w:val="20"/>
                <w:color w:val="auto"/>
              </w:rPr>
            </w:pPr>
            <w:r>
              <w:rPr>
                <w:rFonts w:ascii="Arial" w:cs="Arial" w:eastAsia="Arial" w:hAnsi="Arial"/>
                <w:sz w:val="15"/>
                <w:szCs w:val="15"/>
                <w:color w:val="auto"/>
              </w:rPr>
              <w:t>6,424</w:t>
            </w:r>
          </w:p>
        </w:tc>
        <w:tc>
          <w:tcPr>
            <w:tcW w:w="120" w:type="dxa"/>
            <w:vAlign w:val="bottom"/>
            <w:tcBorders>
              <w:top w:val="single" w:sz="8" w:color="CFF0FC"/>
            </w:tcBorders>
            <w:shd w:val="clear" w:color="auto" w:fill="CFF0FC"/>
          </w:tcPr>
          <w:p>
            <w:pPr>
              <w:spacing w:after="0"/>
              <w:rPr>
                <w:sz w:val="14"/>
                <w:szCs w:val="14"/>
                <w:color w:val="auto"/>
              </w:rPr>
            </w:pPr>
          </w:p>
        </w:tc>
      </w:tr>
      <w:tr>
        <w:trPr>
          <w:trHeight w:val="169"/>
        </w:trPr>
        <w:tc>
          <w:tcPr>
            <w:tcW w:w="7440" w:type="dxa"/>
            <w:vAlign w:val="bottom"/>
          </w:tcPr>
          <w:p>
            <w:pPr>
              <w:spacing w:after="0" w:line="169" w:lineRule="exact"/>
              <w:rPr>
                <w:sz w:val="20"/>
                <w:szCs w:val="20"/>
                <w:color w:val="auto"/>
              </w:rPr>
            </w:pPr>
            <w:r>
              <w:rPr>
                <w:rFonts w:ascii="Arial" w:cs="Arial" w:eastAsia="Arial" w:hAnsi="Arial"/>
                <w:sz w:val="15"/>
                <w:szCs w:val="15"/>
                <w:color w:val="auto"/>
              </w:rPr>
              <w:t>Cash flows from investing activities</w:t>
            </w:r>
          </w:p>
        </w:tc>
        <w:tc>
          <w:tcPr>
            <w:tcW w:w="2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20" w:type="dxa"/>
            <w:vAlign w:val="bottom"/>
          </w:tcPr>
          <w:p>
            <w:pPr>
              <w:spacing w:after="0"/>
              <w:rPr>
                <w:sz w:val="14"/>
                <w:szCs w:val="14"/>
                <w:color w:val="auto"/>
              </w:rPr>
            </w:pPr>
          </w:p>
        </w:tc>
      </w:tr>
      <w:tr>
        <w:trPr>
          <w:trHeight w:val="176"/>
        </w:trPr>
        <w:tc>
          <w:tcPr>
            <w:tcW w:w="7440" w:type="dxa"/>
            <w:vAlign w:val="bottom"/>
            <w:shd w:val="clear" w:color="auto" w:fill="CFF0FC"/>
          </w:tcPr>
          <w:p>
            <w:pPr>
              <w:ind w:left="260"/>
              <w:spacing w:after="0"/>
              <w:rPr>
                <w:sz w:val="20"/>
                <w:szCs w:val="20"/>
                <w:color w:val="auto"/>
              </w:rPr>
            </w:pPr>
            <w:r>
              <w:rPr>
                <w:rFonts w:ascii="Arial" w:cs="Arial" w:eastAsia="Arial" w:hAnsi="Arial"/>
                <w:sz w:val="15"/>
                <w:szCs w:val="15"/>
                <w:color w:val="auto"/>
              </w:rPr>
              <w:t>Purchases of marketable securities</w:t>
            </w:r>
          </w:p>
        </w:tc>
        <w:tc>
          <w:tcPr>
            <w:tcW w:w="240" w:type="dxa"/>
            <w:vAlign w:val="bottom"/>
            <w:shd w:val="clear" w:color="auto" w:fill="CFF0FC"/>
          </w:tcPr>
          <w:p>
            <w:pPr>
              <w:spacing w:after="0"/>
              <w:rPr>
                <w:sz w:val="15"/>
                <w:szCs w:val="15"/>
                <w:color w:val="auto"/>
              </w:rPr>
            </w:pPr>
          </w:p>
        </w:tc>
        <w:tc>
          <w:tcPr>
            <w:tcW w:w="1020" w:type="dxa"/>
            <w:vAlign w:val="bottom"/>
            <w:gridSpan w:val="2"/>
            <w:shd w:val="clear" w:color="auto" w:fill="CFF0FC"/>
          </w:tcPr>
          <w:p>
            <w:pPr>
              <w:jc w:val="right"/>
              <w:ind w:right="80"/>
              <w:spacing w:after="0"/>
              <w:rPr>
                <w:sz w:val="20"/>
                <w:szCs w:val="20"/>
                <w:color w:val="auto"/>
              </w:rPr>
            </w:pPr>
            <w:r>
              <w:rPr>
                <w:rFonts w:ascii="Arial" w:cs="Arial" w:eastAsia="Arial" w:hAnsi="Arial"/>
                <w:sz w:val="15"/>
                <w:szCs w:val="15"/>
                <w:color w:val="auto"/>
              </w:rPr>
              <w:t>(565,675)</w:t>
            </w:r>
          </w:p>
        </w:tc>
        <w:tc>
          <w:tcPr>
            <w:tcW w:w="8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1040" w:type="dxa"/>
            <w:vAlign w:val="bottom"/>
            <w:gridSpan w:val="2"/>
            <w:shd w:val="clear" w:color="auto" w:fill="CFF0FC"/>
          </w:tcPr>
          <w:p>
            <w:pPr>
              <w:jc w:val="right"/>
              <w:ind w:right="80"/>
              <w:spacing w:after="0"/>
              <w:rPr>
                <w:sz w:val="20"/>
                <w:szCs w:val="20"/>
                <w:color w:val="auto"/>
              </w:rPr>
            </w:pPr>
            <w:r>
              <w:rPr>
                <w:rFonts w:ascii="Arial" w:cs="Arial" w:eastAsia="Arial" w:hAnsi="Arial"/>
                <w:sz w:val="15"/>
                <w:szCs w:val="15"/>
                <w:color w:val="auto"/>
              </w:rPr>
              <w:t>(122,530)</w:t>
            </w:r>
          </w:p>
        </w:tc>
        <w:tc>
          <w:tcPr>
            <w:tcW w:w="10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1000" w:type="dxa"/>
            <w:vAlign w:val="bottom"/>
            <w:gridSpan w:val="2"/>
            <w:shd w:val="clear" w:color="auto" w:fill="CFF0FC"/>
          </w:tcPr>
          <w:p>
            <w:pPr>
              <w:jc w:val="right"/>
              <w:ind w:right="80"/>
              <w:spacing w:after="0"/>
              <w:rPr>
                <w:sz w:val="20"/>
                <w:szCs w:val="20"/>
                <w:color w:val="auto"/>
              </w:rPr>
            </w:pPr>
            <w:r>
              <w:rPr>
                <w:rFonts w:ascii="Arial" w:cs="Arial" w:eastAsia="Arial" w:hAnsi="Arial"/>
                <w:sz w:val="15"/>
                <w:szCs w:val="15"/>
                <w:color w:val="auto"/>
              </w:rPr>
              <w:t>(76,610)</w:t>
            </w:r>
          </w:p>
        </w:tc>
      </w:tr>
      <w:tr>
        <w:trPr>
          <w:trHeight w:val="176"/>
        </w:trPr>
        <w:tc>
          <w:tcPr>
            <w:tcW w:w="7440" w:type="dxa"/>
            <w:vAlign w:val="bottom"/>
          </w:tcPr>
          <w:p>
            <w:pPr>
              <w:ind w:left="260"/>
              <w:spacing w:after="0"/>
              <w:rPr>
                <w:sz w:val="20"/>
                <w:szCs w:val="20"/>
                <w:color w:val="auto"/>
              </w:rPr>
            </w:pPr>
            <w:r>
              <w:rPr>
                <w:rFonts w:ascii="Arial" w:cs="Arial" w:eastAsia="Arial" w:hAnsi="Arial"/>
                <w:sz w:val="15"/>
                <w:szCs w:val="15"/>
                <w:color w:val="auto"/>
              </w:rPr>
              <w:t>Proceeds from maturities of marketable securities</w:t>
            </w:r>
          </w:p>
        </w:tc>
        <w:tc>
          <w:tcPr>
            <w:tcW w:w="24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Arial" w:cs="Arial" w:eastAsia="Arial" w:hAnsi="Arial"/>
                <w:sz w:val="15"/>
                <w:szCs w:val="15"/>
                <w:color w:val="auto"/>
              </w:rPr>
              <w:t>149,638</w:t>
            </w: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Arial" w:cs="Arial" w:eastAsia="Arial" w:hAnsi="Arial"/>
                <w:sz w:val="15"/>
                <w:szCs w:val="15"/>
                <w:color w:val="auto"/>
              </w:rPr>
              <w:t>111,394</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Arial" w:cs="Arial" w:eastAsia="Arial" w:hAnsi="Arial"/>
                <w:sz w:val="15"/>
                <w:szCs w:val="15"/>
                <w:color w:val="auto"/>
              </w:rPr>
              <w:t>78,205</w:t>
            </w:r>
          </w:p>
        </w:tc>
        <w:tc>
          <w:tcPr>
            <w:tcW w:w="120" w:type="dxa"/>
            <w:vAlign w:val="bottom"/>
          </w:tcPr>
          <w:p>
            <w:pPr>
              <w:spacing w:after="0"/>
              <w:rPr>
                <w:sz w:val="15"/>
                <w:szCs w:val="15"/>
                <w:color w:val="auto"/>
              </w:rPr>
            </w:pPr>
          </w:p>
        </w:tc>
      </w:tr>
      <w:tr>
        <w:trPr>
          <w:trHeight w:val="176"/>
        </w:trPr>
        <w:tc>
          <w:tcPr>
            <w:tcW w:w="7440" w:type="dxa"/>
            <w:vAlign w:val="bottom"/>
            <w:shd w:val="clear" w:color="auto" w:fill="CFF0FC"/>
          </w:tcPr>
          <w:p>
            <w:pPr>
              <w:ind w:left="260"/>
              <w:spacing w:after="0"/>
              <w:rPr>
                <w:sz w:val="20"/>
                <w:szCs w:val="20"/>
                <w:color w:val="auto"/>
              </w:rPr>
            </w:pPr>
            <w:r>
              <w:rPr>
                <w:rFonts w:ascii="Arial" w:cs="Arial" w:eastAsia="Arial" w:hAnsi="Arial"/>
                <w:sz w:val="15"/>
                <w:szCs w:val="15"/>
                <w:color w:val="auto"/>
              </w:rPr>
              <w:t>Proceeds from sales of marketable securities</w:t>
            </w:r>
          </w:p>
        </w:tc>
        <w:tc>
          <w:tcPr>
            <w:tcW w:w="240" w:type="dxa"/>
            <w:vAlign w:val="bottom"/>
            <w:shd w:val="clear" w:color="auto" w:fill="CFF0FC"/>
          </w:tcPr>
          <w:p>
            <w:pPr>
              <w:spacing w:after="0"/>
              <w:rPr>
                <w:sz w:val="15"/>
                <w:szCs w:val="15"/>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5"/>
                <w:szCs w:val="15"/>
                <w:color w:val="auto"/>
              </w:rPr>
              <w:t>17,279</w:t>
            </w:r>
          </w:p>
        </w:tc>
        <w:tc>
          <w:tcPr>
            <w:tcW w:w="12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5"/>
                <w:szCs w:val="15"/>
                <w:color w:val="auto"/>
              </w:rPr>
              <w:t>7,118</w:t>
            </w:r>
          </w:p>
        </w:tc>
        <w:tc>
          <w:tcPr>
            <w:tcW w:w="1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1000" w:type="dxa"/>
            <w:vAlign w:val="bottom"/>
            <w:gridSpan w:val="2"/>
            <w:shd w:val="clear" w:color="auto" w:fill="CFF0FC"/>
          </w:tcPr>
          <w:p>
            <w:pPr>
              <w:jc w:val="right"/>
              <w:ind w:right="140"/>
              <w:spacing w:after="0"/>
              <w:rPr>
                <w:sz w:val="20"/>
                <w:szCs w:val="20"/>
                <w:color w:val="auto"/>
              </w:rPr>
            </w:pPr>
            <w:r>
              <w:rPr>
                <w:rFonts w:ascii="Arial" w:cs="Arial" w:eastAsia="Arial" w:hAnsi="Arial"/>
                <w:sz w:val="15"/>
                <w:szCs w:val="15"/>
                <w:color w:val="auto"/>
              </w:rPr>
              <w:t>—</w:t>
            </w:r>
          </w:p>
        </w:tc>
      </w:tr>
      <w:tr>
        <w:trPr>
          <w:trHeight w:val="176"/>
        </w:trPr>
        <w:tc>
          <w:tcPr>
            <w:tcW w:w="7440" w:type="dxa"/>
            <w:vAlign w:val="bottom"/>
          </w:tcPr>
          <w:p>
            <w:pPr>
              <w:ind w:left="260"/>
              <w:spacing w:after="0"/>
              <w:rPr>
                <w:sz w:val="20"/>
                <w:szCs w:val="20"/>
                <w:color w:val="auto"/>
              </w:rPr>
            </w:pPr>
            <w:r>
              <w:rPr>
                <w:rFonts w:ascii="Arial" w:cs="Arial" w:eastAsia="Arial" w:hAnsi="Arial"/>
                <w:sz w:val="15"/>
                <w:szCs w:val="15"/>
                <w:color w:val="auto"/>
              </w:rPr>
              <w:t>Capitalized software development costs</w:t>
            </w:r>
          </w:p>
        </w:tc>
        <w:tc>
          <w:tcPr>
            <w:tcW w:w="240" w:type="dxa"/>
            <w:vAlign w:val="bottom"/>
          </w:tcPr>
          <w:p>
            <w:pPr>
              <w:spacing w:after="0"/>
              <w:rPr>
                <w:sz w:val="15"/>
                <w:szCs w:val="15"/>
                <w:color w:val="auto"/>
              </w:rPr>
            </w:pPr>
          </w:p>
        </w:tc>
        <w:tc>
          <w:tcPr>
            <w:tcW w:w="1020" w:type="dxa"/>
            <w:vAlign w:val="bottom"/>
            <w:gridSpan w:val="2"/>
          </w:tcPr>
          <w:p>
            <w:pPr>
              <w:jc w:val="right"/>
              <w:ind w:right="80"/>
              <w:spacing w:after="0"/>
              <w:rPr>
                <w:sz w:val="20"/>
                <w:szCs w:val="20"/>
                <w:color w:val="auto"/>
              </w:rPr>
            </w:pPr>
            <w:r>
              <w:rPr>
                <w:rFonts w:ascii="Arial" w:cs="Arial" w:eastAsia="Arial" w:hAnsi="Arial"/>
                <w:sz w:val="15"/>
                <w:szCs w:val="15"/>
                <w:color w:val="auto"/>
              </w:rPr>
              <w:t>(5,060)</w:t>
            </w: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5"/>
                <w:szCs w:val="15"/>
                <w:color w:val="auto"/>
              </w:rPr>
              <w:t>(5,675)</w:t>
            </w: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00" w:type="dxa"/>
            <w:vAlign w:val="bottom"/>
            <w:gridSpan w:val="2"/>
          </w:tcPr>
          <w:p>
            <w:pPr>
              <w:jc w:val="right"/>
              <w:ind w:right="80"/>
              <w:spacing w:after="0"/>
              <w:rPr>
                <w:sz w:val="20"/>
                <w:szCs w:val="20"/>
                <w:color w:val="auto"/>
              </w:rPr>
            </w:pPr>
            <w:r>
              <w:rPr>
                <w:rFonts w:ascii="Arial" w:cs="Arial" w:eastAsia="Arial" w:hAnsi="Arial"/>
                <w:sz w:val="15"/>
                <w:szCs w:val="15"/>
                <w:color w:val="auto"/>
              </w:rPr>
              <w:t>(4,624)</w:t>
            </w:r>
          </w:p>
        </w:tc>
      </w:tr>
      <w:tr>
        <w:trPr>
          <w:trHeight w:val="176"/>
        </w:trPr>
        <w:tc>
          <w:tcPr>
            <w:tcW w:w="7440" w:type="dxa"/>
            <w:vAlign w:val="bottom"/>
            <w:shd w:val="clear" w:color="auto" w:fill="CFF0FC"/>
          </w:tcPr>
          <w:p>
            <w:pPr>
              <w:ind w:left="260"/>
              <w:spacing w:after="0"/>
              <w:rPr>
                <w:sz w:val="20"/>
                <w:szCs w:val="20"/>
                <w:color w:val="auto"/>
              </w:rPr>
            </w:pPr>
            <w:r>
              <w:rPr>
                <w:rFonts w:ascii="Arial" w:cs="Arial" w:eastAsia="Arial" w:hAnsi="Arial"/>
                <w:sz w:val="15"/>
                <w:szCs w:val="15"/>
                <w:color w:val="auto"/>
              </w:rPr>
              <w:t>Purchases of property and equipment</w:t>
            </w:r>
          </w:p>
        </w:tc>
        <w:tc>
          <w:tcPr>
            <w:tcW w:w="240" w:type="dxa"/>
            <w:vAlign w:val="bottom"/>
            <w:shd w:val="clear" w:color="auto" w:fill="CFF0FC"/>
          </w:tcPr>
          <w:p>
            <w:pPr>
              <w:spacing w:after="0"/>
              <w:rPr>
                <w:sz w:val="15"/>
                <w:szCs w:val="15"/>
                <w:color w:val="auto"/>
              </w:rPr>
            </w:pPr>
          </w:p>
        </w:tc>
        <w:tc>
          <w:tcPr>
            <w:tcW w:w="1020" w:type="dxa"/>
            <w:vAlign w:val="bottom"/>
            <w:gridSpan w:val="2"/>
            <w:shd w:val="clear" w:color="auto" w:fill="CFF0FC"/>
          </w:tcPr>
          <w:p>
            <w:pPr>
              <w:jc w:val="right"/>
              <w:ind w:right="80"/>
              <w:spacing w:after="0"/>
              <w:rPr>
                <w:sz w:val="20"/>
                <w:szCs w:val="20"/>
                <w:color w:val="auto"/>
              </w:rPr>
            </w:pPr>
            <w:r>
              <w:rPr>
                <w:rFonts w:ascii="Arial" w:cs="Arial" w:eastAsia="Arial" w:hAnsi="Arial"/>
                <w:sz w:val="15"/>
                <w:szCs w:val="15"/>
                <w:color w:val="auto"/>
              </w:rPr>
              <w:t>(4,632)</w:t>
            </w:r>
          </w:p>
        </w:tc>
        <w:tc>
          <w:tcPr>
            <w:tcW w:w="8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1040" w:type="dxa"/>
            <w:vAlign w:val="bottom"/>
            <w:gridSpan w:val="2"/>
            <w:shd w:val="clear" w:color="auto" w:fill="CFF0FC"/>
          </w:tcPr>
          <w:p>
            <w:pPr>
              <w:jc w:val="right"/>
              <w:ind w:right="80"/>
              <w:spacing w:after="0"/>
              <w:rPr>
                <w:sz w:val="20"/>
                <w:szCs w:val="20"/>
                <w:color w:val="auto"/>
              </w:rPr>
            </w:pPr>
            <w:r>
              <w:rPr>
                <w:rFonts w:ascii="Arial" w:cs="Arial" w:eastAsia="Arial" w:hAnsi="Arial"/>
                <w:sz w:val="15"/>
                <w:szCs w:val="15"/>
                <w:color w:val="auto"/>
              </w:rPr>
              <w:t>(6,284)</w:t>
            </w:r>
          </w:p>
        </w:tc>
        <w:tc>
          <w:tcPr>
            <w:tcW w:w="10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1000" w:type="dxa"/>
            <w:vAlign w:val="bottom"/>
            <w:gridSpan w:val="2"/>
            <w:shd w:val="clear" w:color="auto" w:fill="CFF0FC"/>
          </w:tcPr>
          <w:p>
            <w:pPr>
              <w:jc w:val="right"/>
              <w:ind w:right="80"/>
              <w:spacing w:after="0"/>
              <w:rPr>
                <w:sz w:val="20"/>
                <w:szCs w:val="20"/>
                <w:color w:val="auto"/>
              </w:rPr>
            </w:pPr>
            <w:r>
              <w:rPr>
                <w:rFonts w:ascii="Arial" w:cs="Arial" w:eastAsia="Arial" w:hAnsi="Arial"/>
                <w:sz w:val="15"/>
                <w:szCs w:val="15"/>
                <w:color w:val="auto"/>
              </w:rPr>
              <w:t>(4,002)</w:t>
            </w:r>
          </w:p>
        </w:tc>
      </w:tr>
      <w:tr>
        <w:trPr>
          <w:trHeight w:val="20"/>
        </w:trPr>
        <w:tc>
          <w:tcPr>
            <w:tcW w:w="744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69"/>
        </w:trPr>
        <w:tc>
          <w:tcPr>
            <w:tcW w:w="7440" w:type="dxa"/>
            <w:vAlign w:val="bottom"/>
          </w:tcPr>
          <w:p>
            <w:pPr>
              <w:ind w:left="740"/>
              <w:spacing w:after="0" w:line="169" w:lineRule="exact"/>
              <w:rPr>
                <w:sz w:val="20"/>
                <w:szCs w:val="20"/>
                <w:color w:val="auto"/>
              </w:rPr>
            </w:pPr>
            <w:r>
              <w:rPr>
                <w:rFonts w:ascii="Arial" w:cs="Arial" w:eastAsia="Arial" w:hAnsi="Arial"/>
                <w:sz w:val="15"/>
                <w:szCs w:val="15"/>
                <w:color w:val="auto"/>
              </w:rPr>
              <w:t>Net cash used in investing activities</w:t>
            </w:r>
          </w:p>
        </w:tc>
        <w:tc>
          <w:tcPr>
            <w:tcW w:w="240" w:type="dxa"/>
            <w:vAlign w:val="bottom"/>
          </w:tcPr>
          <w:p>
            <w:pPr>
              <w:spacing w:after="0"/>
              <w:rPr>
                <w:sz w:val="14"/>
                <w:szCs w:val="14"/>
                <w:color w:val="auto"/>
              </w:rPr>
            </w:pPr>
          </w:p>
        </w:tc>
        <w:tc>
          <w:tcPr>
            <w:tcW w:w="1020" w:type="dxa"/>
            <w:vAlign w:val="bottom"/>
            <w:gridSpan w:val="2"/>
          </w:tcPr>
          <w:p>
            <w:pPr>
              <w:jc w:val="right"/>
              <w:ind w:right="80"/>
              <w:spacing w:after="0" w:line="169" w:lineRule="exact"/>
              <w:rPr>
                <w:sz w:val="20"/>
                <w:szCs w:val="20"/>
                <w:color w:val="auto"/>
              </w:rPr>
            </w:pPr>
            <w:r>
              <w:rPr>
                <w:rFonts w:ascii="Arial" w:cs="Arial" w:eastAsia="Arial" w:hAnsi="Arial"/>
                <w:sz w:val="15"/>
                <w:szCs w:val="15"/>
                <w:color w:val="auto"/>
              </w:rPr>
              <w:t>(408,450)</w:t>
            </w: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40" w:type="dxa"/>
            <w:vAlign w:val="bottom"/>
            <w:gridSpan w:val="2"/>
          </w:tcPr>
          <w:p>
            <w:pPr>
              <w:jc w:val="right"/>
              <w:ind w:right="80"/>
              <w:spacing w:after="0" w:line="169" w:lineRule="exact"/>
              <w:rPr>
                <w:sz w:val="20"/>
                <w:szCs w:val="20"/>
                <w:color w:val="auto"/>
              </w:rPr>
            </w:pPr>
            <w:r>
              <w:rPr>
                <w:rFonts w:ascii="Arial" w:cs="Arial" w:eastAsia="Arial" w:hAnsi="Arial"/>
                <w:sz w:val="15"/>
                <w:szCs w:val="15"/>
                <w:color w:val="auto"/>
              </w:rPr>
              <w:t>(15,977)</w:t>
            </w: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0" w:type="dxa"/>
            <w:vAlign w:val="bottom"/>
            <w:gridSpan w:val="2"/>
          </w:tcPr>
          <w:p>
            <w:pPr>
              <w:jc w:val="right"/>
              <w:ind w:right="80"/>
              <w:spacing w:after="0" w:line="169" w:lineRule="exact"/>
              <w:rPr>
                <w:sz w:val="20"/>
                <w:szCs w:val="20"/>
                <w:color w:val="auto"/>
              </w:rPr>
            </w:pPr>
            <w:r>
              <w:rPr>
                <w:rFonts w:ascii="Arial" w:cs="Arial" w:eastAsia="Arial" w:hAnsi="Arial"/>
                <w:sz w:val="15"/>
                <w:szCs w:val="15"/>
                <w:color w:val="auto"/>
              </w:rPr>
              <w:t>(7,031)</w:t>
            </w:r>
          </w:p>
        </w:tc>
      </w:tr>
      <w:tr>
        <w:trPr>
          <w:trHeight w:val="169"/>
        </w:trPr>
        <w:tc>
          <w:tcPr>
            <w:tcW w:w="7440" w:type="dxa"/>
            <w:vAlign w:val="bottom"/>
            <w:tcBorders>
              <w:top w:val="single" w:sz="8" w:color="CFF0FC"/>
            </w:tcBorders>
            <w:shd w:val="clear" w:color="auto" w:fill="CFF0FC"/>
          </w:tcPr>
          <w:p>
            <w:pPr>
              <w:spacing w:after="0" w:line="169" w:lineRule="exact"/>
              <w:rPr>
                <w:sz w:val="20"/>
                <w:szCs w:val="20"/>
                <w:color w:val="auto"/>
              </w:rPr>
            </w:pPr>
            <w:r>
              <w:rPr>
                <w:rFonts w:ascii="Arial" w:cs="Arial" w:eastAsia="Arial" w:hAnsi="Arial"/>
                <w:sz w:val="15"/>
                <w:szCs w:val="15"/>
                <w:color w:val="auto"/>
              </w:rPr>
              <w:t>Cash flows from financing activities</w:t>
            </w:r>
          </w:p>
        </w:tc>
        <w:tc>
          <w:tcPr>
            <w:tcW w:w="240" w:type="dxa"/>
            <w:vAlign w:val="bottom"/>
            <w:tcBorders>
              <w:top w:val="single" w:sz="8" w:color="auto"/>
            </w:tcBorders>
            <w:shd w:val="clear" w:color="auto" w:fill="CFF0FC"/>
          </w:tcPr>
          <w:p>
            <w:pPr>
              <w:spacing w:after="0"/>
              <w:rPr>
                <w:sz w:val="14"/>
                <w:szCs w:val="14"/>
                <w:color w:val="auto"/>
              </w:rPr>
            </w:pPr>
          </w:p>
        </w:tc>
        <w:tc>
          <w:tcPr>
            <w:tcW w:w="900" w:type="dxa"/>
            <w:vAlign w:val="bottom"/>
            <w:tcBorders>
              <w:top w:val="single" w:sz="8" w:color="auto"/>
            </w:tcBorders>
            <w:shd w:val="clear" w:color="auto" w:fill="CFF0FC"/>
          </w:tcPr>
          <w:p>
            <w:pPr>
              <w:spacing w:after="0"/>
              <w:rPr>
                <w:sz w:val="14"/>
                <w:szCs w:val="14"/>
                <w:color w:val="auto"/>
              </w:rPr>
            </w:pPr>
          </w:p>
        </w:tc>
        <w:tc>
          <w:tcPr>
            <w:tcW w:w="120" w:type="dxa"/>
            <w:vAlign w:val="bottom"/>
            <w:tcBorders>
              <w:top w:val="single" w:sz="8" w:color="CFF0FC"/>
            </w:tcBorders>
            <w:shd w:val="clear" w:color="auto" w:fill="CFF0FC"/>
          </w:tcPr>
          <w:p>
            <w:pPr>
              <w:spacing w:after="0"/>
              <w:rPr>
                <w:sz w:val="14"/>
                <w:szCs w:val="14"/>
                <w:color w:val="auto"/>
              </w:rPr>
            </w:pPr>
          </w:p>
        </w:tc>
        <w:tc>
          <w:tcPr>
            <w:tcW w:w="80" w:type="dxa"/>
            <w:vAlign w:val="bottom"/>
            <w:tcBorders>
              <w:top w:val="single" w:sz="8" w:color="CFF0FC"/>
            </w:tcBorders>
            <w:shd w:val="clear" w:color="auto" w:fill="CFF0FC"/>
          </w:tcPr>
          <w:p>
            <w:pPr>
              <w:spacing w:after="0"/>
              <w:rPr>
                <w:sz w:val="14"/>
                <w:szCs w:val="14"/>
                <w:color w:val="auto"/>
              </w:rPr>
            </w:pPr>
          </w:p>
        </w:tc>
        <w:tc>
          <w:tcPr>
            <w:tcW w:w="240" w:type="dxa"/>
            <w:vAlign w:val="bottom"/>
            <w:tcBorders>
              <w:top w:val="single" w:sz="8" w:color="auto"/>
            </w:tcBorders>
            <w:shd w:val="clear" w:color="auto" w:fill="CFF0FC"/>
          </w:tcPr>
          <w:p>
            <w:pPr>
              <w:spacing w:after="0"/>
              <w:rPr>
                <w:sz w:val="14"/>
                <w:szCs w:val="14"/>
                <w:color w:val="auto"/>
              </w:rPr>
            </w:pPr>
          </w:p>
        </w:tc>
        <w:tc>
          <w:tcPr>
            <w:tcW w:w="920" w:type="dxa"/>
            <w:vAlign w:val="bottom"/>
            <w:tcBorders>
              <w:top w:val="single" w:sz="8" w:color="auto"/>
            </w:tcBorders>
            <w:shd w:val="clear" w:color="auto" w:fill="CFF0FC"/>
          </w:tcPr>
          <w:p>
            <w:pPr>
              <w:spacing w:after="0"/>
              <w:rPr>
                <w:sz w:val="14"/>
                <w:szCs w:val="14"/>
                <w:color w:val="auto"/>
              </w:rPr>
            </w:pPr>
          </w:p>
        </w:tc>
        <w:tc>
          <w:tcPr>
            <w:tcW w:w="120" w:type="dxa"/>
            <w:vAlign w:val="bottom"/>
            <w:tcBorders>
              <w:top w:val="single" w:sz="8" w:color="CFF0FC"/>
            </w:tcBorders>
            <w:shd w:val="clear" w:color="auto" w:fill="CFF0FC"/>
          </w:tcPr>
          <w:p>
            <w:pPr>
              <w:spacing w:after="0"/>
              <w:rPr>
                <w:sz w:val="14"/>
                <w:szCs w:val="14"/>
                <w:color w:val="auto"/>
              </w:rPr>
            </w:pPr>
          </w:p>
        </w:tc>
        <w:tc>
          <w:tcPr>
            <w:tcW w:w="100" w:type="dxa"/>
            <w:vAlign w:val="bottom"/>
            <w:tcBorders>
              <w:top w:val="single" w:sz="8" w:color="CFF0FC"/>
            </w:tcBorders>
            <w:shd w:val="clear" w:color="auto" w:fill="CFF0FC"/>
          </w:tcPr>
          <w:p>
            <w:pPr>
              <w:spacing w:after="0"/>
              <w:rPr>
                <w:sz w:val="14"/>
                <w:szCs w:val="14"/>
                <w:color w:val="auto"/>
              </w:rPr>
            </w:pPr>
          </w:p>
        </w:tc>
        <w:tc>
          <w:tcPr>
            <w:tcW w:w="260" w:type="dxa"/>
            <w:vAlign w:val="bottom"/>
            <w:tcBorders>
              <w:top w:val="single" w:sz="8" w:color="auto"/>
            </w:tcBorders>
            <w:shd w:val="clear" w:color="auto" w:fill="CFF0FC"/>
          </w:tcPr>
          <w:p>
            <w:pPr>
              <w:spacing w:after="0"/>
              <w:rPr>
                <w:sz w:val="14"/>
                <w:szCs w:val="14"/>
                <w:color w:val="auto"/>
              </w:rPr>
            </w:pPr>
          </w:p>
        </w:tc>
        <w:tc>
          <w:tcPr>
            <w:tcW w:w="880" w:type="dxa"/>
            <w:vAlign w:val="bottom"/>
            <w:tcBorders>
              <w:top w:val="single" w:sz="8" w:color="auto"/>
            </w:tcBorders>
            <w:shd w:val="clear" w:color="auto" w:fill="CFF0FC"/>
          </w:tcPr>
          <w:p>
            <w:pPr>
              <w:spacing w:after="0"/>
              <w:rPr>
                <w:sz w:val="14"/>
                <w:szCs w:val="14"/>
                <w:color w:val="auto"/>
              </w:rPr>
            </w:pPr>
          </w:p>
        </w:tc>
        <w:tc>
          <w:tcPr>
            <w:tcW w:w="120" w:type="dxa"/>
            <w:vAlign w:val="bottom"/>
            <w:tcBorders>
              <w:top w:val="single" w:sz="8" w:color="CFF0FC"/>
            </w:tcBorders>
            <w:shd w:val="clear" w:color="auto" w:fill="CFF0FC"/>
          </w:tcPr>
          <w:p>
            <w:pPr>
              <w:spacing w:after="0"/>
              <w:rPr>
                <w:sz w:val="14"/>
                <w:szCs w:val="14"/>
                <w:color w:val="auto"/>
              </w:rPr>
            </w:pPr>
          </w:p>
        </w:tc>
      </w:tr>
      <w:tr>
        <w:trPr>
          <w:trHeight w:val="176"/>
        </w:trPr>
        <w:tc>
          <w:tcPr>
            <w:tcW w:w="7440" w:type="dxa"/>
            <w:vAlign w:val="bottom"/>
          </w:tcPr>
          <w:p>
            <w:pPr>
              <w:ind w:left="260"/>
              <w:spacing w:after="0"/>
              <w:rPr>
                <w:sz w:val="20"/>
                <w:szCs w:val="20"/>
                <w:color w:val="auto"/>
              </w:rPr>
            </w:pPr>
            <w:r>
              <w:rPr>
                <w:rFonts w:ascii="Arial" w:cs="Arial" w:eastAsia="Arial" w:hAnsi="Arial"/>
                <w:sz w:val="15"/>
                <w:szCs w:val="15"/>
                <w:color w:val="auto"/>
              </w:rPr>
              <w:t>Investment from redeemable non-controlling interest</w:t>
            </w:r>
          </w:p>
        </w:tc>
        <w:tc>
          <w:tcPr>
            <w:tcW w:w="240" w:type="dxa"/>
            <w:vAlign w:val="bottom"/>
          </w:tcPr>
          <w:p>
            <w:pPr>
              <w:spacing w:after="0"/>
              <w:rPr>
                <w:sz w:val="15"/>
                <w:szCs w:val="15"/>
                <w:color w:val="auto"/>
              </w:rPr>
            </w:pPr>
          </w:p>
        </w:tc>
        <w:tc>
          <w:tcPr>
            <w:tcW w:w="1020" w:type="dxa"/>
            <w:vAlign w:val="bottom"/>
            <w:gridSpan w:val="2"/>
          </w:tcPr>
          <w:p>
            <w:pPr>
              <w:jc w:val="right"/>
              <w:ind w:right="140"/>
              <w:spacing w:after="0"/>
              <w:rPr>
                <w:sz w:val="20"/>
                <w:szCs w:val="20"/>
                <w:color w:val="auto"/>
              </w:rPr>
            </w:pPr>
            <w:r>
              <w:rPr>
                <w:rFonts w:ascii="Arial" w:cs="Arial" w:eastAsia="Arial" w:hAnsi="Arial"/>
                <w:sz w:val="15"/>
                <w:szCs w:val="15"/>
                <w:color w:val="auto"/>
              </w:rPr>
              <w:t>—</w:t>
            </w: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Arial" w:cs="Arial" w:eastAsia="Arial" w:hAnsi="Arial"/>
                <w:sz w:val="15"/>
                <w:szCs w:val="15"/>
                <w:color w:val="auto"/>
              </w:rPr>
              <w:t>4,317</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5"/>
                <w:szCs w:val="15"/>
                <w:color w:val="auto"/>
              </w:rPr>
              <w:t>—</w:t>
            </w:r>
          </w:p>
        </w:tc>
      </w:tr>
      <w:tr>
        <w:trPr>
          <w:trHeight w:val="176"/>
        </w:trPr>
        <w:tc>
          <w:tcPr>
            <w:tcW w:w="7440" w:type="dxa"/>
            <w:vAlign w:val="bottom"/>
            <w:shd w:val="clear" w:color="auto" w:fill="CFF0FC"/>
          </w:tcPr>
          <w:p>
            <w:pPr>
              <w:ind w:left="260"/>
              <w:spacing w:after="0"/>
              <w:rPr>
                <w:sz w:val="20"/>
                <w:szCs w:val="20"/>
                <w:color w:val="auto"/>
              </w:rPr>
            </w:pPr>
            <w:r>
              <w:rPr>
                <w:rFonts w:ascii="Arial" w:cs="Arial" w:eastAsia="Arial" w:hAnsi="Arial"/>
                <w:sz w:val="15"/>
                <w:szCs w:val="15"/>
                <w:color w:val="auto"/>
              </w:rPr>
              <w:t>Proceeds from issuance of convertible senior notes, net of issuance costs</w:t>
            </w:r>
          </w:p>
        </w:tc>
        <w:tc>
          <w:tcPr>
            <w:tcW w:w="240" w:type="dxa"/>
            <w:vAlign w:val="bottom"/>
            <w:shd w:val="clear" w:color="auto" w:fill="CFF0FC"/>
          </w:tcPr>
          <w:p>
            <w:pPr>
              <w:spacing w:after="0"/>
              <w:rPr>
                <w:sz w:val="15"/>
                <w:szCs w:val="15"/>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5"/>
                <w:szCs w:val="15"/>
                <w:color w:val="auto"/>
              </w:rPr>
              <w:t>487,163</w:t>
            </w:r>
          </w:p>
        </w:tc>
        <w:tc>
          <w:tcPr>
            <w:tcW w:w="12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1040" w:type="dxa"/>
            <w:vAlign w:val="bottom"/>
            <w:gridSpan w:val="2"/>
            <w:shd w:val="clear" w:color="auto" w:fill="CFF0FC"/>
          </w:tcPr>
          <w:p>
            <w:pPr>
              <w:jc w:val="right"/>
              <w:ind w:right="140"/>
              <w:spacing w:after="0"/>
              <w:rPr>
                <w:sz w:val="20"/>
                <w:szCs w:val="20"/>
                <w:color w:val="auto"/>
              </w:rPr>
            </w:pPr>
            <w:r>
              <w:rPr>
                <w:rFonts w:ascii="Arial" w:cs="Arial" w:eastAsia="Arial" w:hAnsi="Arial"/>
                <w:sz w:val="15"/>
                <w:szCs w:val="15"/>
                <w:color w:val="auto"/>
              </w:rPr>
              <w:t>—</w:t>
            </w:r>
          </w:p>
        </w:tc>
        <w:tc>
          <w:tcPr>
            <w:tcW w:w="10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1000" w:type="dxa"/>
            <w:vAlign w:val="bottom"/>
            <w:gridSpan w:val="2"/>
            <w:shd w:val="clear" w:color="auto" w:fill="CFF0FC"/>
          </w:tcPr>
          <w:p>
            <w:pPr>
              <w:jc w:val="right"/>
              <w:ind w:right="140"/>
              <w:spacing w:after="0"/>
              <w:rPr>
                <w:sz w:val="20"/>
                <w:szCs w:val="20"/>
                <w:color w:val="auto"/>
              </w:rPr>
            </w:pPr>
            <w:r>
              <w:rPr>
                <w:rFonts w:ascii="Arial" w:cs="Arial" w:eastAsia="Arial" w:hAnsi="Arial"/>
                <w:sz w:val="15"/>
                <w:szCs w:val="15"/>
                <w:color w:val="auto"/>
              </w:rPr>
              <w:t>—</w:t>
            </w:r>
          </w:p>
        </w:tc>
      </w:tr>
      <w:tr>
        <w:trPr>
          <w:trHeight w:val="176"/>
        </w:trPr>
        <w:tc>
          <w:tcPr>
            <w:tcW w:w="7440" w:type="dxa"/>
            <w:vAlign w:val="bottom"/>
          </w:tcPr>
          <w:p>
            <w:pPr>
              <w:ind w:left="260"/>
              <w:spacing w:after="0"/>
              <w:rPr>
                <w:sz w:val="20"/>
                <w:szCs w:val="20"/>
                <w:color w:val="auto"/>
              </w:rPr>
            </w:pPr>
            <w:r>
              <w:rPr>
                <w:rFonts w:ascii="Arial" w:cs="Arial" w:eastAsia="Arial" w:hAnsi="Arial"/>
                <w:sz w:val="15"/>
                <w:szCs w:val="15"/>
                <w:color w:val="auto"/>
              </w:rPr>
              <w:t>Purchase of capped calls related to convertible senior notes</w:t>
            </w:r>
          </w:p>
        </w:tc>
        <w:tc>
          <w:tcPr>
            <w:tcW w:w="240" w:type="dxa"/>
            <w:vAlign w:val="bottom"/>
          </w:tcPr>
          <w:p>
            <w:pPr>
              <w:spacing w:after="0"/>
              <w:rPr>
                <w:sz w:val="15"/>
                <w:szCs w:val="15"/>
                <w:color w:val="auto"/>
              </w:rPr>
            </w:pPr>
          </w:p>
        </w:tc>
        <w:tc>
          <w:tcPr>
            <w:tcW w:w="1020" w:type="dxa"/>
            <w:vAlign w:val="bottom"/>
            <w:gridSpan w:val="2"/>
          </w:tcPr>
          <w:p>
            <w:pPr>
              <w:jc w:val="right"/>
              <w:ind w:right="80"/>
              <w:spacing w:after="0"/>
              <w:rPr>
                <w:sz w:val="20"/>
                <w:szCs w:val="20"/>
                <w:color w:val="auto"/>
              </w:rPr>
            </w:pPr>
            <w:r>
              <w:rPr>
                <w:rFonts w:ascii="Arial" w:cs="Arial" w:eastAsia="Arial" w:hAnsi="Arial"/>
                <w:sz w:val="15"/>
                <w:szCs w:val="15"/>
                <w:color w:val="auto"/>
              </w:rPr>
              <w:t>(46,150)</w:t>
            </w: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5"/>
                <w:szCs w:val="15"/>
                <w:color w:val="auto"/>
              </w:rPr>
              <w:t>—</w:t>
            </w:r>
          </w:p>
        </w:tc>
      </w:tr>
      <w:tr>
        <w:trPr>
          <w:trHeight w:val="176"/>
        </w:trPr>
        <w:tc>
          <w:tcPr>
            <w:tcW w:w="7440" w:type="dxa"/>
            <w:vAlign w:val="bottom"/>
            <w:shd w:val="clear" w:color="auto" w:fill="CFF0FC"/>
          </w:tcPr>
          <w:p>
            <w:pPr>
              <w:ind w:left="260"/>
              <w:spacing w:after="0"/>
              <w:rPr>
                <w:sz w:val="20"/>
                <w:szCs w:val="20"/>
                <w:color w:val="auto"/>
              </w:rPr>
            </w:pPr>
            <w:r>
              <w:rPr>
                <w:rFonts w:ascii="Arial" w:cs="Arial" w:eastAsia="Arial" w:hAnsi="Arial"/>
                <w:sz w:val="15"/>
                <w:szCs w:val="15"/>
                <w:color w:val="auto"/>
              </w:rPr>
              <w:t>Proceeds from exercises of stock options</w:t>
            </w:r>
          </w:p>
        </w:tc>
        <w:tc>
          <w:tcPr>
            <w:tcW w:w="240" w:type="dxa"/>
            <w:vAlign w:val="bottom"/>
            <w:shd w:val="clear" w:color="auto" w:fill="CFF0FC"/>
          </w:tcPr>
          <w:p>
            <w:pPr>
              <w:spacing w:after="0"/>
              <w:rPr>
                <w:sz w:val="15"/>
                <w:szCs w:val="15"/>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5"/>
                <w:szCs w:val="15"/>
                <w:color w:val="auto"/>
              </w:rPr>
              <w:t>10,571</w:t>
            </w:r>
          </w:p>
        </w:tc>
        <w:tc>
          <w:tcPr>
            <w:tcW w:w="12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5"/>
                <w:szCs w:val="15"/>
                <w:color w:val="auto"/>
              </w:rPr>
              <w:t>14,004</w:t>
            </w:r>
          </w:p>
        </w:tc>
        <w:tc>
          <w:tcPr>
            <w:tcW w:w="1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5"/>
                <w:szCs w:val="15"/>
                <w:color w:val="auto"/>
              </w:rPr>
              <w:t>10,252</w:t>
            </w:r>
          </w:p>
        </w:tc>
        <w:tc>
          <w:tcPr>
            <w:tcW w:w="120" w:type="dxa"/>
            <w:vAlign w:val="bottom"/>
            <w:shd w:val="clear" w:color="auto" w:fill="CFF0FC"/>
          </w:tcPr>
          <w:p>
            <w:pPr>
              <w:spacing w:after="0"/>
              <w:rPr>
                <w:sz w:val="15"/>
                <w:szCs w:val="15"/>
                <w:color w:val="auto"/>
              </w:rPr>
            </w:pPr>
          </w:p>
        </w:tc>
      </w:tr>
      <w:tr>
        <w:trPr>
          <w:trHeight w:val="176"/>
        </w:trPr>
        <w:tc>
          <w:tcPr>
            <w:tcW w:w="7440" w:type="dxa"/>
            <w:vAlign w:val="bottom"/>
          </w:tcPr>
          <w:p>
            <w:pPr>
              <w:ind w:left="260"/>
              <w:spacing w:after="0"/>
              <w:rPr>
                <w:sz w:val="20"/>
                <w:szCs w:val="20"/>
                <w:color w:val="auto"/>
              </w:rPr>
            </w:pPr>
            <w:r>
              <w:rPr>
                <w:rFonts w:ascii="Arial" w:cs="Arial" w:eastAsia="Arial" w:hAnsi="Arial"/>
                <w:sz w:val="15"/>
                <w:szCs w:val="15"/>
                <w:color w:val="auto"/>
              </w:rPr>
              <w:t>Proceeds from employee stock purchase plan</w:t>
            </w:r>
          </w:p>
        </w:tc>
        <w:tc>
          <w:tcPr>
            <w:tcW w:w="24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Arial" w:cs="Arial" w:eastAsia="Arial" w:hAnsi="Arial"/>
                <w:sz w:val="15"/>
                <w:szCs w:val="15"/>
                <w:color w:val="auto"/>
              </w:rPr>
              <w:t>5,295</w:t>
            </w: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5"/>
                <w:szCs w:val="15"/>
                <w:color w:val="auto"/>
              </w:rPr>
              <w:t>—</w:t>
            </w:r>
          </w:p>
        </w:tc>
      </w:tr>
      <w:tr>
        <w:trPr>
          <w:trHeight w:val="176"/>
        </w:trPr>
        <w:tc>
          <w:tcPr>
            <w:tcW w:w="7440" w:type="dxa"/>
            <w:vAlign w:val="bottom"/>
            <w:shd w:val="clear" w:color="auto" w:fill="CFF0FC"/>
          </w:tcPr>
          <w:p>
            <w:pPr>
              <w:ind w:left="260"/>
              <w:spacing w:after="0"/>
              <w:rPr>
                <w:sz w:val="20"/>
                <w:szCs w:val="20"/>
                <w:color w:val="auto"/>
              </w:rPr>
            </w:pPr>
            <w:r>
              <w:rPr>
                <w:rFonts w:ascii="Arial" w:cs="Arial" w:eastAsia="Arial" w:hAnsi="Arial"/>
                <w:sz w:val="15"/>
                <w:szCs w:val="15"/>
                <w:color w:val="auto"/>
              </w:rPr>
              <w:t>Acquisition of common stock for tax withholding obligations</w:t>
            </w:r>
          </w:p>
        </w:tc>
        <w:tc>
          <w:tcPr>
            <w:tcW w:w="240" w:type="dxa"/>
            <w:vAlign w:val="bottom"/>
            <w:shd w:val="clear" w:color="auto" w:fill="CFF0FC"/>
          </w:tcPr>
          <w:p>
            <w:pPr>
              <w:spacing w:after="0"/>
              <w:rPr>
                <w:sz w:val="15"/>
                <w:szCs w:val="15"/>
                <w:color w:val="auto"/>
              </w:rPr>
            </w:pPr>
          </w:p>
        </w:tc>
        <w:tc>
          <w:tcPr>
            <w:tcW w:w="1020" w:type="dxa"/>
            <w:vAlign w:val="bottom"/>
            <w:gridSpan w:val="2"/>
            <w:shd w:val="clear" w:color="auto" w:fill="CFF0FC"/>
          </w:tcPr>
          <w:p>
            <w:pPr>
              <w:jc w:val="right"/>
              <w:ind w:right="80"/>
              <w:spacing w:after="0"/>
              <w:rPr>
                <w:sz w:val="20"/>
                <w:szCs w:val="20"/>
                <w:color w:val="auto"/>
              </w:rPr>
            </w:pPr>
            <w:r>
              <w:rPr>
                <w:rFonts w:ascii="Arial" w:cs="Arial" w:eastAsia="Arial" w:hAnsi="Arial"/>
                <w:sz w:val="15"/>
                <w:szCs w:val="15"/>
                <w:color w:val="auto"/>
              </w:rPr>
              <w:t>(3,940)</w:t>
            </w:r>
          </w:p>
        </w:tc>
        <w:tc>
          <w:tcPr>
            <w:tcW w:w="8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1040" w:type="dxa"/>
            <w:vAlign w:val="bottom"/>
            <w:gridSpan w:val="2"/>
            <w:shd w:val="clear" w:color="auto" w:fill="CFF0FC"/>
          </w:tcPr>
          <w:p>
            <w:pPr>
              <w:jc w:val="right"/>
              <w:ind w:right="80"/>
              <w:spacing w:after="0"/>
              <w:rPr>
                <w:sz w:val="20"/>
                <w:szCs w:val="20"/>
                <w:color w:val="auto"/>
              </w:rPr>
            </w:pPr>
            <w:r>
              <w:rPr>
                <w:rFonts w:ascii="Arial" w:cs="Arial" w:eastAsia="Arial" w:hAnsi="Arial"/>
                <w:sz w:val="15"/>
                <w:szCs w:val="15"/>
                <w:color w:val="auto"/>
              </w:rPr>
              <w:t>(3,356)</w:t>
            </w:r>
          </w:p>
        </w:tc>
        <w:tc>
          <w:tcPr>
            <w:tcW w:w="10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1000" w:type="dxa"/>
            <w:vAlign w:val="bottom"/>
            <w:gridSpan w:val="2"/>
            <w:shd w:val="clear" w:color="auto" w:fill="CFF0FC"/>
          </w:tcPr>
          <w:p>
            <w:pPr>
              <w:jc w:val="right"/>
              <w:ind w:right="140"/>
              <w:spacing w:after="0"/>
              <w:rPr>
                <w:sz w:val="20"/>
                <w:szCs w:val="20"/>
                <w:color w:val="auto"/>
              </w:rPr>
            </w:pPr>
            <w:r>
              <w:rPr>
                <w:rFonts w:ascii="Arial" w:cs="Arial" w:eastAsia="Arial" w:hAnsi="Arial"/>
                <w:sz w:val="15"/>
                <w:szCs w:val="15"/>
                <w:color w:val="auto"/>
              </w:rPr>
              <w:t>—</w:t>
            </w:r>
          </w:p>
        </w:tc>
      </w:tr>
      <w:tr>
        <w:trPr>
          <w:trHeight w:val="176"/>
        </w:trPr>
        <w:tc>
          <w:tcPr>
            <w:tcW w:w="7440" w:type="dxa"/>
            <w:vAlign w:val="bottom"/>
          </w:tcPr>
          <w:p>
            <w:pPr>
              <w:ind w:left="260"/>
              <w:spacing w:after="0"/>
              <w:rPr>
                <w:sz w:val="20"/>
                <w:szCs w:val="20"/>
                <w:color w:val="auto"/>
              </w:rPr>
            </w:pPr>
            <w:r>
              <w:rPr>
                <w:rFonts w:ascii="Arial" w:cs="Arial" w:eastAsia="Arial" w:hAnsi="Arial"/>
                <w:sz w:val="15"/>
                <w:szCs w:val="15"/>
                <w:color w:val="auto"/>
              </w:rPr>
              <w:t>Payments of initial public offering costs</w:t>
            </w:r>
          </w:p>
        </w:tc>
        <w:tc>
          <w:tcPr>
            <w:tcW w:w="240" w:type="dxa"/>
            <w:vAlign w:val="bottom"/>
          </w:tcPr>
          <w:p>
            <w:pPr>
              <w:spacing w:after="0"/>
              <w:rPr>
                <w:sz w:val="15"/>
                <w:szCs w:val="15"/>
                <w:color w:val="auto"/>
              </w:rPr>
            </w:pPr>
          </w:p>
        </w:tc>
        <w:tc>
          <w:tcPr>
            <w:tcW w:w="1020" w:type="dxa"/>
            <w:vAlign w:val="bottom"/>
            <w:gridSpan w:val="2"/>
          </w:tcPr>
          <w:p>
            <w:pPr>
              <w:jc w:val="right"/>
              <w:ind w:right="140"/>
              <w:spacing w:after="0"/>
              <w:rPr>
                <w:sz w:val="20"/>
                <w:szCs w:val="20"/>
                <w:color w:val="auto"/>
              </w:rPr>
            </w:pPr>
            <w:r>
              <w:rPr>
                <w:rFonts w:ascii="Arial" w:cs="Arial" w:eastAsia="Arial" w:hAnsi="Arial"/>
                <w:sz w:val="15"/>
                <w:szCs w:val="15"/>
                <w:color w:val="auto"/>
              </w:rPr>
              <w:t>—</w:t>
            </w: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00" w:type="dxa"/>
            <w:vAlign w:val="bottom"/>
            <w:gridSpan w:val="2"/>
          </w:tcPr>
          <w:p>
            <w:pPr>
              <w:jc w:val="right"/>
              <w:ind w:right="80"/>
              <w:spacing w:after="0"/>
              <w:rPr>
                <w:sz w:val="20"/>
                <w:szCs w:val="20"/>
                <w:color w:val="auto"/>
              </w:rPr>
            </w:pPr>
            <w:r>
              <w:rPr>
                <w:rFonts w:ascii="Arial" w:cs="Arial" w:eastAsia="Arial" w:hAnsi="Arial"/>
                <w:sz w:val="15"/>
                <w:szCs w:val="15"/>
                <w:color w:val="auto"/>
              </w:rPr>
              <w:t>(110)</w:t>
            </w:r>
          </w:p>
        </w:tc>
      </w:tr>
      <w:tr>
        <w:trPr>
          <w:trHeight w:val="176"/>
        </w:trPr>
        <w:tc>
          <w:tcPr>
            <w:tcW w:w="7440" w:type="dxa"/>
            <w:vAlign w:val="bottom"/>
            <w:shd w:val="clear" w:color="auto" w:fill="CFF0FC"/>
          </w:tcPr>
          <w:p>
            <w:pPr>
              <w:ind w:left="260"/>
              <w:spacing w:after="0"/>
              <w:rPr>
                <w:sz w:val="20"/>
                <w:szCs w:val="20"/>
                <w:color w:val="auto"/>
              </w:rPr>
            </w:pPr>
            <w:r>
              <w:rPr>
                <w:rFonts w:ascii="Arial" w:cs="Arial" w:eastAsia="Arial" w:hAnsi="Arial"/>
                <w:sz w:val="15"/>
                <w:szCs w:val="15"/>
                <w:color w:val="auto"/>
              </w:rPr>
              <w:t>Principal payments on capital lease obligations</w:t>
            </w:r>
          </w:p>
        </w:tc>
        <w:tc>
          <w:tcPr>
            <w:tcW w:w="240" w:type="dxa"/>
            <w:vAlign w:val="bottom"/>
            <w:shd w:val="clear" w:color="auto" w:fill="CFF0FC"/>
          </w:tcPr>
          <w:p>
            <w:pPr>
              <w:spacing w:after="0"/>
              <w:rPr>
                <w:sz w:val="15"/>
                <w:szCs w:val="15"/>
                <w:color w:val="auto"/>
              </w:rPr>
            </w:pPr>
          </w:p>
        </w:tc>
        <w:tc>
          <w:tcPr>
            <w:tcW w:w="1020" w:type="dxa"/>
            <w:vAlign w:val="bottom"/>
            <w:gridSpan w:val="2"/>
            <w:shd w:val="clear" w:color="auto" w:fill="CFF0FC"/>
          </w:tcPr>
          <w:p>
            <w:pPr>
              <w:jc w:val="right"/>
              <w:ind w:right="140"/>
              <w:spacing w:after="0"/>
              <w:rPr>
                <w:sz w:val="20"/>
                <w:szCs w:val="20"/>
                <w:color w:val="auto"/>
              </w:rPr>
            </w:pPr>
            <w:r>
              <w:rPr>
                <w:rFonts w:ascii="Arial" w:cs="Arial" w:eastAsia="Arial" w:hAnsi="Arial"/>
                <w:sz w:val="15"/>
                <w:szCs w:val="15"/>
                <w:color w:val="auto"/>
              </w:rPr>
              <w:t>—</w:t>
            </w:r>
          </w:p>
        </w:tc>
        <w:tc>
          <w:tcPr>
            <w:tcW w:w="8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1040" w:type="dxa"/>
            <w:vAlign w:val="bottom"/>
            <w:gridSpan w:val="2"/>
            <w:shd w:val="clear" w:color="auto" w:fill="CFF0FC"/>
          </w:tcPr>
          <w:p>
            <w:pPr>
              <w:jc w:val="right"/>
              <w:ind w:right="80"/>
              <w:spacing w:after="0"/>
              <w:rPr>
                <w:sz w:val="20"/>
                <w:szCs w:val="20"/>
                <w:color w:val="auto"/>
              </w:rPr>
            </w:pPr>
            <w:r>
              <w:rPr>
                <w:rFonts w:ascii="Arial" w:cs="Arial" w:eastAsia="Arial" w:hAnsi="Arial"/>
                <w:sz w:val="15"/>
                <w:szCs w:val="15"/>
                <w:color w:val="auto"/>
              </w:rPr>
              <w:t>(443)</w:t>
            </w:r>
          </w:p>
        </w:tc>
        <w:tc>
          <w:tcPr>
            <w:tcW w:w="10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1000" w:type="dxa"/>
            <w:vAlign w:val="bottom"/>
            <w:gridSpan w:val="2"/>
            <w:shd w:val="clear" w:color="auto" w:fill="CFF0FC"/>
          </w:tcPr>
          <w:p>
            <w:pPr>
              <w:jc w:val="right"/>
              <w:ind w:right="80"/>
              <w:spacing w:after="0"/>
              <w:rPr>
                <w:sz w:val="20"/>
                <w:szCs w:val="20"/>
                <w:color w:val="auto"/>
              </w:rPr>
            </w:pPr>
            <w:r>
              <w:rPr>
                <w:rFonts w:ascii="Arial" w:cs="Arial" w:eastAsia="Arial" w:hAnsi="Arial"/>
                <w:sz w:val="15"/>
                <w:szCs w:val="15"/>
                <w:color w:val="auto"/>
              </w:rPr>
              <w:t>(549)</w:t>
            </w:r>
          </w:p>
        </w:tc>
      </w:tr>
      <w:tr>
        <w:trPr>
          <w:trHeight w:val="176"/>
        </w:trPr>
        <w:tc>
          <w:tcPr>
            <w:tcW w:w="7440" w:type="dxa"/>
            <w:vAlign w:val="bottom"/>
          </w:tcPr>
          <w:p>
            <w:pPr>
              <w:ind w:left="260"/>
              <w:spacing w:after="0"/>
              <w:rPr>
                <w:sz w:val="20"/>
                <w:szCs w:val="20"/>
                <w:color w:val="auto"/>
              </w:rPr>
            </w:pPr>
            <w:r>
              <w:rPr>
                <w:rFonts w:ascii="Arial" w:cs="Arial" w:eastAsia="Arial" w:hAnsi="Arial"/>
                <w:sz w:val="15"/>
                <w:szCs w:val="15"/>
                <w:color w:val="auto"/>
              </w:rPr>
              <w:t>Financed purchases of property and equipment</w:t>
            </w:r>
          </w:p>
        </w:tc>
        <w:tc>
          <w:tcPr>
            <w:tcW w:w="240" w:type="dxa"/>
            <w:vAlign w:val="bottom"/>
          </w:tcPr>
          <w:p>
            <w:pPr>
              <w:spacing w:after="0"/>
              <w:rPr>
                <w:sz w:val="15"/>
                <w:szCs w:val="15"/>
                <w:color w:val="auto"/>
              </w:rPr>
            </w:pPr>
          </w:p>
        </w:tc>
        <w:tc>
          <w:tcPr>
            <w:tcW w:w="1020" w:type="dxa"/>
            <w:vAlign w:val="bottom"/>
            <w:gridSpan w:val="2"/>
          </w:tcPr>
          <w:p>
            <w:pPr>
              <w:jc w:val="right"/>
              <w:ind w:right="80"/>
              <w:spacing w:after="0"/>
              <w:rPr>
                <w:sz w:val="20"/>
                <w:szCs w:val="20"/>
                <w:color w:val="auto"/>
              </w:rPr>
            </w:pPr>
            <w:r>
              <w:rPr>
                <w:rFonts w:ascii="Arial" w:cs="Arial" w:eastAsia="Arial" w:hAnsi="Arial"/>
                <w:sz w:val="15"/>
                <w:szCs w:val="15"/>
                <w:color w:val="auto"/>
              </w:rPr>
              <w:t>(427)</w:t>
            </w: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5"/>
                <w:szCs w:val="15"/>
                <w:color w:val="auto"/>
              </w:rPr>
              <w:t>—</w:t>
            </w:r>
          </w:p>
        </w:tc>
      </w:tr>
      <w:tr>
        <w:trPr>
          <w:trHeight w:val="169"/>
        </w:trPr>
        <w:tc>
          <w:tcPr>
            <w:tcW w:w="7440" w:type="dxa"/>
            <w:vAlign w:val="bottom"/>
            <w:tcBorders>
              <w:top w:val="single" w:sz="8" w:color="CFF0FC"/>
            </w:tcBorders>
            <w:shd w:val="clear" w:color="auto" w:fill="CFF0FC"/>
          </w:tcPr>
          <w:p>
            <w:pPr>
              <w:ind w:left="740"/>
              <w:spacing w:after="0" w:line="169" w:lineRule="exact"/>
              <w:rPr>
                <w:sz w:val="20"/>
                <w:szCs w:val="20"/>
                <w:color w:val="auto"/>
              </w:rPr>
            </w:pPr>
            <w:r>
              <w:rPr>
                <w:rFonts w:ascii="Arial" w:cs="Arial" w:eastAsia="Arial" w:hAnsi="Arial"/>
                <w:sz w:val="15"/>
                <w:szCs w:val="15"/>
                <w:color w:val="auto"/>
              </w:rPr>
              <w:t>Net cash provided by financing activities</w:t>
            </w:r>
          </w:p>
        </w:tc>
        <w:tc>
          <w:tcPr>
            <w:tcW w:w="240" w:type="dxa"/>
            <w:vAlign w:val="bottom"/>
            <w:tcBorders>
              <w:top w:val="single" w:sz="8" w:color="auto"/>
              <w:bottom w:val="single" w:sz="8" w:color="auto"/>
            </w:tcBorders>
            <w:shd w:val="clear" w:color="auto" w:fill="CFF0FC"/>
          </w:tcPr>
          <w:p>
            <w:pPr>
              <w:spacing w:after="0"/>
              <w:rPr>
                <w:sz w:val="14"/>
                <w:szCs w:val="14"/>
                <w:color w:val="auto"/>
              </w:rPr>
            </w:pPr>
          </w:p>
        </w:tc>
        <w:tc>
          <w:tcPr>
            <w:tcW w:w="900" w:type="dxa"/>
            <w:vAlign w:val="bottom"/>
            <w:tcBorders>
              <w:top w:val="single" w:sz="8" w:color="auto"/>
              <w:bottom w:val="single" w:sz="8" w:color="auto"/>
            </w:tcBorders>
            <w:shd w:val="clear" w:color="auto" w:fill="CFF0FC"/>
          </w:tcPr>
          <w:p>
            <w:pPr>
              <w:jc w:val="right"/>
              <w:spacing w:after="0" w:line="169" w:lineRule="exact"/>
              <w:rPr>
                <w:sz w:val="20"/>
                <w:szCs w:val="20"/>
                <w:color w:val="auto"/>
              </w:rPr>
            </w:pPr>
            <w:r>
              <w:rPr>
                <w:rFonts w:ascii="Arial" w:cs="Arial" w:eastAsia="Arial" w:hAnsi="Arial"/>
                <w:sz w:val="15"/>
                <w:szCs w:val="15"/>
                <w:color w:val="auto"/>
              </w:rPr>
              <w:t>452,512</w:t>
            </w:r>
          </w:p>
        </w:tc>
        <w:tc>
          <w:tcPr>
            <w:tcW w:w="120" w:type="dxa"/>
            <w:vAlign w:val="bottom"/>
            <w:tcBorders>
              <w:top w:val="single" w:sz="8" w:color="CFF0FC"/>
            </w:tcBorders>
            <w:shd w:val="clear" w:color="auto" w:fill="CFF0FC"/>
          </w:tcPr>
          <w:p>
            <w:pPr>
              <w:spacing w:after="0"/>
              <w:rPr>
                <w:sz w:val="14"/>
                <w:szCs w:val="14"/>
                <w:color w:val="auto"/>
              </w:rPr>
            </w:pPr>
          </w:p>
        </w:tc>
        <w:tc>
          <w:tcPr>
            <w:tcW w:w="80" w:type="dxa"/>
            <w:vAlign w:val="bottom"/>
            <w:tcBorders>
              <w:top w:val="single" w:sz="8" w:color="CFF0FC"/>
            </w:tcBorders>
            <w:shd w:val="clear" w:color="auto" w:fill="CFF0FC"/>
          </w:tcPr>
          <w:p>
            <w:pPr>
              <w:spacing w:after="0"/>
              <w:rPr>
                <w:sz w:val="14"/>
                <w:szCs w:val="14"/>
                <w:color w:val="auto"/>
              </w:rPr>
            </w:pPr>
          </w:p>
        </w:tc>
        <w:tc>
          <w:tcPr>
            <w:tcW w:w="240" w:type="dxa"/>
            <w:vAlign w:val="bottom"/>
            <w:tcBorders>
              <w:top w:val="single" w:sz="8" w:color="auto"/>
              <w:bottom w:val="single" w:sz="8" w:color="auto"/>
            </w:tcBorders>
            <w:shd w:val="clear" w:color="auto" w:fill="CFF0FC"/>
          </w:tcPr>
          <w:p>
            <w:pPr>
              <w:spacing w:after="0"/>
              <w:rPr>
                <w:sz w:val="14"/>
                <w:szCs w:val="14"/>
                <w:color w:val="auto"/>
              </w:rPr>
            </w:pPr>
          </w:p>
        </w:tc>
        <w:tc>
          <w:tcPr>
            <w:tcW w:w="920" w:type="dxa"/>
            <w:vAlign w:val="bottom"/>
            <w:tcBorders>
              <w:top w:val="single" w:sz="8" w:color="auto"/>
              <w:bottom w:val="single" w:sz="8" w:color="auto"/>
            </w:tcBorders>
            <w:shd w:val="clear" w:color="auto" w:fill="CFF0FC"/>
          </w:tcPr>
          <w:p>
            <w:pPr>
              <w:jc w:val="right"/>
              <w:spacing w:after="0" w:line="169" w:lineRule="exact"/>
              <w:rPr>
                <w:sz w:val="20"/>
                <w:szCs w:val="20"/>
                <w:color w:val="auto"/>
              </w:rPr>
            </w:pPr>
            <w:r>
              <w:rPr>
                <w:rFonts w:ascii="Arial" w:cs="Arial" w:eastAsia="Arial" w:hAnsi="Arial"/>
                <w:sz w:val="15"/>
                <w:szCs w:val="15"/>
                <w:color w:val="auto"/>
              </w:rPr>
              <w:t>14,522</w:t>
            </w:r>
          </w:p>
        </w:tc>
        <w:tc>
          <w:tcPr>
            <w:tcW w:w="120" w:type="dxa"/>
            <w:vAlign w:val="bottom"/>
            <w:tcBorders>
              <w:top w:val="single" w:sz="8" w:color="CFF0FC"/>
            </w:tcBorders>
            <w:shd w:val="clear" w:color="auto" w:fill="CFF0FC"/>
          </w:tcPr>
          <w:p>
            <w:pPr>
              <w:spacing w:after="0"/>
              <w:rPr>
                <w:sz w:val="14"/>
                <w:szCs w:val="14"/>
                <w:color w:val="auto"/>
              </w:rPr>
            </w:pPr>
          </w:p>
        </w:tc>
        <w:tc>
          <w:tcPr>
            <w:tcW w:w="100" w:type="dxa"/>
            <w:vAlign w:val="bottom"/>
            <w:tcBorders>
              <w:top w:val="single" w:sz="8" w:color="CFF0FC"/>
            </w:tcBorders>
            <w:shd w:val="clear" w:color="auto" w:fill="CFF0FC"/>
          </w:tcPr>
          <w:p>
            <w:pPr>
              <w:spacing w:after="0"/>
              <w:rPr>
                <w:sz w:val="14"/>
                <w:szCs w:val="14"/>
                <w:color w:val="auto"/>
              </w:rPr>
            </w:pPr>
          </w:p>
        </w:tc>
        <w:tc>
          <w:tcPr>
            <w:tcW w:w="260" w:type="dxa"/>
            <w:vAlign w:val="bottom"/>
            <w:tcBorders>
              <w:top w:val="single" w:sz="8" w:color="auto"/>
              <w:bottom w:val="single" w:sz="8" w:color="auto"/>
            </w:tcBorders>
            <w:shd w:val="clear" w:color="auto" w:fill="CFF0FC"/>
          </w:tcPr>
          <w:p>
            <w:pPr>
              <w:spacing w:after="0"/>
              <w:rPr>
                <w:sz w:val="14"/>
                <w:szCs w:val="14"/>
                <w:color w:val="auto"/>
              </w:rPr>
            </w:pPr>
          </w:p>
        </w:tc>
        <w:tc>
          <w:tcPr>
            <w:tcW w:w="880" w:type="dxa"/>
            <w:vAlign w:val="bottom"/>
            <w:tcBorders>
              <w:top w:val="single" w:sz="8" w:color="auto"/>
              <w:bottom w:val="single" w:sz="8" w:color="auto"/>
            </w:tcBorders>
            <w:shd w:val="clear" w:color="auto" w:fill="CFF0FC"/>
          </w:tcPr>
          <w:p>
            <w:pPr>
              <w:jc w:val="right"/>
              <w:spacing w:after="0" w:line="169" w:lineRule="exact"/>
              <w:rPr>
                <w:sz w:val="20"/>
                <w:szCs w:val="20"/>
                <w:color w:val="auto"/>
              </w:rPr>
            </w:pPr>
            <w:r>
              <w:rPr>
                <w:rFonts w:ascii="Arial" w:cs="Arial" w:eastAsia="Arial" w:hAnsi="Arial"/>
                <w:sz w:val="15"/>
                <w:szCs w:val="15"/>
                <w:color w:val="auto"/>
              </w:rPr>
              <w:t>9,593</w:t>
            </w:r>
          </w:p>
        </w:tc>
        <w:tc>
          <w:tcPr>
            <w:tcW w:w="120" w:type="dxa"/>
            <w:vAlign w:val="bottom"/>
            <w:tcBorders>
              <w:top w:val="single" w:sz="8" w:color="CFF0FC"/>
            </w:tcBorders>
            <w:shd w:val="clear" w:color="auto" w:fill="CFF0FC"/>
          </w:tcPr>
          <w:p>
            <w:pPr>
              <w:spacing w:after="0"/>
              <w:rPr>
                <w:sz w:val="14"/>
                <w:szCs w:val="14"/>
                <w:color w:val="auto"/>
              </w:rPr>
            </w:pPr>
          </w:p>
        </w:tc>
      </w:tr>
      <w:tr>
        <w:trPr>
          <w:trHeight w:val="169"/>
        </w:trPr>
        <w:tc>
          <w:tcPr>
            <w:tcW w:w="7440" w:type="dxa"/>
            <w:vAlign w:val="bottom"/>
          </w:tcPr>
          <w:p>
            <w:pPr>
              <w:spacing w:after="0" w:line="169" w:lineRule="exact"/>
              <w:rPr>
                <w:sz w:val="20"/>
                <w:szCs w:val="20"/>
                <w:color w:val="auto"/>
              </w:rPr>
            </w:pPr>
            <w:r>
              <w:rPr>
                <w:rFonts w:ascii="Arial" w:cs="Arial" w:eastAsia="Arial" w:hAnsi="Arial"/>
                <w:sz w:val="15"/>
                <w:szCs w:val="15"/>
                <w:color w:val="auto"/>
              </w:rPr>
              <w:t>Effect of foreign currency exchange rate changes on cash, cash equivalents, and restricted cash</w:t>
            </w:r>
          </w:p>
        </w:tc>
        <w:tc>
          <w:tcPr>
            <w:tcW w:w="240" w:type="dxa"/>
            <w:vAlign w:val="bottom"/>
          </w:tcPr>
          <w:p>
            <w:pPr>
              <w:spacing w:after="0"/>
              <w:rPr>
                <w:sz w:val="14"/>
                <w:szCs w:val="14"/>
                <w:color w:val="auto"/>
              </w:rPr>
            </w:pPr>
          </w:p>
        </w:tc>
        <w:tc>
          <w:tcPr>
            <w:tcW w:w="900" w:type="dxa"/>
            <w:vAlign w:val="bottom"/>
          </w:tcPr>
          <w:p>
            <w:pPr>
              <w:jc w:val="right"/>
              <w:spacing w:after="0" w:line="169" w:lineRule="exact"/>
              <w:rPr>
                <w:sz w:val="20"/>
                <w:szCs w:val="20"/>
                <w:color w:val="auto"/>
              </w:rPr>
            </w:pPr>
            <w:r>
              <w:rPr>
                <w:rFonts w:ascii="Arial" w:cs="Arial" w:eastAsia="Arial" w:hAnsi="Arial"/>
                <w:sz w:val="15"/>
                <w:szCs w:val="15"/>
                <w:color w:val="auto"/>
              </w:rPr>
              <w:t>261</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20" w:type="dxa"/>
            <w:vAlign w:val="bottom"/>
          </w:tcPr>
          <w:p>
            <w:pPr>
              <w:jc w:val="right"/>
              <w:spacing w:after="0" w:line="169" w:lineRule="exact"/>
              <w:rPr>
                <w:sz w:val="20"/>
                <w:szCs w:val="20"/>
                <w:color w:val="auto"/>
              </w:rPr>
            </w:pPr>
            <w:r>
              <w:rPr>
                <w:rFonts w:ascii="Arial" w:cs="Arial" w:eastAsia="Arial" w:hAnsi="Arial"/>
                <w:sz w:val="15"/>
                <w:szCs w:val="15"/>
                <w:color w:val="auto"/>
              </w:rPr>
              <w:t>266</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0" w:type="dxa"/>
            <w:vAlign w:val="bottom"/>
            <w:gridSpan w:val="2"/>
          </w:tcPr>
          <w:p>
            <w:pPr>
              <w:jc w:val="right"/>
              <w:ind w:right="140"/>
              <w:spacing w:after="0" w:line="169" w:lineRule="exact"/>
              <w:rPr>
                <w:sz w:val="20"/>
                <w:szCs w:val="20"/>
                <w:color w:val="auto"/>
              </w:rPr>
            </w:pPr>
            <w:r>
              <w:rPr>
                <w:rFonts w:ascii="Arial" w:cs="Arial" w:eastAsia="Arial" w:hAnsi="Arial"/>
                <w:sz w:val="15"/>
                <w:szCs w:val="15"/>
                <w:color w:val="auto"/>
              </w:rPr>
              <w:t>—</w:t>
            </w:r>
          </w:p>
        </w:tc>
      </w:tr>
      <w:tr>
        <w:trPr>
          <w:trHeight w:val="169"/>
        </w:trPr>
        <w:tc>
          <w:tcPr>
            <w:tcW w:w="7440" w:type="dxa"/>
            <w:vAlign w:val="bottom"/>
            <w:tcBorders>
              <w:top w:val="single" w:sz="8" w:color="CFF0FC"/>
            </w:tcBorders>
            <w:shd w:val="clear" w:color="auto" w:fill="CFF0FC"/>
          </w:tcPr>
          <w:p>
            <w:pPr>
              <w:spacing w:after="0" w:line="169" w:lineRule="exact"/>
              <w:rPr>
                <w:sz w:val="20"/>
                <w:szCs w:val="20"/>
                <w:color w:val="auto"/>
              </w:rPr>
            </w:pPr>
            <w:r>
              <w:rPr>
                <w:rFonts w:ascii="Arial" w:cs="Arial" w:eastAsia="Arial" w:hAnsi="Arial"/>
                <w:sz w:val="15"/>
                <w:szCs w:val="15"/>
                <w:color w:val="auto"/>
              </w:rPr>
              <w:t>Net increase in cash, cash equivalents, and restricted cash</w:t>
            </w:r>
          </w:p>
        </w:tc>
        <w:tc>
          <w:tcPr>
            <w:tcW w:w="240" w:type="dxa"/>
            <w:vAlign w:val="bottom"/>
            <w:tcBorders>
              <w:top w:val="single" w:sz="8" w:color="auto"/>
            </w:tcBorders>
            <w:shd w:val="clear" w:color="auto" w:fill="CFF0FC"/>
          </w:tcPr>
          <w:p>
            <w:pPr>
              <w:spacing w:after="0"/>
              <w:rPr>
                <w:sz w:val="14"/>
                <w:szCs w:val="14"/>
                <w:color w:val="auto"/>
              </w:rPr>
            </w:pPr>
          </w:p>
        </w:tc>
        <w:tc>
          <w:tcPr>
            <w:tcW w:w="900" w:type="dxa"/>
            <w:vAlign w:val="bottom"/>
            <w:tcBorders>
              <w:top w:val="single" w:sz="8" w:color="auto"/>
            </w:tcBorders>
            <w:shd w:val="clear" w:color="auto" w:fill="CFF0FC"/>
          </w:tcPr>
          <w:p>
            <w:pPr>
              <w:jc w:val="right"/>
              <w:spacing w:after="0" w:line="169" w:lineRule="exact"/>
              <w:rPr>
                <w:sz w:val="20"/>
                <w:szCs w:val="20"/>
                <w:color w:val="auto"/>
              </w:rPr>
            </w:pPr>
            <w:r>
              <w:rPr>
                <w:rFonts w:ascii="Arial" w:cs="Arial" w:eastAsia="Arial" w:hAnsi="Arial"/>
                <w:sz w:val="15"/>
                <w:szCs w:val="15"/>
                <w:color w:val="auto"/>
              </w:rPr>
              <w:t>74,047</w:t>
            </w:r>
          </w:p>
        </w:tc>
        <w:tc>
          <w:tcPr>
            <w:tcW w:w="120" w:type="dxa"/>
            <w:vAlign w:val="bottom"/>
            <w:tcBorders>
              <w:top w:val="single" w:sz="8" w:color="CFF0FC"/>
            </w:tcBorders>
            <w:shd w:val="clear" w:color="auto" w:fill="CFF0FC"/>
          </w:tcPr>
          <w:p>
            <w:pPr>
              <w:spacing w:after="0"/>
              <w:rPr>
                <w:sz w:val="14"/>
                <w:szCs w:val="14"/>
                <w:color w:val="auto"/>
              </w:rPr>
            </w:pPr>
          </w:p>
        </w:tc>
        <w:tc>
          <w:tcPr>
            <w:tcW w:w="80" w:type="dxa"/>
            <w:vAlign w:val="bottom"/>
            <w:tcBorders>
              <w:top w:val="single" w:sz="8" w:color="CFF0FC"/>
            </w:tcBorders>
            <w:shd w:val="clear" w:color="auto" w:fill="CFF0FC"/>
          </w:tcPr>
          <w:p>
            <w:pPr>
              <w:spacing w:after="0"/>
              <w:rPr>
                <w:sz w:val="14"/>
                <w:szCs w:val="14"/>
                <w:color w:val="auto"/>
              </w:rPr>
            </w:pPr>
          </w:p>
        </w:tc>
        <w:tc>
          <w:tcPr>
            <w:tcW w:w="240" w:type="dxa"/>
            <w:vAlign w:val="bottom"/>
            <w:tcBorders>
              <w:top w:val="single" w:sz="8" w:color="auto"/>
            </w:tcBorders>
            <w:shd w:val="clear" w:color="auto" w:fill="CFF0FC"/>
          </w:tcPr>
          <w:p>
            <w:pPr>
              <w:spacing w:after="0"/>
              <w:rPr>
                <w:sz w:val="14"/>
                <w:szCs w:val="14"/>
                <w:color w:val="auto"/>
              </w:rPr>
            </w:pPr>
          </w:p>
        </w:tc>
        <w:tc>
          <w:tcPr>
            <w:tcW w:w="920" w:type="dxa"/>
            <w:vAlign w:val="bottom"/>
            <w:tcBorders>
              <w:top w:val="single" w:sz="8" w:color="auto"/>
            </w:tcBorders>
            <w:shd w:val="clear" w:color="auto" w:fill="CFF0FC"/>
          </w:tcPr>
          <w:p>
            <w:pPr>
              <w:jc w:val="right"/>
              <w:spacing w:after="0" w:line="169" w:lineRule="exact"/>
              <w:rPr>
                <w:sz w:val="20"/>
                <w:szCs w:val="20"/>
                <w:color w:val="auto"/>
              </w:rPr>
            </w:pPr>
            <w:r>
              <w:rPr>
                <w:rFonts w:ascii="Arial" w:cs="Arial" w:eastAsia="Arial" w:hAnsi="Arial"/>
                <w:sz w:val="15"/>
                <w:szCs w:val="15"/>
                <w:color w:val="auto"/>
              </w:rPr>
              <w:t>14,951</w:t>
            </w:r>
          </w:p>
        </w:tc>
        <w:tc>
          <w:tcPr>
            <w:tcW w:w="120" w:type="dxa"/>
            <w:vAlign w:val="bottom"/>
            <w:tcBorders>
              <w:top w:val="single" w:sz="8" w:color="CFF0FC"/>
            </w:tcBorders>
            <w:shd w:val="clear" w:color="auto" w:fill="CFF0FC"/>
          </w:tcPr>
          <w:p>
            <w:pPr>
              <w:spacing w:after="0"/>
              <w:rPr>
                <w:sz w:val="14"/>
                <w:szCs w:val="14"/>
                <w:color w:val="auto"/>
              </w:rPr>
            </w:pPr>
          </w:p>
        </w:tc>
        <w:tc>
          <w:tcPr>
            <w:tcW w:w="100" w:type="dxa"/>
            <w:vAlign w:val="bottom"/>
            <w:tcBorders>
              <w:top w:val="single" w:sz="8" w:color="CFF0FC"/>
            </w:tcBorders>
            <w:shd w:val="clear" w:color="auto" w:fill="CFF0FC"/>
          </w:tcPr>
          <w:p>
            <w:pPr>
              <w:spacing w:after="0"/>
              <w:rPr>
                <w:sz w:val="14"/>
                <w:szCs w:val="14"/>
                <w:color w:val="auto"/>
              </w:rPr>
            </w:pPr>
          </w:p>
        </w:tc>
        <w:tc>
          <w:tcPr>
            <w:tcW w:w="260" w:type="dxa"/>
            <w:vAlign w:val="bottom"/>
            <w:tcBorders>
              <w:top w:val="single" w:sz="8" w:color="auto"/>
            </w:tcBorders>
            <w:shd w:val="clear" w:color="auto" w:fill="CFF0FC"/>
          </w:tcPr>
          <w:p>
            <w:pPr>
              <w:spacing w:after="0"/>
              <w:rPr>
                <w:sz w:val="14"/>
                <w:szCs w:val="14"/>
                <w:color w:val="auto"/>
              </w:rPr>
            </w:pPr>
          </w:p>
        </w:tc>
        <w:tc>
          <w:tcPr>
            <w:tcW w:w="880" w:type="dxa"/>
            <w:vAlign w:val="bottom"/>
            <w:tcBorders>
              <w:top w:val="single" w:sz="8" w:color="auto"/>
            </w:tcBorders>
            <w:shd w:val="clear" w:color="auto" w:fill="CFF0FC"/>
          </w:tcPr>
          <w:p>
            <w:pPr>
              <w:jc w:val="right"/>
              <w:spacing w:after="0" w:line="169" w:lineRule="exact"/>
              <w:rPr>
                <w:sz w:val="20"/>
                <w:szCs w:val="20"/>
                <w:color w:val="auto"/>
              </w:rPr>
            </w:pPr>
            <w:r>
              <w:rPr>
                <w:rFonts w:ascii="Arial" w:cs="Arial" w:eastAsia="Arial" w:hAnsi="Arial"/>
                <w:sz w:val="15"/>
                <w:szCs w:val="15"/>
                <w:color w:val="auto"/>
              </w:rPr>
              <w:t>8,986</w:t>
            </w:r>
          </w:p>
        </w:tc>
        <w:tc>
          <w:tcPr>
            <w:tcW w:w="120" w:type="dxa"/>
            <w:vAlign w:val="bottom"/>
            <w:tcBorders>
              <w:top w:val="single" w:sz="8" w:color="CFF0FC"/>
            </w:tcBorders>
            <w:shd w:val="clear" w:color="auto" w:fill="CFF0FC"/>
          </w:tcPr>
          <w:p>
            <w:pPr>
              <w:spacing w:after="0"/>
              <w:rPr>
                <w:sz w:val="14"/>
                <w:szCs w:val="14"/>
                <w:color w:val="auto"/>
              </w:rPr>
            </w:pPr>
          </w:p>
        </w:tc>
      </w:tr>
      <w:tr>
        <w:trPr>
          <w:trHeight w:val="176"/>
        </w:trPr>
        <w:tc>
          <w:tcPr>
            <w:tcW w:w="7440" w:type="dxa"/>
            <w:vAlign w:val="bottom"/>
            <w:tcBorders>
              <w:bottom w:val="single" w:sz="8" w:color="CFF0FC"/>
            </w:tcBorders>
          </w:tcPr>
          <w:p>
            <w:pPr>
              <w:spacing w:after="0"/>
              <w:rPr>
                <w:sz w:val="20"/>
                <w:szCs w:val="20"/>
                <w:color w:val="auto"/>
              </w:rPr>
            </w:pPr>
            <w:r>
              <w:rPr>
                <w:rFonts w:ascii="Arial" w:cs="Arial" w:eastAsia="Arial" w:hAnsi="Arial"/>
                <w:sz w:val="15"/>
                <w:szCs w:val="15"/>
                <w:color w:val="auto"/>
              </w:rPr>
              <w:t>Cash, cash equivalents, and restricted cash, beginning of period</w:t>
            </w:r>
          </w:p>
        </w:tc>
        <w:tc>
          <w:tcPr>
            <w:tcW w:w="24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46,455</w:t>
            </w:r>
          </w:p>
        </w:tc>
        <w:tc>
          <w:tcPr>
            <w:tcW w:w="120" w:type="dxa"/>
            <w:vAlign w:val="bottom"/>
            <w:tcBorders>
              <w:bottom w:val="single" w:sz="8" w:color="CFF0FC"/>
            </w:tcBorders>
          </w:tcPr>
          <w:p>
            <w:pPr>
              <w:spacing w:after="0"/>
              <w:rPr>
                <w:sz w:val="15"/>
                <w:szCs w:val="15"/>
                <w:color w:val="auto"/>
              </w:rPr>
            </w:pPr>
          </w:p>
        </w:tc>
        <w:tc>
          <w:tcPr>
            <w:tcW w:w="80" w:type="dxa"/>
            <w:vAlign w:val="bottom"/>
            <w:tcBorders>
              <w:bottom w:val="single" w:sz="8" w:color="CFF0FC"/>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31,504</w:t>
            </w:r>
          </w:p>
        </w:tc>
        <w:tc>
          <w:tcPr>
            <w:tcW w:w="120" w:type="dxa"/>
            <w:vAlign w:val="bottom"/>
            <w:tcBorders>
              <w:bottom w:val="single" w:sz="8" w:color="CFF0FC"/>
            </w:tcBorders>
          </w:tcPr>
          <w:p>
            <w:pPr>
              <w:spacing w:after="0"/>
              <w:rPr>
                <w:sz w:val="15"/>
                <w:szCs w:val="15"/>
                <w:color w:val="auto"/>
              </w:rPr>
            </w:pPr>
          </w:p>
        </w:tc>
        <w:tc>
          <w:tcPr>
            <w:tcW w:w="100" w:type="dxa"/>
            <w:vAlign w:val="bottom"/>
            <w:tcBorders>
              <w:bottom w:val="single" w:sz="8" w:color="CFF0FC"/>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22,518</w:t>
            </w:r>
          </w:p>
        </w:tc>
        <w:tc>
          <w:tcPr>
            <w:tcW w:w="120" w:type="dxa"/>
            <w:vAlign w:val="bottom"/>
            <w:tcBorders>
              <w:bottom w:val="single" w:sz="8" w:color="CFF0FC"/>
            </w:tcBorders>
          </w:tcPr>
          <w:p>
            <w:pPr>
              <w:spacing w:after="0"/>
              <w:rPr>
                <w:sz w:val="15"/>
                <w:szCs w:val="15"/>
                <w:color w:val="auto"/>
              </w:rPr>
            </w:pPr>
          </w:p>
        </w:tc>
      </w:tr>
      <w:tr>
        <w:trPr>
          <w:trHeight w:val="169"/>
        </w:trPr>
        <w:tc>
          <w:tcPr>
            <w:tcW w:w="7440" w:type="dxa"/>
            <w:vAlign w:val="bottom"/>
            <w:shd w:val="clear" w:color="auto" w:fill="CFF0FC"/>
          </w:tcPr>
          <w:p>
            <w:pPr>
              <w:spacing w:after="0" w:line="169" w:lineRule="exact"/>
              <w:rPr>
                <w:sz w:val="20"/>
                <w:szCs w:val="20"/>
                <w:color w:val="auto"/>
              </w:rPr>
            </w:pPr>
            <w:r>
              <w:rPr>
                <w:rFonts w:ascii="Arial" w:cs="Arial" w:eastAsia="Arial" w:hAnsi="Arial"/>
                <w:sz w:val="15"/>
                <w:szCs w:val="15"/>
                <w:color w:val="auto"/>
              </w:rPr>
              <w:t>Cash, cash equivalents, and restricted cash, end of period</w:t>
            </w:r>
          </w:p>
        </w:tc>
        <w:tc>
          <w:tcPr>
            <w:tcW w:w="240" w:type="dxa"/>
            <w:vAlign w:val="bottom"/>
            <w:shd w:val="clear" w:color="auto" w:fill="CFF0FC"/>
          </w:tcPr>
          <w:p>
            <w:pPr>
              <w:jc w:val="right"/>
              <w:ind w:right="83"/>
              <w:spacing w:after="0" w:line="169" w:lineRule="exact"/>
              <w:rPr>
                <w:sz w:val="20"/>
                <w:szCs w:val="20"/>
                <w:color w:val="auto"/>
              </w:rPr>
            </w:pPr>
            <w:r>
              <w:rPr>
                <w:rFonts w:ascii="Arial" w:cs="Arial" w:eastAsia="Arial" w:hAnsi="Arial"/>
                <w:sz w:val="15"/>
                <w:szCs w:val="15"/>
                <w:color w:val="auto"/>
                <w:w w:val="71"/>
              </w:rPr>
              <w:t>$</w:t>
            </w:r>
          </w:p>
        </w:tc>
        <w:tc>
          <w:tcPr>
            <w:tcW w:w="900" w:type="dxa"/>
            <w:vAlign w:val="bottom"/>
            <w:shd w:val="clear" w:color="auto" w:fill="CFF0FC"/>
          </w:tcPr>
          <w:p>
            <w:pPr>
              <w:jc w:val="right"/>
              <w:spacing w:after="0" w:line="169" w:lineRule="exact"/>
              <w:rPr>
                <w:sz w:val="20"/>
                <w:szCs w:val="20"/>
                <w:color w:val="auto"/>
              </w:rPr>
            </w:pPr>
            <w:r>
              <w:rPr>
                <w:rFonts w:ascii="Arial" w:cs="Arial" w:eastAsia="Arial" w:hAnsi="Arial"/>
                <w:sz w:val="15"/>
                <w:szCs w:val="15"/>
                <w:color w:val="auto"/>
              </w:rPr>
              <w:t>120,502</w:t>
            </w:r>
          </w:p>
        </w:tc>
        <w:tc>
          <w:tcPr>
            <w:tcW w:w="120" w:type="dxa"/>
            <w:vAlign w:val="bottom"/>
            <w:shd w:val="clear" w:color="auto" w:fill="CFF0FC"/>
          </w:tcPr>
          <w:p>
            <w:pPr>
              <w:spacing w:after="0"/>
              <w:rPr>
                <w:sz w:val="14"/>
                <w:szCs w:val="14"/>
                <w:color w:val="auto"/>
              </w:rPr>
            </w:pPr>
          </w:p>
        </w:tc>
        <w:tc>
          <w:tcPr>
            <w:tcW w:w="320" w:type="dxa"/>
            <w:vAlign w:val="bottom"/>
            <w:gridSpan w:val="2"/>
            <w:shd w:val="clear" w:color="auto" w:fill="CFF0FC"/>
          </w:tcPr>
          <w:p>
            <w:pPr>
              <w:jc w:val="right"/>
              <w:ind w:right="140"/>
              <w:spacing w:after="0" w:line="169" w:lineRule="exact"/>
              <w:rPr>
                <w:sz w:val="20"/>
                <w:szCs w:val="20"/>
                <w:color w:val="auto"/>
              </w:rPr>
            </w:pPr>
            <w:r>
              <w:rPr>
                <w:rFonts w:ascii="Arial" w:cs="Arial" w:eastAsia="Arial" w:hAnsi="Arial"/>
                <w:sz w:val="15"/>
                <w:szCs w:val="15"/>
                <w:color w:val="auto"/>
              </w:rPr>
              <w:t>$</w:t>
            </w:r>
          </w:p>
        </w:tc>
        <w:tc>
          <w:tcPr>
            <w:tcW w:w="920" w:type="dxa"/>
            <w:vAlign w:val="bottom"/>
            <w:shd w:val="clear" w:color="auto" w:fill="CFF0FC"/>
          </w:tcPr>
          <w:p>
            <w:pPr>
              <w:jc w:val="right"/>
              <w:spacing w:after="0" w:line="169" w:lineRule="exact"/>
              <w:rPr>
                <w:sz w:val="20"/>
                <w:szCs w:val="20"/>
                <w:color w:val="auto"/>
              </w:rPr>
            </w:pPr>
            <w:r>
              <w:rPr>
                <w:rFonts w:ascii="Arial" w:cs="Arial" w:eastAsia="Arial" w:hAnsi="Arial"/>
                <w:sz w:val="15"/>
                <w:szCs w:val="15"/>
                <w:color w:val="auto"/>
              </w:rPr>
              <w:t>46,455</w:t>
            </w:r>
          </w:p>
        </w:tc>
        <w:tc>
          <w:tcPr>
            <w:tcW w:w="120" w:type="dxa"/>
            <w:vAlign w:val="bottom"/>
            <w:shd w:val="clear" w:color="auto" w:fill="CFF0FC"/>
          </w:tcPr>
          <w:p>
            <w:pPr>
              <w:spacing w:after="0"/>
              <w:rPr>
                <w:sz w:val="14"/>
                <w:szCs w:val="14"/>
                <w:color w:val="auto"/>
              </w:rPr>
            </w:pPr>
          </w:p>
        </w:tc>
        <w:tc>
          <w:tcPr>
            <w:tcW w:w="360" w:type="dxa"/>
            <w:vAlign w:val="bottom"/>
            <w:gridSpan w:val="2"/>
            <w:shd w:val="clear" w:color="auto" w:fill="CFF0FC"/>
          </w:tcPr>
          <w:p>
            <w:pPr>
              <w:jc w:val="right"/>
              <w:ind w:right="180"/>
              <w:spacing w:after="0" w:line="169" w:lineRule="exact"/>
              <w:rPr>
                <w:sz w:val="20"/>
                <w:szCs w:val="20"/>
                <w:color w:val="auto"/>
              </w:rPr>
            </w:pPr>
            <w:r>
              <w:rPr>
                <w:rFonts w:ascii="Arial" w:cs="Arial" w:eastAsia="Arial" w:hAnsi="Arial"/>
                <w:sz w:val="15"/>
                <w:szCs w:val="15"/>
                <w:color w:val="auto"/>
              </w:rPr>
              <w:t>$</w:t>
            </w:r>
          </w:p>
        </w:tc>
        <w:tc>
          <w:tcPr>
            <w:tcW w:w="880" w:type="dxa"/>
            <w:vAlign w:val="bottom"/>
            <w:shd w:val="clear" w:color="auto" w:fill="CFF0FC"/>
          </w:tcPr>
          <w:p>
            <w:pPr>
              <w:jc w:val="right"/>
              <w:spacing w:after="0" w:line="169" w:lineRule="exact"/>
              <w:rPr>
                <w:sz w:val="20"/>
                <w:szCs w:val="20"/>
                <w:color w:val="auto"/>
              </w:rPr>
            </w:pPr>
            <w:r>
              <w:rPr>
                <w:rFonts w:ascii="Arial" w:cs="Arial" w:eastAsia="Arial" w:hAnsi="Arial"/>
                <w:sz w:val="15"/>
                <w:szCs w:val="15"/>
                <w:color w:val="auto"/>
              </w:rPr>
              <w:t>31,504</w:t>
            </w:r>
          </w:p>
        </w:tc>
        <w:tc>
          <w:tcPr>
            <w:tcW w:w="120" w:type="dxa"/>
            <w:vAlign w:val="bottom"/>
            <w:shd w:val="clear" w:color="auto" w:fill="CFF0FC"/>
          </w:tcPr>
          <w:p>
            <w:pPr>
              <w:spacing w:after="0"/>
              <w:rPr>
                <w:sz w:val="14"/>
                <w:szCs w:val="14"/>
                <w:color w:val="auto"/>
              </w:rPr>
            </w:pPr>
          </w:p>
        </w:tc>
      </w:tr>
      <w:tr>
        <w:trPr>
          <w:trHeight w:val="20"/>
        </w:trPr>
        <w:tc>
          <w:tcPr>
            <w:tcW w:w="7440" w:type="dxa"/>
            <w:vAlign w:val="bottom"/>
            <w:tcBorders>
              <w:top w:val="single" w:sz="8" w:color="CFF0FC"/>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r>
      <w:tr>
        <w:trPr>
          <w:trHeight w:val="156"/>
        </w:trPr>
        <w:tc>
          <w:tcPr>
            <w:tcW w:w="74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20" w:type="dxa"/>
            <w:vAlign w:val="bottom"/>
          </w:tcPr>
          <w:p>
            <w:pPr>
              <w:spacing w:after="0"/>
              <w:rPr>
                <w:sz w:val="13"/>
                <w:szCs w:val="13"/>
                <w:color w:val="auto"/>
              </w:rPr>
            </w:pPr>
          </w:p>
        </w:tc>
      </w:tr>
      <w:tr>
        <w:trPr>
          <w:trHeight w:val="176"/>
        </w:trPr>
        <w:tc>
          <w:tcPr>
            <w:tcW w:w="7440" w:type="dxa"/>
            <w:vAlign w:val="bottom"/>
            <w:shd w:val="clear" w:color="auto" w:fill="CFF0FC"/>
          </w:tcPr>
          <w:p>
            <w:pPr>
              <w:spacing w:after="0"/>
              <w:rPr>
                <w:sz w:val="20"/>
                <w:szCs w:val="20"/>
                <w:color w:val="auto"/>
              </w:rPr>
            </w:pPr>
            <w:r>
              <w:rPr>
                <w:rFonts w:ascii="Arial" w:cs="Arial" w:eastAsia="Arial" w:hAnsi="Arial"/>
                <w:sz w:val="15"/>
                <w:szCs w:val="15"/>
                <w:color w:val="auto"/>
              </w:rPr>
              <w:t>Reconciliation of cash, cash equivalents, and restricted cash to the consolidated balance sheets</w:t>
            </w:r>
          </w:p>
        </w:tc>
        <w:tc>
          <w:tcPr>
            <w:tcW w:w="240" w:type="dxa"/>
            <w:vAlign w:val="bottom"/>
            <w:shd w:val="clear" w:color="auto" w:fill="CFF0FC"/>
          </w:tcPr>
          <w:p>
            <w:pPr>
              <w:spacing w:after="0"/>
              <w:rPr>
                <w:sz w:val="15"/>
                <w:szCs w:val="15"/>
                <w:color w:val="auto"/>
              </w:rPr>
            </w:pPr>
          </w:p>
        </w:tc>
        <w:tc>
          <w:tcPr>
            <w:tcW w:w="90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92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88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r>
      <w:tr>
        <w:trPr>
          <w:trHeight w:val="176"/>
        </w:trPr>
        <w:tc>
          <w:tcPr>
            <w:tcW w:w="7440" w:type="dxa"/>
            <w:vAlign w:val="bottom"/>
          </w:tcPr>
          <w:p>
            <w:pPr>
              <w:spacing w:after="0"/>
              <w:rPr>
                <w:sz w:val="20"/>
                <w:szCs w:val="20"/>
                <w:color w:val="auto"/>
              </w:rPr>
            </w:pPr>
            <w:r>
              <w:rPr>
                <w:rFonts w:ascii="Arial" w:cs="Arial" w:eastAsia="Arial" w:hAnsi="Arial"/>
                <w:sz w:val="15"/>
                <w:szCs w:val="15"/>
                <w:color w:val="auto"/>
              </w:rPr>
              <w:t>Cash and cash equivalents at end of period</w:t>
            </w:r>
          </w:p>
        </w:tc>
        <w:tc>
          <w:tcPr>
            <w:tcW w:w="240" w:type="dxa"/>
            <w:vAlign w:val="bottom"/>
          </w:tcPr>
          <w:p>
            <w:pPr>
              <w:jc w:val="right"/>
              <w:ind w:right="83"/>
              <w:spacing w:after="0"/>
              <w:rPr>
                <w:sz w:val="20"/>
                <w:szCs w:val="20"/>
                <w:color w:val="auto"/>
              </w:rPr>
            </w:pPr>
            <w:r>
              <w:rPr>
                <w:rFonts w:ascii="Arial" w:cs="Arial" w:eastAsia="Arial" w:hAnsi="Arial"/>
                <w:sz w:val="15"/>
                <w:szCs w:val="15"/>
                <w:color w:val="auto"/>
                <w:w w:val="71"/>
              </w:rPr>
              <w:t>$</w:t>
            </w:r>
          </w:p>
        </w:tc>
        <w:tc>
          <w:tcPr>
            <w:tcW w:w="900" w:type="dxa"/>
            <w:vAlign w:val="bottom"/>
          </w:tcPr>
          <w:p>
            <w:pPr>
              <w:jc w:val="right"/>
              <w:spacing w:after="0"/>
              <w:rPr>
                <w:sz w:val="20"/>
                <w:szCs w:val="20"/>
                <w:color w:val="auto"/>
              </w:rPr>
            </w:pPr>
            <w:r>
              <w:rPr>
                <w:rFonts w:ascii="Arial" w:cs="Arial" w:eastAsia="Arial" w:hAnsi="Arial"/>
                <w:sz w:val="15"/>
                <w:szCs w:val="15"/>
                <w:color w:val="auto"/>
              </w:rPr>
              <w:t>120,232</w:t>
            </w:r>
          </w:p>
        </w:tc>
        <w:tc>
          <w:tcPr>
            <w:tcW w:w="120" w:type="dxa"/>
            <w:vAlign w:val="bottom"/>
          </w:tcPr>
          <w:p>
            <w:pPr>
              <w:spacing w:after="0"/>
              <w:rPr>
                <w:sz w:val="15"/>
                <w:szCs w:val="15"/>
                <w:color w:val="auto"/>
              </w:rPr>
            </w:pPr>
          </w:p>
        </w:tc>
        <w:tc>
          <w:tcPr>
            <w:tcW w:w="320" w:type="dxa"/>
            <w:vAlign w:val="bottom"/>
            <w:gridSpan w:val="2"/>
          </w:tcPr>
          <w:p>
            <w:pPr>
              <w:jc w:val="right"/>
              <w:ind w:right="140"/>
              <w:spacing w:after="0"/>
              <w:rPr>
                <w:sz w:val="20"/>
                <w:szCs w:val="20"/>
                <w:color w:val="auto"/>
              </w:rPr>
            </w:pPr>
            <w:r>
              <w:rPr>
                <w:rFonts w:ascii="Arial" w:cs="Arial" w:eastAsia="Arial" w:hAnsi="Arial"/>
                <w:sz w:val="15"/>
                <w:szCs w:val="15"/>
                <w:color w:val="auto"/>
              </w:rPr>
              <w:t>$</w:t>
            </w:r>
          </w:p>
        </w:tc>
        <w:tc>
          <w:tcPr>
            <w:tcW w:w="920" w:type="dxa"/>
            <w:vAlign w:val="bottom"/>
          </w:tcPr>
          <w:p>
            <w:pPr>
              <w:jc w:val="right"/>
              <w:spacing w:after="0"/>
              <w:rPr>
                <w:sz w:val="20"/>
                <w:szCs w:val="20"/>
                <w:color w:val="auto"/>
              </w:rPr>
            </w:pPr>
            <w:r>
              <w:rPr>
                <w:rFonts w:ascii="Arial" w:cs="Arial" w:eastAsia="Arial" w:hAnsi="Arial"/>
                <w:sz w:val="15"/>
                <w:szCs w:val="15"/>
                <w:color w:val="auto"/>
              </w:rPr>
              <w:t>46,181</w:t>
            </w:r>
          </w:p>
        </w:tc>
        <w:tc>
          <w:tcPr>
            <w:tcW w:w="120" w:type="dxa"/>
            <w:vAlign w:val="bottom"/>
          </w:tcPr>
          <w:p>
            <w:pPr>
              <w:spacing w:after="0"/>
              <w:rPr>
                <w:sz w:val="15"/>
                <w:szCs w:val="15"/>
                <w:color w:val="auto"/>
              </w:rPr>
            </w:pPr>
          </w:p>
        </w:tc>
        <w:tc>
          <w:tcPr>
            <w:tcW w:w="360" w:type="dxa"/>
            <w:vAlign w:val="bottom"/>
            <w:gridSpan w:val="2"/>
          </w:tcPr>
          <w:p>
            <w:pPr>
              <w:jc w:val="right"/>
              <w:ind w:right="180"/>
              <w:spacing w:after="0"/>
              <w:rPr>
                <w:sz w:val="20"/>
                <w:szCs w:val="20"/>
                <w:color w:val="auto"/>
              </w:rPr>
            </w:pPr>
            <w:r>
              <w:rPr>
                <w:rFonts w:ascii="Arial" w:cs="Arial" w:eastAsia="Arial" w:hAnsi="Arial"/>
                <w:sz w:val="15"/>
                <w:szCs w:val="15"/>
                <w:color w:val="auto"/>
              </w:rPr>
              <w:t>$</w:t>
            </w:r>
          </w:p>
        </w:tc>
        <w:tc>
          <w:tcPr>
            <w:tcW w:w="880" w:type="dxa"/>
            <w:vAlign w:val="bottom"/>
          </w:tcPr>
          <w:p>
            <w:pPr>
              <w:jc w:val="right"/>
              <w:spacing w:after="0"/>
              <w:rPr>
                <w:sz w:val="20"/>
                <w:szCs w:val="20"/>
                <w:color w:val="auto"/>
              </w:rPr>
            </w:pPr>
            <w:r>
              <w:rPr>
                <w:rFonts w:ascii="Arial" w:cs="Arial" w:eastAsia="Arial" w:hAnsi="Arial"/>
                <w:sz w:val="15"/>
                <w:szCs w:val="15"/>
                <w:color w:val="auto"/>
              </w:rPr>
              <w:t>31,104</w:t>
            </w:r>
          </w:p>
        </w:tc>
        <w:tc>
          <w:tcPr>
            <w:tcW w:w="120" w:type="dxa"/>
            <w:vAlign w:val="bottom"/>
          </w:tcPr>
          <w:p>
            <w:pPr>
              <w:spacing w:after="0"/>
              <w:rPr>
                <w:sz w:val="15"/>
                <w:szCs w:val="15"/>
                <w:color w:val="auto"/>
              </w:rPr>
            </w:pPr>
          </w:p>
        </w:tc>
      </w:tr>
      <w:tr>
        <w:trPr>
          <w:trHeight w:val="176"/>
        </w:trPr>
        <w:tc>
          <w:tcPr>
            <w:tcW w:w="7440" w:type="dxa"/>
            <w:vAlign w:val="bottom"/>
            <w:shd w:val="clear" w:color="auto" w:fill="CFF0FC"/>
          </w:tcPr>
          <w:p>
            <w:pPr>
              <w:spacing w:after="0"/>
              <w:rPr>
                <w:sz w:val="20"/>
                <w:szCs w:val="20"/>
                <w:color w:val="auto"/>
              </w:rPr>
            </w:pPr>
            <w:r>
              <w:rPr>
                <w:rFonts w:ascii="Arial" w:cs="Arial" w:eastAsia="Arial" w:hAnsi="Arial"/>
                <w:sz w:val="15"/>
                <w:szCs w:val="15"/>
                <w:color w:val="auto"/>
              </w:rPr>
              <w:t>Restricted cash included within prepaid expenses and other current assets at end of period</w:t>
            </w:r>
          </w:p>
        </w:tc>
        <w:tc>
          <w:tcPr>
            <w:tcW w:w="240" w:type="dxa"/>
            <w:vAlign w:val="bottom"/>
            <w:shd w:val="clear" w:color="auto" w:fill="CFF0FC"/>
          </w:tcPr>
          <w:p>
            <w:pPr>
              <w:spacing w:after="0"/>
              <w:rPr>
                <w:sz w:val="15"/>
                <w:szCs w:val="15"/>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5"/>
                <w:szCs w:val="15"/>
                <w:color w:val="auto"/>
              </w:rPr>
              <w:t>20</w:t>
            </w:r>
          </w:p>
        </w:tc>
        <w:tc>
          <w:tcPr>
            <w:tcW w:w="12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1040" w:type="dxa"/>
            <w:vAlign w:val="bottom"/>
            <w:gridSpan w:val="2"/>
            <w:shd w:val="clear" w:color="auto" w:fill="CFF0FC"/>
          </w:tcPr>
          <w:p>
            <w:pPr>
              <w:jc w:val="right"/>
              <w:ind w:right="140"/>
              <w:spacing w:after="0"/>
              <w:rPr>
                <w:sz w:val="20"/>
                <w:szCs w:val="20"/>
                <w:color w:val="auto"/>
              </w:rPr>
            </w:pPr>
            <w:r>
              <w:rPr>
                <w:rFonts w:ascii="Arial" w:cs="Arial" w:eastAsia="Arial" w:hAnsi="Arial"/>
                <w:sz w:val="15"/>
                <w:szCs w:val="15"/>
                <w:color w:val="auto"/>
              </w:rPr>
              <w:t>—</w:t>
            </w:r>
          </w:p>
        </w:tc>
        <w:tc>
          <w:tcPr>
            <w:tcW w:w="10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5"/>
                <w:szCs w:val="15"/>
                <w:color w:val="auto"/>
              </w:rPr>
              <w:t>400</w:t>
            </w:r>
          </w:p>
        </w:tc>
        <w:tc>
          <w:tcPr>
            <w:tcW w:w="120" w:type="dxa"/>
            <w:vAlign w:val="bottom"/>
            <w:shd w:val="clear" w:color="auto" w:fill="CFF0FC"/>
          </w:tcPr>
          <w:p>
            <w:pPr>
              <w:spacing w:after="0"/>
              <w:rPr>
                <w:sz w:val="15"/>
                <w:szCs w:val="15"/>
                <w:color w:val="auto"/>
              </w:rPr>
            </w:pPr>
          </w:p>
        </w:tc>
      </w:tr>
      <w:tr>
        <w:trPr>
          <w:trHeight w:val="176"/>
        </w:trPr>
        <w:tc>
          <w:tcPr>
            <w:tcW w:w="7440" w:type="dxa"/>
            <w:vAlign w:val="bottom"/>
          </w:tcPr>
          <w:p>
            <w:pPr>
              <w:spacing w:after="0"/>
              <w:rPr>
                <w:sz w:val="20"/>
                <w:szCs w:val="20"/>
                <w:color w:val="auto"/>
              </w:rPr>
            </w:pPr>
            <w:r>
              <w:rPr>
                <w:rFonts w:ascii="Arial" w:cs="Arial" w:eastAsia="Arial" w:hAnsi="Arial"/>
                <w:sz w:val="15"/>
                <w:szCs w:val="15"/>
                <w:color w:val="auto"/>
              </w:rPr>
              <w:t>Restricted cash included within other assets at end of period</w:t>
            </w:r>
          </w:p>
        </w:tc>
        <w:tc>
          <w:tcPr>
            <w:tcW w:w="24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Arial" w:cs="Arial" w:eastAsia="Arial" w:hAnsi="Arial"/>
                <w:sz w:val="15"/>
                <w:szCs w:val="15"/>
                <w:color w:val="auto"/>
              </w:rPr>
              <w:t>250</w:t>
            </w: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Arial" w:cs="Arial" w:eastAsia="Arial" w:hAnsi="Arial"/>
                <w:sz w:val="15"/>
                <w:szCs w:val="15"/>
                <w:color w:val="auto"/>
              </w:rPr>
              <w:t>274</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5"/>
                <w:szCs w:val="15"/>
                <w:color w:val="auto"/>
              </w:rPr>
              <w:t>—</w:t>
            </w:r>
          </w:p>
        </w:tc>
      </w:tr>
      <w:tr>
        <w:trPr>
          <w:trHeight w:val="166"/>
        </w:trPr>
        <w:tc>
          <w:tcPr>
            <w:tcW w:w="7440" w:type="dxa"/>
            <w:vAlign w:val="bottom"/>
            <w:tcBorders>
              <w:top w:val="single" w:sz="8" w:color="CFF0FC"/>
            </w:tcBorders>
            <w:shd w:val="clear" w:color="auto" w:fill="CFF0FC"/>
          </w:tcPr>
          <w:p>
            <w:pPr>
              <w:spacing w:after="0" w:line="166" w:lineRule="exact"/>
              <w:rPr>
                <w:sz w:val="20"/>
                <w:szCs w:val="20"/>
                <w:color w:val="auto"/>
              </w:rPr>
            </w:pPr>
            <w:r>
              <w:rPr>
                <w:rFonts w:ascii="Arial" w:cs="Arial" w:eastAsia="Arial" w:hAnsi="Arial"/>
                <w:sz w:val="15"/>
                <w:szCs w:val="15"/>
                <w:color w:val="auto"/>
              </w:rPr>
              <w:t>Total cash, cash equivalents, and restricted cash at end of period shown in the consolidated statements of</w:t>
            </w:r>
          </w:p>
        </w:tc>
        <w:tc>
          <w:tcPr>
            <w:tcW w:w="240" w:type="dxa"/>
            <w:vAlign w:val="bottom"/>
            <w:tcBorders>
              <w:top w:val="single" w:sz="8" w:color="auto"/>
            </w:tcBorders>
            <w:shd w:val="clear" w:color="auto" w:fill="CFF0FC"/>
          </w:tcPr>
          <w:p>
            <w:pPr>
              <w:spacing w:after="0"/>
              <w:rPr>
                <w:sz w:val="14"/>
                <w:szCs w:val="14"/>
                <w:color w:val="auto"/>
              </w:rPr>
            </w:pPr>
          </w:p>
        </w:tc>
        <w:tc>
          <w:tcPr>
            <w:tcW w:w="900" w:type="dxa"/>
            <w:vAlign w:val="bottom"/>
            <w:tcBorders>
              <w:top w:val="single" w:sz="8" w:color="auto"/>
            </w:tcBorders>
            <w:shd w:val="clear" w:color="auto" w:fill="CFF0FC"/>
          </w:tcPr>
          <w:p>
            <w:pPr>
              <w:spacing w:after="0"/>
              <w:rPr>
                <w:sz w:val="14"/>
                <w:szCs w:val="14"/>
                <w:color w:val="auto"/>
              </w:rPr>
            </w:pPr>
          </w:p>
        </w:tc>
        <w:tc>
          <w:tcPr>
            <w:tcW w:w="120" w:type="dxa"/>
            <w:vAlign w:val="bottom"/>
            <w:tcBorders>
              <w:top w:val="single" w:sz="8" w:color="CFF0FC"/>
            </w:tcBorders>
            <w:shd w:val="clear" w:color="auto" w:fill="CFF0FC"/>
          </w:tcPr>
          <w:p>
            <w:pPr>
              <w:spacing w:after="0"/>
              <w:rPr>
                <w:sz w:val="14"/>
                <w:szCs w:val="14"/>
                <w:color w:val="auto"/>
              </w:rPr>
            </w:pPr>
          </w:p>
        </w:tc>
        <w:tc>
          <w:tcPr>
            <w:tcW w:w="80" w:type="dxa"/>
            <w:vAlign w:val="bottom"/>
            <w:tcBorders>
              <w:top w:val="single" w:sz="8" w:color="CFF0FC"/>
            </w:tcBorders>
            <w:shd w:val="clear" w:color="auto" w:fill="CFF0FC"/>
          </w:tcPr>
          <w:p>
            <w:pPr>
              <w:spacing w:after="0"/>
              <w:rPr>
                <w:sz w:val="14"/>
                <w:szCs w:val="14"/>
                <w:color w:val="auto"/>
              </w:rPr>
            </w:pPr>
          </w:p>
        </w:tc>
        <w:tc>
          <w:tcPr>
            <w:tcW w:w="240" w:type="dxa"/>
            <w:vAlign w:val="bottom"/>
            <w:tcBorders>
              <w:top w:val="single" w:sz="8" w:color="auto"/>
            </w:tcBorders>
            <w:shd w:val="clear" w:color="auto" w:fill="CFF0FC"/>
          </w:tcPr>
          <w:p>
            <w:pPr>
              <w:spacing w:after="0"/>
              <w:rPr>
                <w:sz w:val="14"/>
                <w:szCs w:val="14"/>
                <w:color w:val="auto"/>
              </w:rPr>
            </w:pPr>
          </w:p>
        </w:tc>
        <w:tc>
          <w:tcPr>
            <w:tcW w:w="920" w:type="dxa"/>
            <w:vAlign w:val="bottom"/>
            <w:tcBorders>
              <w:top w:val="single" w:sz="8" w:color="auto"/>
            </w:tcBorders>
            <w:shd w:val="clear" w:color="auto" w:fill="CFF0FC"/>
          </w:tcPr>
          <w:p>
            <w:pPr>
              <w:spacing w:after="0"/>
              <w:rPr>
                <w:sz w:val="14"/>
                <w:szCs w:val="14"/>
                <w:color w:val="auto"/>
              </w:rPr>
            </w:pPr>
          </w:p>
        </w:tc>
        <w:tc>
          <w:tcPr>
            <w:tcW w:w="120" w:type="dxa"/>
            <w:vAlign w:val="bottom"/>
            <w:tcBorders>
              <w:top w:val="single" w:sz="8" w:color="CFF0FC"/>
            </w:tcBorders>
            <w:shd w:val="clear" w:color="auto" w:fill="CFF0FC"/>
          </w:tcPr>
          <w:p>
            <w:pPr>
              <w:spacing w:after="0"/>
              <w:rPr>
                <w:sz w:val="14"/>
                <w:szCs w:val="14"/>
                <w:color w:val="auto"/>
              </w:rPr>
            </w:pPr>
          </w:p>
        </w:tc>
        <w:tc>
          <w:tcPr>
            <w:tcW w:w="100" w:type="dxa"/>
            <w:vAlign w:val="bottom"/>
            <w:tcBorders>
              <w:top w:val="single" w:sz="8" w:color="CFF0FC"/>
            </w:tcBorders>
            <w:shd w:val="clear" w:color="auto" w:fill="CFF0FC"/>
          </w:tcPr>
          <w:p>
            <w:pPr>
              <w:spacing w:after="0"/>
              <w:rPr>
                <w:sz w:val="14"/>
                <w:szCs w:val="14"/>
                <w:color w:val="auto"/>
              </w:rPr>
            </w:pPr>
          </w:p>
        </w:tc>
        <w:tc>
          <w:tcPr>
            <w:tcW w:w="260" w:type="dxa"/>
            <w:vAlign w:val="bottom"/>
            <w:tcBorders>
              <w:top w:val="single" w:sz="8" w:color="auto"/>
            </w:tcBorders>
            <w:shd w:val="clear" w:color="auto" w:fill="CFF0FC"/>
          </w:tcPr>
          <w:p>
            <w:pPr>
              <w:spacing w:after="0"/>
              <w:rPr>
                <w:sz w:val="14"/>
                <w:szCs w:val="14"/>
                <w:color w:val="auto"/>
              </w:rPr>
            </w:pPr>
          </w:p>
        </w:tc>
        <w:tc>
          <w:tcPr>
            <w:tcW w:w="880" w:type="dxa"/>
            <w:vAlign w:val="bottom"/>
            <w:tcBorders>
              <w:top w:val="single" w:sz="8" w:color="auto"/>
            </w:tcBorders>
            <w:shd w:val="clear" w:color="auto" w:fill="CFF0FC"/>
          </w:tcPr>
          <w:p>
            <w:pPr>
              <w:spacing w:after="0"/>
              <w:rPr>
                <w:sz w:val="14"/>
                <w:szCs w:val="14"/>
                <w:color w:val="auto"/>
              </w:rPr>
            </w:pPr>
          </w:p>
        </w:tc>
        <w:tc>
          <w:tcPr>
            <w:tcW w:w="120" w:type="dxa"/>
            <w:vAlign w:val="bottom"/>
            <w:tcBorders>
              <w:top w:val="single" w:sz="8" w:color="CFF0FC"/>
            </w:tcBorders>
            <w:shd w:val="clear" w:color="auto" w:fill="CFF0FC"/>
          </w:tcPr>
          <w:p>
            <w:pPr>
              <w:spacing w:after="0"/>
              <w:rPr>
                <w:sz w:val="14"/>
                <w:szCs w:val="14"/>
                <w:color w:val="auto"/>
              </w:rPr>
            </w:pPr>
          </w:p>
        </w:tc>
      </w:tr>
      <w:tr>
        <w:trPr>
          <w:trHeight w:val="165"/>
        </w:trPr>
        <w:tc>
          <w:tcPr>
            <w:tcW w:w="7440" w:type="dxa"/>
            <w:vAlign w:val="bottom"/>
            <w:shd w:val="clear" w:color="auto" w:fill="CFF0FC"/>
          </w:tcPr>
          <w:p>
            <w:pPr>
              <w:spacing w:after="0" w:line="166" w:lineRule="exact"/>
              <w:rPr>
                <w:sz w:val="20"/>
                <w:szCs w:val="20"/>
                <w:color w:val="auto"/>
              </w:rPr>
            </w:pPr>
            <w:r>
              <w:rPr>
                <w:rFonts w:ascii="Arial" w:cs="Arial" w:eastAsia="Arial" w:hAnsi="Arial"/>
                <w:sz w:val="15"/>
                <w:szCs w:val="15"/>
                <w:color w:val="auto"/>
              </w:rPr>
              <w:t>cash flows</w:t>
            </w:r>
          </w:p>
        </w:tc>
        <w:tc>
          <w:tcPr>
            <w:tcW w:w="240" w:type="dxa"/>
            <w:vAlign w:val="bottom"/>
            <w:shd w:val="clear" w:color="auto" w:fill="CFF0FC"/>
          </w:tcPr>
          <w:p>
            <w:pPr>
              <w:jc w:val="right"/>
              <w:ind w:right="83"/>
              <w:spacing w:after="0" w:line="166" w:lineRule="exact"/>
              <w:rPr>
                <w:sz w:val="20"/>
                <w:szCs w:val="20"/>
                <w:color w:val="auto"/>
              </w:rPr>
            </w:pPr>
            <w:r>
              <w:rPr>
                <w:rFonts w:ascii="Arial" w:cs="Arial" w:eastAsia="Arial" w:hAnsi="Arial"/>
                <w:sz w:val="15"/>
                <w:szCs w:val="15"/>
                <w:color w:val="auto"/>
                <w:w w:val="71"/>
              </w:rPr>
              <w:t>$</w:t>
            </w:r>
          </w:p>
        </w:tc>
        <w:tc>
          <w:tcPr>
            <w:tcW w:w="900" w:type="dxa"/>
            <w:vAlign w:val="bottom"/>
            <w:shd w:val="clear" w:color="auto" w:fill="CFF0FC"/>
          </w:tcPr>
          <w:p>
            <w:pPr>
              <w:jc w:val="right"/>
              <w:spacing w:after="0" w:line="166" w:lineRule="exact"/>
              <w:rPr>
                <w:sz w:val="20"/>
                <w:szCs w:val="20"/>
                <w:color w:val="auto"/>
              </w:rPr>
            </w:pPr>
            <w:r>
              <w:rPr>
                <w:rFonts w:ascii="Arial" w:cs="Arial" w:eastAsia="Arial" w:hAnsi="Arial"/>
                <w:sz w:val="15"/>
                <w:szCs w:val="15"/>
                <w:color w:val="auto"/>
              </w:rPr>
              <w:t>120,502</w:t>
            </w:r>
          </w:p>
        </w:tc>
        <w:tc>
          <w:tcPr>
            <w:tcW w:w="120" w:type="dxa"/>
            <w:vAlign w:val="bottom"/>
            <w:shd w:val="clear" w:color="auto" w:fill="CFF0FC"/>
          </w:tcPr>
          <w:p>
            <w:pPr>
              <w:spacing w:after="0"/>
              <w:rPr>
                <w:sz w:val="14"/>
                <w:szCs w:val="14"/>
                <w:color w:val="auto"/>
              </w:rPr>
            </w:pPr>
          </w:p>
        </w:tc>
        <w:tc>
          <w:tcPr>
            <w:tcW w:w="320" w:type="dxa"/>
            <w:vAlign w:val="bottom"/>
            <w:gridSpan w:val="2"/>
            <w:shd w:val="clear" w:color="auto" w:fill="CFF0FC"/>
          </w:tcPr>
          <w:p>
            <w:pPr>
              <w:jc w:val="right"/>
              <w:ind w:right="140"/>
              <w:spacing w:after="0" w:line="166" w:lineRule="exact"/>
              <w:rPr>
                <w:sz w:val="20"/>
                <w:szCs w:val="20"/>
                <w:color w:val="auto"/>
              </w:rPr>
            </w:pPr>
            <w:r>
              <w:rPr>
                <w:rFonts w:ascii="Arial" w:cs="Arial" w:eastAsia="Arial" w:hAnsi="Arial"/>
                <w:sz w:val="15"/>
                <w:szCs w:val="15"/>
                <w:color w:val="auto"/>
              </w:rPr>
              <w:t>$</w:t>
            </w:r>
          </w:p>
        </w:tc>
        <w:tc>
          <w:tcPr>
            <w:tcW w:w="920" w:type="dxa"/>
            <w:vAlign w:val="bottom"/>
            <w:shd w:val="clear" w:color="auto" w:fill="CFF0FC"/>
          </w:tcPr>
          <w:p>
            <w:pPr>
              <w:jc w:val="right"/>
              <w:spacing w:after="0" w:line="166" w:lineRule="exact"/>
              <w:rPr>
                <w:sz w:val="20"/>
                <w:szCs w:val="20"/>
                <w:color w:val="auto"/>
              </w:rPr>
            </w:pPr>
            <w:r>
              <w:rPr>
                <w:rFonts w:ascii="Arial" w:cs="Arial" w:eastAsia="Arial" w:hAnsi="Arial"/>
                <w:sz w:val="15"/>
                <w:szCs w:val="15"/>
                <w:color w:val="auto"/>
              </w:rPr>
              <w:t>46,455</w:t>
            </w:r>
          </w:p>
        </w:tc>
        <w:tc>
          <w:tcPr>
            <w:tcW w:w="120" w:type="dxa"/>
            <w:vAlign w:val="bottom"/>
            <w:shd w:val="clear" w:color="auto" w:fill="CFF0FC"/>
          </w:tcPr>
          <w:p>
            <w:pPr>
              <w:spacing w:after="0"/>
              <w:rPr>
                <w:sz w:val="14"/>
                <w:szCs w:val="14"/>
                <w:color w:val="auto"/>
              </w:rPr>
            </w:pPr>
          </w:p>
        </w:tc>
        <w:tc>
          <w:tcPr>
            <w:tcW w:w="360" w:type="dxa"/>
            <w:vAlign w:val="bottom"/>
            <w:gridSpan w:val="2"/>
            <w:shd w:val="clear" w:color="auto" w:fill="CFF0FC"/>
          </w:tcPr>
          <w:p>
            <w:pPr>
              <w:jc w:val="right"/>
              <w:ind w:right="180"/>
              <w:spacing w:after="0" w:line="166" w:lineRule="exact"/>
              <w:rPr>
                <w:sz w:val="20"/>
                <w:szCs w:val="20"/>
                <w:color w:val="auto"/>
              </w:rPr>
            </w:pPr>
            <w:r>
              <w:rPr>
                <w:rFonts w:ascii="Arial" w:cs="Arial" w:eastAsia="Arial" w:hAnsi="Arial"/>
                <w:sz w:val="15"/>
                <w:szCs w:val="15"/>
                <w:color w:val="auto"/>
              </w:rPr>
              <w:t>$</w:t>
            </w:r>
          </w:p>
        </w:tc>
        <w:tc>
          <w:tcPr>
            <w:tcW w:w="880" w:type="dxa"/>
            <w:vAlign w:val="bottom"/>
            <w:shd w:val="clear" w:color="auto" w:fill="CFF0FC"/>
          </w:tcPr>
          <w:p>
            <w:pPr>
              <w:jc w:val="right"/>
              <w:spacing w:after="0" w:line="166" w:lineRule="exact"/>
              <w:rPr>
                <w:sz w:val="20"/>
                <w:szCs w:val="20"/>
                <w:color w:val="auto"/>
              </w:rPr>
            </w:pPr>
            <w:r>
              <w:rPr>
                <w:rFonts w:ascii="Arial" w:cs="Arial" w:eastAsia="Arial" w:hAnsi="Arial"/>
                <w:sz w:val="15"/>
                <w:szCs w:val="15"/>
                <w:color w:val="auto"/>
              </w:rPr>
              <w:t>31,504</w:t>
            </w:r>
          </w:p>
        </w:tc>
        <w:tc>
          <w:tcPr>
            <w:tcW w:w="120" w:type="dxa"/>
            <w:vAlign w:val="bottom"/>
            <w:shd w:val="clear" w:color="auto" w:fill="CFF0FC"/>
          </w:tcPr>
          <w:p>
            <w:pPr>
              <w:spacing w:after="0"/>
              <w:rPr>
                <w:sz w:val="14"/>
                <w:szCs w:val="14"/>
                <w:color w:val="auto"/>
              </w:rPr>
            </w:pPr>
          </w:p>
        </w:tc>
      </w:tr>
      <w:tr>
        <w:trPr>
          <w:trHeight w:val="20"/>
        </w:trPr>
        <w:tc>
          <w:tcPr>
            <w:tcW w:w="7440" w:type="dxa"/>
            <w:vAlign w:val="bottom"/>
            <w:tcBorders>
              <w:top w:val="single" w:sz="8" w:color="CFF0FC"/>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r>
    </w:tbl>
    <w:p>
      <w:pPr>
        <w:spacing w:after="0" w:line="2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272020"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333" w:right="239" w:bottom="1440" w:gutter="0" w:footer="0" w:header="0"/>
        </w:sectPr>
      </w:pPr>
    </w:p>
    <w:bookmarkStart w:id="61" w:name="page62"/>
    <w:bookmarkEnd w:id="61"/>
    <w:p>
      <w:pPr>
        <w:jc w:val="center"/>
        <w:spacing w:after="0"/>
        <w:rPr>
          <w:sz w:val="20"/>
          <w:szCs w:val="20"/>
          <w:color w:val="auto"/>
        </w:rPr>
      </w:pPr>
      <w:r>
        <w:rPr>
          <w:rFonts w:ascii="Arial" w:cs="Arial" w:eastAsia="Arial" w:hAnsi="Arial"/>
          <w:sz w:val="18"/>
          <w:szCs w:val="18"/>
          <w:b w:val="1"/>
          <w:bCs w:val="1"/>
          <w:color w:val="auto"/>
        </w:rPr>
        <w:t>BLACKLINE, INC.</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jc w:val="center"/>
        <w:spacing w:after="0" w:line="234" w:lineRule="auto"/>
        <w:rPr>
          <w:sz w:val="20"/>
          <w:szCs w:val="20"/>
          <w:color w:val="auto"/>
        </w:rPr>
      </w:pPr>
      <w:r>
        <w:rPr>
          <w:rFonts w:ascii="Arial" w:cs="Arial" w:eastAsia="Arial" w:hAnsi="Arial"/>
          <w:sz w:val="18"/>
          <w:szCs w:val="18"/>
          <w:b w:val="1"/>
          <w:bCs w:val="1"/>
          <w:color w:val="auto"/>
        </w:rPr>
        <w:t>SUPPLEMENTAL CASH FLOW DISCLOSURE</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245"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7440" w:type="dxa"/>
            <w:vAlign w:val="bottom"/>
          </w:tcPr>
          <w:p>
            <w:pPr>
              <w:spacing w:after="0"/>
              <w:rPr>
                <w:sz w:val="15"/>
                <w:szCs w:val="15"/>
                <w:color w:val="auto"/>
              </w:rPr>
            </w:pPr>
          </w:p>
        </w:tc>
        <w:tc>
          <w:tcPr>
            <w:tcW w:w="740" w:type="dxa"/>
            <w:vAlign w:val="bottom"/>
            <w:tcBorders>
              <w:bottom w:val="single" w:sz="8" w:color="auto"/>
            </w:tcBorders>
          </w:tcPr>
          <w:p>
            <w:pPr>
              <w:spacing w:after="0"/>
              <w:rPr>
                <w:sz w:val="15"/>
                <w:szCs w:val="15"/>
                <w:color w:val="auto"/>
              </w:rPr>
            </w:pPr>
          </w:p>
        </w:tc>
        <w:tc>
          <w:tcPr>
            <w:tcW w:w="2240" w:type="dxa"/>
            <w:vAlign w:val="bottom"/>
            <w:tcBorders>
              <w:bottom w:val="single" w:sz="8" w:color="auto"/>
            </w:tcBorders>
            <w:gridSpan w:val="6"/>
          </w:tcPr>
          <w:p>
            <w:pPr>
              <w:jc w:val="right"/>
              <w:ind w:right="43"/>
              <w:spacing w:after="0"/>
              <w:rPr>
                <w:sz w:val="20"/>
                <w:szCs w:val="20"/>
                <w:color w:val="auto"/>
              </w:rPr>
            </w:pPr>
            <w:r>
              <w:rPr>
                <w:rFonts w:ascii="Arial" w:cs="Arial" w:eastAsia="Arial" w:hAnsi="Arial"/>
                <w:sz w:val="15"/>
                <w:szCs w:val="15"/>
                <w:b w:val="1"/>
                <w:bCs w:val="1"/>
                <w:color w:val="auto"/>
              </w:rPr>
              <w:t>Year Ended December 31,</w:t>
            </w:r>
          </w:p>
        </w:tc>
        <w:tc>
          <w:tcPr>
            <w:tcW w:w="88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7440" w:type="dxa"/>
            <w:vAlign w:val="bottom"/>
            <w:tcBorders>
              <w:bottom w:val="single" w:sz="8" w:color="CFF0FC"/>
            </w:tcBorders>
          </w:tcPr>
          <w:p>
            <w:pPr>
              <w:spacing w:after="0"/>
              <w:rPr>
                <w:sz w:val="14"/>
                <w:szCs w:val="14"/>
                <w:color w:val="auto"/>
              </w:rPr>
            </w:pPr>
          </w:p>
        </w:tc>
        <w:tc>
          <w:tcPr>
            <w:tcW w:w="740" w:type="dxa"/>
            <w:vAlign w:val="bottom"/>
            <w:tcBorders>
              <w:bottom w:val="single" w:sz="8" w:color="auto"/>
            </w:tcBorders>
          </w:tcPr>
          <w:p>
            <w:pPr>
              <w:jc w:val="right"/>
              <w:spacing w:after="0" w:line="169" w:lineRule="exact"/>
              <w:rPr>
                <w:sz w:val="20"/>
                <w:szCs w:val="20"/>
                <w:color w:val="auto"/>
              </w:rPr>
            </w:pPr>
            <w:r>
              <w:rPr>
                <w:rFonts w:ascii="Arial" w:cs="Arial" w:eastAsia="Arial" w:hAnsi="Arial"/>
                <w:sz w:val="15"/>
                <w:szCs w:val="15"/>
                <w:b w:val="1"/>
                <w:bCs w:val="1"/>
                <w:color w:val="auto"/>
              </w:rPr>
              <w:t>2019</w:t>
            </w:r>
          </w:p>
        </w:tc>
        <w:tc>
          <w:tcPr>
            <w:tcW w:w="400" w:type="dxa"/>
            <w:vAlign w:val="bottom"/>
            <w:tcBorders>
              <w:bottom w:val="single" w:sz="8" w:color="auto"/>
            </w:tcBorders>
          </w:tcPr>
          <w:p>
            <w:pPr>
              <w:spacing w:after="0"/>
              <w:rPr>
                <w:sz w:val="14"/>
                <w:szCs w:val="14"/>
                <w:color w:val="auto"/>
              </w:rPr>
            </w:pPr>
          </w:p>
        </w:tc>
        <w:tc>
          <w:tcPr>
            <w:tcW w:w="200" w:type="dxa"/>
            <w:vAlign w:val="bottom"/>
            <w:tcBorders>
              <w:bottom w:val="single" w:sz="8" w:color="CFF0FC"/>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ind w:right="343"/>
              <w:spacing w:after="0" w:line="169" w:lineRule="exact"/>
              <w:rPr>
                <w:sz w:val="20"/>
                <w:szCs w:val="20"/>
                <w:color w:val="auto"/>
              </w:rPr>
            </w:pPr>
            <w:r>
              <w:rPr>
                <w:rFonts w:ascii="Arial" w:cs="Arial" w:eastAsia="Arial" w:hAnsi="Arial"/>
                <w:sz w:val="15"/>
                <w:szCs w:val="15"/>
                <w:b w:val="1"/>
                <w:bCs w:val="1"/>
                <w:color w:val="auto"/>
              </w:rPr>
              <w:t>2018</w:t>
            </w:r>
          </w:p>
        </w:tc>
        <w:tc>
          <w:tcPr>
            <w:tcW w:w="220" w:type="dxa"/>
            <w:vAlign w:val="bottom"/>
            <w:tcBorders>
              <w:bottom w:val="single" w:sz="8" w:color="CFF0FC"/>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ind w:right="343"/>
              <w:spacing w:after="0" w:line="169" w:lineRule="exact"/>
              <w:rPr>
                <w:sz w:val="20"/>
                <w:szCs w:val="20"/>
                <w:color w:val="auto"/>
              </w:rPr>
            </w:pPr>
            <w:r>
              <w:rPr>
                <w:rFonts w:ascii="Arial" w:cs="Arial" w:eastAsia="Arial" w:hAnsi="Arial"/>
                <w:sz w:val="15"/>
                <w:szCs w:val="15"/>
                <w:b w:val="1"/>
                <w:bCs w:val="1"/>
                <w:color w:val="auto"/>
              </w:rPr>
              <w:t>2017</w:t>
            </w:r>
          </w:p>
        </w:tc>
        <w:tc>
          <w:tcPr>
            <w:tcW w:w="120" w:type="dxa"/>
            <w:vAlign w:val="bottom"/>
            <w:tcBorders>
              <w:bottom w:val="single" w:sz="8" w:color="CFF0FC"/>
            </w:tcBorders>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7440" w:type="dxa"/>
            <w:vAlign w:val="bottom"/>
            <w:shd w:val="clear" w:color="auto" w:fill="CFF0FC"/>
          </w:tcPr>
          <w:p>
            <w:pPr>
              <w:spacing w:after="0" w:line="169" w:lineRule="exact"/>
              <w:rPr>
                <w:sz w:val="20"/>
                <w:szCs w:val="20"/>
                <w:color w:val="auto"/>
              </w:rPr>
            </w:pPr>
            <w:r>
              <w:rPr>
                <w:rFonts w:ascii="Arial" w:cs="Arial" w:eastAsia="Arial" w:hAnsi="Arial"/>
                <w:sz w:val="15"/>
                <w:szCs w:val="15"/>
                <w:color w:val="auto"/>
              </w:rPr>
              <w:t>Supplemental disclosures of cash flow information</w:t>
            </w:r>
          </w:p>
        </w:tc>
        <w:tc>
          <w:tcPr>
            <w:tcW w:w="740" w:type="dxa"/>
            <w:vAlign w:val="bottom"/>
            <w:shd w:val="clear" w:color="auto" w:fill="CFF0FC"/>
          </w:tcPr>
          <w:p>
            <w:pPr>
              <w:spacing w:after="0"/>
              <w:rPr>
                <w:sz w:val="14"/>
                <w:szCs w:val="14"/>
                <w:color w:val="auto"/>
              </w:rPr>
            </w:pPr>
          </w:p>
        </w:tc>
        <w:tc>
          <w:tcPr>
            <w:tcW w:w="40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92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88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7440" w:type="dxa"/>
            <w:vAlign w:val="bottom"/>
            <w:tcBorders>
              <w:bottom w:val="single" w:sz="8" w:color="CFF0FC"/>
            </w:tcBorders>
          </w:tcPr>
          <w:p>
            <w:pPr>
              <w:ind w:left="260"/>
              <w:spacing w:after="0"/>
              <w:rPr>
                <w:sz w:val="20"/>
                <w:szCs w:val="20"/>
                <w:color w:val="auto"/>
              </w:rPr>
            </w:pPr>
            <w:r>
              <w:rPr>
                <w:rFonts w:ascii="Arial" w:cs="Arial" w:eastAsia="Arial" w:hAnsi="Arial"/>
                <w:sz w:val="15"/>
                <w:szCs w:val="15"/>
                <w:color w:val="auto"/>
              </w:rPr>
              <w:t>Cash paid for interest</w:t>
            </w:r>
          </w:p>
        </w:tc>
        <w:tc>
          <w:tcPr>
            <w:tcW w:w="740" w:type="dxa"/>
            <w:vAlign w:val="bottom"/>
            <w:tcBorders>
              <w:bottom w:val="single" w:sz="8" w:color="auto"/>
            </w:tcBorders>
          </w:tcPr>
          <w:p>
            <w:pPr>
              <w:jc w:val="right"/>
              <w:ind w:right="583"/>
              <w:spacing w:after="0"/>
              <w:rPr>
                <w:sz w:val="20"/>
                <w:szCs w:val="20"/>
                <w:color w:val="auto"/>
              </w:rPr>
            </w:pPr>
            <w:r>
              <w:rPr>
                <w:rFonts w:ascii="Arial" w:cs="Arial" w:eastAsia="Arial" w:hAnsi="Arial"/>
                <w:sz w:val="15"/>
                <w:szCs w:val="15"/>
                <w:color w:val="auto"/>
                <w:w w:val="71"/>
              </w:rPr>
              <w:t>$</w:t>
            </w: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w:t>
            </w:r>
          </w:p>
        </w:tc>
        <w:tc>
          <w:tcPr>
            <w:tcW w:w="200" w:type="dxa"/>
            <w:vAlign w:val="bottom"/>
            <w:tcBorders>
              <w:bottom w:val="single" w:sz="8" w:color="CFF0FC"/>
            </w:tcBorders>
          </w:tcPr>
          <w:p>
            <w:pPr>
              <w:spacing w:after="0"/>
              <w:rPr>
                <w:sz w:val="18"/>
                <w:szCs w:val="18"/>
                <w:color w:val="auto"/>
              </w:rPr>
            </w:pPr>
          </w:p>
        </w:tc>
        <w:tc>
          <w:tcPr>
            <w:tcW w:w="240" w:type="dxa"/>
            <w:vAlign w:val="bottom"/>
            <w:tcBorders>
              <w:bottom w:val="single" w:sz="8" w:color="auto"/>
            </w:tcBorders>
          </w:tcPr>
          <w:p>
            <w:pPr>
              <w:jc w:val="right"/>
              <w:ind w:right="63"/>
              <w:spacing w:after="0"/>
              <w:rPr>
                <w:sz w:val="20"/>
                <w:szCs w:val="20"/>
                <w:color w:val="auto"/>
              </w:rPr>
            </w:pPr>
            <w:r>
              <w:rPr>
                <w:rFonts w:ascii="Arial" w:cs="Arial" w:eastAsia="Arial" w:hAnsi="Arial"/>
                <w:sz w:val="15"/>
                <w:szCs w:val="15"/>
                <w:color w:val="auto"/>
                <w:w w:val="95"/>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w:t>
            </w:r>
          </w:p>
        </w:tc>
        <w:tc>
          <w:tcPr>
            <w:tcW w:w="220" w:type="dxa"/>
            <w:vAlign w:val="bottom"/>
            <w:tcBorders>
              <w:bottom w:val="single" w:sz="8" w:color="CFF0FC"/>
            </w:tcBorders>
          </w:tcPr>
          <w:p>
            <w:pPr>
              <w:spacing w:after="0"/>
              <w:rPr>
                <w:sz w:val="18"/>
                <w:szCs w:val="18"/>
                <w:color w:val="auto"/>
              </w:rPr>
            </w:pPr>
          </w:p>
        </w:tc>
        <w:tc>
          <w:tcPr>
            <w:tcW w:w="260" w:type="dxa"/>
            <w:vAlign w:val="bottom"/>
            <w:tcBorders>
              <w:bottom w:val="single" w:sz="8" w:color="auto"/>
            </w:tcBorders>
          </w:tcPr>
          <w:p>
            <w:pPr>
              <w:jc w:val="right"/>
              <w:ind w:right="103"/>
              <w:spacing w:after="0"/>
              <w:rPr>
                <w:sz w:val="20"/>
                <w:szCs w:val="20"/>
                <w:color w:val="auto"/>
              </w:rPr>
            </w:pPr>
            <w:r>
              <w:rPr>
                <w:rFonts w:ascii="Arial" w:cs="Arial" w:eastAsia="Arial" w:hAnsi="Arial"/>
                <w:sz w:val="15"/>
                <w:szCs w:val="15"/>
                <w:color w:val="auto"/>
                <w:w w:val="71"/>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8</w:t>
            </w:r>
          </w:p>
        </w:tc>
        <w:tc>
          <w:tcPr>
            <w:tcW w:w="120" w:type="dxa"/>
            <w:vAlign w:val="bottom"/>
            <w:tcBorders>
              <w:bottom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156"/>
        </w:trPr>
        <w:tc>
          <w:tcPr>
            <w:tcW w:w="7440" w:type="dxa"/>
            <w:vAlign w:val="bottom"/>
            <w:shd w:val="clear" w:color="auto" w:fill="CFF0FC"/>
          </w:tcPr>
          <w:p>
            <w:pPr>
              <w:ind w:left="260"/>
              <w:spacing w:after="0" w:line="156" w:lineRule="exact"/>
              <w:rPr>
                <w:sz w:val="20"/>
                <w:szCs w:val="20"/>
                <w:color w:val="auto"/>
              </w:rPr>
            </w:pPr>
            <w:r>
              <w:rPr>
                <w:rFonts w:ascii="Arial" w:cs="Arial" w:eastAsia="Arial" w:hAnsi="Arial"/>
                <w:sz w:val="15"/>
                <w:szCs w:val="15"/>
                <w:color w:val="auto"/>
              </w:rPr>
              <w:t>Cash paid for income taxes</w:t>
            </w:r>
          </w:p>
        </w:tc>
        <w:tc>
          <w:tcPr>
            <w:tcW w:w="740" w:type="dxa"/>
            <w:vAlign w:val="bottom"/>
            <w:shd w:val="clear" w:color="auto" w:fill="CFF0FC"/>
          </w:tcPr>
          <w:p>
            <w:pPr>
              <w:jc w:val="right"/>
              <w:ind w:right="583"/>
              <w:spacing w:after="0" w:line="156" w:lineRule="exact"/>
              <w:rPr>
                <w:sz w:val="20"/>
                <w:szCs w:val="20"/>
                <w:color w:val="auto"/>
              </w:rPr>
            </w:pPr>
            <w:r>
              <w:rPr>
                <w:rFonts w:ascii="Arial" w:cs="Arial" w:eastAsia="Arial" w:hAnsi="Arial"/>
                <w:sz w:val="15"/>
                <w:szCs w:val="15"/>
                <w:color w:val="auto"/>
                <w:w w:val="71"/>
              </w:rPr>
              <w:t>$</w:t>
            </w:r>
          </w:p>
        </w:tc>
        <w:tc>
          <w:tcPr>
            <w:tcW w:w="400" w:type="dxa"/>
            <w:vAlign w:val="bottom"/>
            <w:shd w:val="clear" w:color="auto" w:fill="CFF0FC"/>
          </w:tcPr>
          <w:p>
            <w:pPr>
              <w:jc w:val="right"/>
              <w:spacing w:after="0" w:line="156" w:lineRule="exact"/>
              <w:rPr>
                <w:sz w:val="20"/>
                <w:szCs w:val="20"/>
                <w:color w:val="auto"/>
              </w:rPr>
            </w:pPr>
            <w:r>
              <w:rPr>
                <w:rFonts w:ascii="Arial" w:cs="Arial" w:eastAsia="Arial" w:hAnsi="Arial"/>
                <w:sz w:val="15"/>
                <w:szCs w:val="15"/>
                <w:color w:val="auto"/>
                <w:w w:val="95"/>
              </w:rPr>
              <w:t>1,007</w:t>
            </w:r>
          </w:p>
        </w:tc>
        <w:tc>
          <w:tcPr>
            <w:tcW w:w="440" w:type="dxa"/>
            <w:vAlign w:val="bottom"/>
            <w:gridSpan w:val="2"/>
            <w:shd w:val="clear" w:color="auto" w:fill="CFF0FC"/>
          </w:tcPr>
          <w:p>
            <w:pPr>
              <w:jc w:val="right"/>
              <w:ind w:right="63"/>
              <w:spacing w:after="0" w:line="156" w:lineRule="exact"/>
              <w:rPr>
                <w:sz w:val="20"/>
                <w:szCs w:val="20"/>
                <w:color w:val="auto"/>
              </w:rPr>
            </w:pPr>
            <w:r>
              <w:rPr>
                <w:rFonts w:ascii="Arial" w:cs="Arial" w:eastAsia="Arial" w:hAnsi="Arial"/>
                <w:sz w:val="15"/>
                <w:szCs w:val="15"/>
                <w:color w:val="auto"/>
              </w:rPr>
              <w:t>$</w:t>
            </w:r>
          </w:p>
        </w:tc>
        <w:tc>
          <w:tcPr>
            <w:tcW w:w="920" w:type="dxa"/>
            <w:vAlign w:val="bottom"/>
            <w:shd w:val="clear" w:color="auto" w:fill="CFF0FC"/>
          </w:tcPr>
          <w:p>
            <w:pPr>
              <w:jc w:val="right"/>
              <w:spacing w:after="0" w:line="156" w:lineRule="exact"/>
              <w:rPr>
                <w:sz w:val="20"/>
                <w:szCs w:val="20"/>
                <w:color w:val="auto"/>
              </w:rPr>
            </w:pPr>
            <w:r>
              <w:rPr>
                <w:rFonts w:ascii="Arial" w:cs="Arial" w:eastAsia="Arial" w:hAnsi="Arial"/>
                <w:sz w:val="15"/>
                <w:szCs w:val="15"/>
                <w:color w:val="auto"/>
              </w:rPr>
              <w:t>591</w:t>
            </w:r>
          </w:p>
        </w:tc>
        <w:tc>
          <w:tcPr>
            <w:tcW w:w="220" w:type="dxa"/>
            <w:vAlign w:val="bottom"/>
            <w:shd w:val="clear" w:color="auto" w:fill="CFF0FC"/>
          </w:tcPr>
          <w:p>
            <w:pPr>
              <w:spacing w:after="0"/>
              <w:rPr>
                <w:sz w:val="13"/>
                <w:szCs w:val="13"/>
                <w:color w:val="auto"/>
              </w:rPr>
            </w:pPr>
          </w:p>
        </w:tc>
        <w:tc>
          <w:tcPr>
            <w:tcW w:w="260" w:type="dxa"/>
            <w:vAlign w:val="bottom"/>
            <w:shd w:val="clear" w:color="auto" w:fill="CFF0FC"/>
          </w:tcPr>
          <w:p>
            <w:pPr>
              <w:jc w:val="right"/>
              <w:ind w:right="103"/>
              <w:spacing w:after="0" w:line="156" w:lineRule="exact"/>
              <w:rPr>
                <w:sz w:val="20"/>
                <w:szCs w:val="20"/>
                <w:color w:val="auto"/>
              </w:rPr>
            </w:pPr>
            <w:r>
              <w:rPr>
                <w:rFonts w:ascii="Arial" w:cs="Arial" w:eastAsia="Arial" w:hAnsi="Arial"/>
                <w:sz w:val="15"/>
                <w:szCs w:val="15"/>
                <w:color w:val="auto"/>
                <w:w w:val="71"/>
              </w:rPr>
              <w:t>$</w:t>
            </w:r>
          </w:p>
        </w:tc>
        <w:tc>
          <w:tcPr>
            <w:tcW w:w="880" w:type="dxa"/>
            <w:vAlign w:val="bottom"/>
            <w:shd w:val="clear" w:color="auto" w:fill="CFF0FC"/>
          </w:tcPr>
          <w:p>
            <w:pPr>
              <w:jc w:val="right"/>
              <w:spacing w:after="0" w:line="156" w:lineRule="exact"/>
              <w:rPr>
                <w:sz w:val="20"/>
                <w:szCs w:val="20"/>
                <w:color w:val="auto"/>
              </w:rPr>
            </w:pPr>
            <w:r>
              <w:rPr>
                <w:rFonts w:ascii="Arial" w:cs="Arial" w:eastAsia="Arial" w:hAnsi="Arial"/>
                <w:sz w:val="15"/>
                <w:szCs w:val="15"/>
                <w:color w:val="auto"/>
              </w:rPr>
              <w:t>868</w:t>
            </w:r>
          </w:p>
        </w:tc>
        <w:tc>
          <w:tcPr>
            <w:tcW w:w="12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7440" w:type="dxa"/>
            <w:vAlign w:val="bottom"/>
            <w:tcBorders>
              <w:top w:val="single" w:sz="8" w:color="CFF0FC"/>
              <w:bottom w:val="single" w:sz="8" w:color="CFF0FC"/>
            </w:tcBorders>
            <w:vMerge w:val="restart"/>
          </w:tcPr>
          <w:p>
            <w:pPr>
              <w:spacing w:after="0"/>
              <w:rPr>
                <w:sz w:val="20"/>
                <w:szCs w:val="20"/>
                <w:color w:val="auto"/>
              </w:rPr>
            </w:pPr>
            <w:r>
              <w:rPr>
                <w:rFonts w:ascii="Arial" w:cs="Arial" w:eastAsia="Arial" w:hAnsi="Arial"/>
                <w:sz w:val="15"/>
                <w:szCs w:val="15"/>
                <w:color w:val="auto"/>
              </w:rPr>
              <w:t>Non-cash financing and investing activities</w:t>
            </w:r>
          </w:p>
        </w:tc>
        <w:tc>
          <w:tcPr>
            <w:tcW w:w="74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FF0FC"/>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7440" w:type="dxa"/>
            <w:vAlign w:val="bottom"/>
            <w:vMerge w:val="continue"/>
          </w:tcPr>
          <w:p>
            <w:pPr>
              <w:spacing w:after="0"/>
              <w:rPr>
                <w:sz w:val="13"/>
                <w:szCs w:val="13"/>
                <w:color w:val="auto"/>
              </w:rPr>
            </w:pPr>
          </w:p>
        </w:tc>
        <w:tc>
          <w:tcPr>
            <w:tcW w:w="7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6"/>
        </w:trPr>
        <w:tc>
          <w:tcPr>
            <w:tcW w:w="7440" w:type="dxa"/>
            <w:vAlign w:val="bottom"/>
            <w:tcBorders>
              <w:bottom w:val="single" w:sz="8" w:color="CFF0FC"/>
            </w:tcBorders>
            <w:shd w:val="clear" w:color="auto" w:fill="CFF0FC"/>
          </w:tcPr>
          <w:p>
            <w:pPr>
              <w:ind w:left="260"/>
              <w:spacing w:after="0"/>
              <w:rPr>
                <w:sz w:val="20"/>
                <w:szCs w:val="20"/>
                <w:color w:val="auto"/>
              </w:rPr>
            </w:pPr>
            <w:r>
              <w:rPr>
                <w:rFonts w:ascii="Arial" w:cs="Arial" w:eastAsia="Arial" w:hAnsi="Arial"/>
                <w:sz w:val="15"/>
                <w:szCs w:val="15"/>
                <w:color w:val="auto"/>
              </w:rPr>
              <w:t>Stock-based compensation capitalized for software development</w:t>
            </w:r>
          </w:p>
        </w:tc>
        <w:tc>
          <w:tcPr>
            <w:tcW w:w="740" w:type="dxa"/>
            <w:vAlign w:val="bottom"/>
            <w:tcBorders>
              <w:bottom w:val="single" w:sz="8" w:color="auto"/>
            </w:tcBorders>
            <w:shd w:val="clear" w:color="auto" w:fill="CFF0FC"/>
          </w:tcPr>
          <w:p>
            <w:pPr>
              <w:jc w:val="right"/>
              <w:ind w:right="583"/>
              <w:spacing w:after="0"/>
              <w:rPr>
                <w:sz w:val="20"/>
                <w:szCs w:val="20"/>
                <w:color w:val="auto"/>
              </w:rPr>
            </w:pPr>
            <w:r>
              <w:rPr>
                <w:rFonts w:ascii="Arial" w:cs="Arial" w:eastAsia="Arial" w:hAnsi="Arial"/>
                <w:sz w:val="15"/>
                <w:szCs w:val="15"/>
                <w:color w:val="auto"/>
                <w:w w:val="71"/>
              </w:rPr>
              <w:t>$</w:t>
            </w:r>
          </w:p>
        </w:tc>
        <w:tc>
          <w:tcPr>
            <w:tcW w:w="4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rPr>
              <w:t>491</w:t>
            </w:r>
          </w:p>
        </w:tc>
        <w:tc>
          <w:tcPr>
            <w:tcW w:w="200" w:type="dxa"/>
            <w:vAlign w:val="bottom"/>
            <w:tcBorders>
              <w:bottom w:val="single" w:sz="8" w:color="CFF0FC"/>
            </w:tcBorders>
            <w:shd w:val="clear" w:color="auto" w:fill="CFF0FC"/>
          </w:tcPr>
          <w:p>
            <w:pPr>
              <w:spacing w:after="0"/>
              <w:rPr>
                <w:sz w:val="15"/>
                <w:szCs w:val="15"/>
                <w:color w:val="auto"/>
              </w:rPr>
            </w:pPr>
          </w:p>
        </w:tc>
        <w:tc>
          <w:tcPr>
            <w:tcW w:w="240" w:type="dxa"/>
            <w:vAlign w:val="bottom"/>
            <w:tcBorders>
              <w:bottom w:val="single" w:sz="8" w:color="auto"/>
            </w:tcBorders>
            <w:shd w:val="clear" w:color="auto" w:fill="CFF0FC"/>
          </w:tcPr>
          <w:p>
            <w:pPr>
              <w:jc w:val="right"/>
              <w:ind w:right="63"/>
              <w:spacing w:after="0"/>
              <w:rPr>
                <w:sz w:val="20"/>
                <w:szCs w:val="20"/>
                <w:color w:val="auto"/>
              </w:rPr>
            </w:pPr>
            <w:r>
              <w:rPr>
                <w:rFonts w:ascii="Arial" w:cs="Arial" w:eastAsia="Arial" w:hAnsi="Arial"/>
                <w:sz w:val="15"/>
                <w:szCs w:val="15"/>
                <w:color w:val="auto"/>
                <w:w w:val="95"/>
              </w:rPr>
              <w:t>$</w:t>
            </w: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rPr>
              <w:t>417</w:t>
            </w:r>
          </w:p>
        </w:tc>
        <w:tc>
          <w:tcPr>
            <w:tcW w:w="220" w:type="dxa"/>
            <w:vAlign w:val="bottom"/>
            <w:tcBorders>
              <w:bottom w:val="single" w:sz="8" w:color="CFF0FC"/>
            </w:tcBorders>
            <w:shd w:val="clear" w:color="auto" w:fill="CFF0FC"/>
          </w:tcPr>
          <w:p>
            <w:pPr>
              <w:spacing w:after="0"/>
              <w:rPr>
                <w:sz w:val="15"/>
                <w:szCs w:val="15"/>
                <w:color w:val="auto"/>
              </w:rPr>
            </w:pPr>
          </w:p>
        </w:tc>
        <w:tc>
          <w:tcPr>
            <w:tcW w:w="260" w:type="dxa"/>
            <w:vAlign w:val="bottom"/>
            <w:tcBorders>
              <w:bottom w:val="single" w:sz="8" w:color="auto"/>
            </w:tcBorders>
            <w:shd w:val="clear" w:color="auto" w:fill="CFF0FC"/>
          </w:tcPr>
          <w:p>
            <w:pPr>
              <w:jc w:val="right"/>
              <w:ind w:right="103"/>
              <w:spacing w:after="0"/>
              <w:rPr>
                <w:sz w:val="20"/>
                <w:szCs w:val="20"/>
                <w:color w:val="auto"/>
              </w:rPr>
            </w:pPr>
            <w:r>
              <w:rPr>
                <w:rFonts w:ascii="Arial" w:cs="Arial" w:eastAsia="Arial" w:hAnsi="Arial"/>
                <w:sz w:val="15"/>
                <w:szCs w:val="15"/>
                <w:color w:val="auto"/>
                <w:w w:val="71"/>
              </w:rPr>
              <w:t>$</w:t>
            </w: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rPr>
              <w:t>135</w:t>
            </w:r>
          </w:p>
        </w:tc>
        <w:tc>
          <w:tcPr>
            <w:tcW w:w="120" w:type="dxa"/>
            <w:vAlign w:val="bottom"/>
            <w:tcBorders>
              <w:bottom w:val="single" w:sz="8" w:color="CFF0FC"/>
            </w:tcBorders>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744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440" w:type="dxa"/>
            <w:vAlign w:val="bottom"/>
          </w:tcPr>
          <w:p>
            <w:pPr>
              <w:ind w:left="260"/>
              <w:spacing w:after="0" w:line="156" w:lineRule="exact"/>
              <w:rPr>
                <w:sz w:val="20"/>
                <w:szCs w:val="20"/>
                <w:color w:val="auto"/>
              </w:rPr>
            </w:pPr>
            <w:r>
              <w:rPr>
                <w:rFonts w:ascii="Arial" w:cs="Arial" w:eastAsia="Arial" w:hAnsi="Arial"/>
                <w:sz w:val="15"/>
                <w:szCs w:val="15"/>
                <w:color w:val="auto"/>
              </w:rPr>
              <w:t>Net exercise of stock warrants</w:t>
            </w:r>
          </w:p>
        </w:tc>
        <w:tc>
          <w:tcPr>
            <w:tcW w:w="740" w:type="dxa"/>
            <w:vAlign w:val="bottom"/>
          </w:tcPr>
          <w:p>
            <w:pPr>
              <w:jc w:val="right"/>
              <w:ind w:right="583"/>
              <w:spacing w:after="0" w:line="156" w:lineRule="exact"/>
              <w:rPr>
                <w:sz w:val="20"/>
                <w:szCs w:val="20"/>
                <w:color w:val="auto"/>
              </w:rPr>
            </w:pPr>
            <w:r>
              <w:rPr>
                <w:rFonts w:ascii="Arial" w:cs="Arial" w:eastAsia="Arial" w:hAnsi="Arial"/>
                <w:sz w:val="15"/>
                <w:szCs w:val="15"/>
                <w:color w:val="auto"/>
                <w:w w:val="71"/>
              </w:rPr>
              <w:t>$</w:t>
            </w:r>
          </w:p>
        </w:tc>
        <w:tc>
          <w:tcPr>
            <w:tcW w:w="400" w:type="dxa"/>
            <w:vAlign w:val="bottom"/>
          </w:tcPr>
          <w:p>
            <w:pPr>
              <w:jc w:val="right"/>
              <w:spacing w:after="0" w:line="156" w:lineRule="exact"/>
              <w:rPr>
                <w:sz w:val="20"/>
                <w:szCs w:val="20"/>
                <w:color w:val="auto"/>
              </w:rPr>
            </w:pPr>
            <w:r>
              <w:rPr>
                <w:rFonts w:ascii="Arial" w:cs="Arial" w:eastAsia="Arial" w:hAnsi="Arial"/>
                <w:sz w:val="15"/>
                <w:szCs w:val="15"/>
                <w:color w:val="auto"/>
              </w:rPr>
              <w:t>—</w:t>
            </w:r>
          </w:p>
        </w:tc>
        <w:tc>
          <w:tcPr>
            <w:tcW w:w="440" w:type="dxa"/>
            <w:vAlign w:val="bottom"/>
            <w:gridSpan w:val="2"/>
          </w:tcPr>
          <w:p>
            <w:pPr>
              <w:jc w:val="right"/>
              <w:ind w:right="63"/>
              <w:spacing w:after="0" w:line="156" w:lineRule="exact"/>
              <w:rPr>
                <w:sz w:val="20"/>
                <w:szCs w:val="20"/>
                <w:color w:val="auto"/>
              </w:rPr>
            </w:pPr>
            <w:r>
              <w:rPr>
                <w:rFonts w:ascii="Arial" w:cs="Arial" w:eastAsia="Arial" w:hAnsi="Arial"/>
                <w:sz w:val="15"/>
                <w:szCs w:val="15"/>
                <w:color w:val="auto"/>
              </w:rPr>
              <w:t>$</w:t>
            </w:r>
          </w:p>
        </w:tc>
        <w:tc>
          <w:tcPr>
            <w:tcW w:w="1140" w:type="dxa"/>
            <w:vAlign w:val="bottom"/>
            <w:gridSpan w:val="2"/>
          </w:tcPr>
          <w:p>
            <w:pPr>
              <w:jc w:val="right"/>
              <w:ind w:right="240"/>
              <w:spacing w:after="0" w:line="156" w:lineRule="exact"/>
              <w:rPr>
                <w:sz w:val="20"/>
                <w:szCs w:val="20"/>
                <w:color w:val="auto"/>
              </w:rPr>
            </w:pPr>
            <w:r>
              <w:rPr>
                <w:rFonts w:ascii="Arial" w:cs="Arial" w:eastAsia="Arial" w:hAnsi="Arial"/>
                <w:sz w:val="15"/>
                <w:szCs w:val="15"/>
                <w:color w:val="auto"/>
              </w:rPr>
              <w:t>—</w:t>
            </w:r>
          </w:p>
        </w:tc>
        <w:tc>
          <w:tcPr>
            <w:tcW w:w="260" w:type="dxa"/>
            <w:vAlign w:val="bottom"/>
          </w:tcPr>
          <w:p>
            <w:pPr>
              <w:jc w:val="right"/>
              <w:ind w:right="103"/>
              <w:spacing w:after="0" w:line="156" w:lineRule="exact"/>
              <w:rPr>
                <w:sz w:val="20"/>
                <w:szCs w:val="20"/>
                <w:color w:val="auto"/>
              </w:rPr>
            </w:pPr>
            <w:r>
              <w:rPr>
                <w:rFonts w:ascii="Arial" w:cs="Arial" w:eastAsia="Arial" w:hAnsi="Arial"/>
                <w:sz w:val="15"/>
                <w:szCs w:val="15"/>
                <w:color w:val="auto"/>
                <w:w w:val="71"/>
              </w:rPr>
              <w:t>$</w:t>
            </w:r>
          </w:p>
        </w:tc>
        <w:tc>
          <w:tcPr>
            <w:tcW w:w="880" w:type="dxa"/>
            <w:vAlign w:val="bottom"/>
          </w:tcPr>
          <w:p>
            <w:pPr>
              <w:jc w:val="right"/>
              <w:spacing w:after="0" w:line="156" w:lineRule="exact"/>
              <w:rPr>
                <w:sz w:val="20"/>
                <w:szCs w:val="20"/>
                <w:color w:val="auto"/>
              </w:rPr>
            </w:pPr>
            <w:r>
              <w:rPr>
                <w:rFonts w:ascii="Arial" w:cs="Arial" w:eastAsia="Arial" w:hAnsi="Arial"/>
                <w:sz w:val="15"/>
                <w:szCs w:val="15"/>
                <w:color w:val="auto"/>
              </w:rPr>
              <w:t>14,870</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53"/>
        </w:trPr>
        <w:tc>
          <w:tcPr>
            <w:tcW w:w="7440" w:type="dxa"/>
            <w:vAlign w:val="bottom"/>
            <w:tcBorders>
              <w:top w:val="single" w:sz="8" w:color="CFF0FC"/>
            </w:tcBorders>
            <w:shd w:val="clear" w:color="auto" w:fill="CFF0FC"/>
          </w:tcPr>
          <w:p>
            <w:pPr>
              <w:ind w:left="260"/>
              <w:spacing w:after="0" w:line="153" w:lineRule="exact"/>
              <w:rPr>
                <w:sz w:val="20"/>
                <w:szCs w:val="20"/>
                <w:color w:val="auto"/>
              </w:rPr>
            </w:pPr>
            <w:r>
              <w:rPr>
                <w:rFonts w:ascii="Arial" w:cs="Arial" w:eastAsia="Arial" w:hAnsi="Arial"/>
                <w:sz w:val="15"/>
                <w:szCs w:val="15"/>
                <w:color w:val="auto"/>
              </w:rPr>
              <w:t>Capitalized software development costs included in accounts</w:t>
            </w:r>
          </w:p>
        </w:tc>
        <w:tc>
          <w:tcPr>
            <w:tcW w:w="740" w:type="dxa"/>
            <w:vAlign w:val="bottom"/>
            <w:tcBorders>
              <w:top w:val="single" w:sz="8" w:color="auto"/>
            </w:tcBorders>
            <w:shd w:val="clear" w:color="auto" w:fill="CFF0FC"/>
          </w:tcPr>
          <w:p>
            <w:pPr>
              <w:spacing w:after="0"/>
              <w:rPr>
                <w:sz w:val="13"/>
                <w:szCs w:val="13"/>
                <w:color w:val="auto"/>
              </w:rPr>
            </w:pPr>
          </w:p>
        </w:tc>
        <w:tc>
          <w:tcPr>
            <w:tcW w:w="400" w:type="dxa"/>
            <w:vAlign w:val="bottom"/>
            <w:tcBorders>
              <w:top w:val="single" w:sz="8" w:color="auto"/>
            </w:tcBorders>
            <w:shd w:val="clear" w:color="auto" w:fill="CFF0FC"/>
          </w:tcPr>
          <w:p>
            <w:pPr>
              <w:spacing w:after="0"/>
              <w:rPr>
                <w:sz w:val="13"/>
                <w:szCs w:val="13"/>
                <w:color w:val="auto"/>
              </w:rPr>
            </w:pPr>
          </w:p>
        </w:tc>
        <w:tc>
          <w:tcPr>
            <w:tcW w:w="200" w:type="dxa"/>
            <w:vAlign w:val="bottom"/>
            <w:tcBorders>
              <w:top w:val="single" w:sz="8" w:color="CFF0FC"/>
            </w:tcBorders>
            <w:shd w:val="clear" w:color="auto" w:fill="CFF0FC"/>
          </w:tcPr>
          <w:p>
            <w:pPr>
              <w:spacing w:after="0"/>
              <w:rPr>
                <w:sz w:val="13"/>
                <w:szCs w:val="13"/>
                <w:color w:val="auto"/>
              </w:rPr>
            </w:pPr>
          </w:p>
        </w:tc>
        <w:tc>
          <w:tcPr>
            <w:tcW w:w="240" w:type="dxa"/>
            <w:vAlign w:val="bottom"/>
            <w:tcBorders>
              <w:top w:val="single" w:sz="8" w:color="auto"/>
            </w:tcBorders>
            <w:shd w:val="clear" w:color="auto" w:fill="CFF0FC"/>
          </w:tcPr>
          <w:p>
            <w:pPr>
              <w:spacing w:after="0"/>
              <w:rPr>
                <w:sz w:val="13"/>
                <w:szCs w:val="13"/>
                <w:color w:val="auto"/>
              </w:rPr>
            </w:pPr>
          </w:p>
        </w:tc>
        <w:tc>
          <w:tcPr>
            <w:tcW w:w="920" w:type="dxa"/>
            <w:vAlign w:val="bottom"/>
            <w:tcBorders>
              <w:top w:val="single" w:sz="8" w:color="auto"/>
            </w:tcBorders>
            <w:shd w:val="clear" w:color="auto" w:fill="CFF0FC"/>
          </w:tcPr>
          <w:p>
            <w:pPr>
              <w:spacing w:after="0"/>
              <w:rPr>
                <w:sz w:val="13"/>
                <w:szCs w:val="13"/>
                <w:color w:val="auto"/>
              </w:rPr>
            </w:pPr>
          </w:p>
        </w:tc>
        <w:tc>
          <w:tcPr>
            <w:tcW w:w="220" w:type="dxa"/>
            <w:vAlign w:val="bottom"/>
            <w:tcBorders>
              <w:top w:val="single" w:sz="8" w:color="CFF0FC"/>
            </w:tcBorders>
            <w:shd w:val="clear" w:color="auto" w:fill="CFF0FC"/>
          </w:tcPr>
          <w:p>
            <w:pPr>
              <w:spacing w:after="0"/>
              <w:rPr>
                <w:sz w:val="13"/>
                <w:szCs w:val="13"/>
                <w:color w:val="auto"/>
              </w:rPr>
            </w:pPr>
          </w:p>
        </w:tc>
        <w:tc>
          <w:tcPr>
            <w:tcW w:w="260" w:type="dxa"/>
            <w:vAlign w:val="bottom"/>
            <w:tcBorders>
              <w:top w:val="single" w:sz="8" w:color="auto"/>
            </w:tcBorders>
            <w:shd w:val="clear" w:color="auto" w:fill="CFF0FC"/>
          </w:tcPr>
          <w:p>
            <w:pPr>
              <w:spacing w:after="0"/>
              <w:rPr>
                <w:sz w:val="13"/>
                <w:szCs w:val="13"/>
                <w:color w:val="auto"/>
              </w:rPr>
            </w:pPr>
          </w:p>
        </w:tc>
        <w:tc>
          <w:tcPr>
            <w:tcW w:w="880" w:type="dxa"/>
            <w:vAlign w:val="bottom"/>
            <w:tcBorders>
              <w:top w:val="single" w:sz="8" w:color="auto"/>
            </w:tcBorders>
            <w:shd w:val="clear" w:color="auto" w:fill="CFF0FC"/>
          </w:tcPr>
          <w:p>
            <w:pPr>
              <w:spacing w:after="0"/>
              <w:rPr>
                <w:sz w:val="13"/>
                <w:szCs w:val="13"/>
                <w:color w:val="auto"/>
              </w:rPr>
            </w:pPr>
          </w:p>
        </w:tc>
        <w:tc>
          <w:tcPr>
            <w:tcW w:w="120" w:type="dxa"/>
            <w:vAlign w:val="bottom"/>
            <w:tcBorders>
              <w:top w:val="single" w:sz="8" w:color="CFF0FC"/>
            </w:tcBorders>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7440" w:type="dxa"/>
            <w:vAlign w:val="bottom"/>
            <w:shd w:val="clear" w:color="auto" w:fill="CFF0FC"/>
          </w:tcPr>
          <w:p>
            <w:pPr>
              <w:ind w:left="380"/>
              <w:spacing w:after="0" w:line="162" w:lineRule="exact"/>
              <w:rPr>
                <w:sz w:val="20"/>
                <w:szCs w:val="20"/>
                <w:color w:val="auto"/>
              </w:rPr>
            </w:pPr>
            <w:r>
              <w:rPr>
                <w:rFonts w:ascii="Arial" w:cs="Arial" w:eastAsia="Arial" w:hAnsi="Arial"/>
                <w:sz w:val="15"/>
                <w:szCs w:val="15"/>
                <w:color w:val="auto"/>
              </w:rPr>
              <w:t>payable and accrued expenses and other current liabilities at end</w:t>
            </w:r>
          </w:p>
        </w:tc>
        <w:tc>
          <w:tcPr>
            <w:tcW w:w="740" w:type="dxa"/>
            <w:vAlign w:val="bottom"/>
            <w:shd w:val="clear" w:color="auto" w:fill="CFF0FC"/>
          </w:tcPr>
          <w:p>
            <w:pPr>
              <w:spacing w:after="0"/>
              <w:rPr>
                <w:sz w:val="14"/>
                <w:szCs w:val="14"/>
                <w:color w:val="auto"/>
              </w:rPr>
            </w:pPr>
          </w:p>
        </w:tc>
        <w:tc>
          <w:tcPr>
            <w:tcW w:w="40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92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88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7440" w:type="dxa"/>
            <w:vAlign w:val="bottom"/>
            <w:shd w:val="clear" w:color="auto" w:fill="CFF0FC"/>
          </w:tcPr>
          <w:p>
            <w:pPr>
              <w:ind w:left="380"/>
              <w:spacing w:after="0" w:line="166" w:lineRule="exact"/>
              <w:rPr>
                <w:sz w:val="20"/>
                <w:szCs w:val="20"/>
                <w:color w:val="auto"/>
              </w:rPr>
            </w:pPr>
            <w:r>
              <w:rPr>
                <w:rFonts w:ascii="Arial" w:cs="Arial" w:eastAsia="Arial" w:hAnsi="Arial"/>
                <w:sz w:val="15"/>
                <w:szCs w:val="15"/>
                <w:color w:val="auto"/>
              </w:rPr>
              <w:t>of period</w:t>
            </w:r>
          </w:p>
        </w:tc>
        <w:tc>
          <w:tcPr>
            <w:tcW w:w="740" w:type="dxa"/>
            <w:vAlign w:val="bottom"/>
            <w:shd w:val="clear" w:color="auto" w:fill="CFF0FC"/>
          </w:tcPr>
          <w:p>
            <w:pPr>
              <w:jc w:val="right"/>
              <w:ind w:right="583"/>
              <w:spacing w:after="0" w:line="166" w:lineRule="exact"/>
              <w:rPr>
                <w:sz w:val="20"/>
                <w:szCs w:val="20"/>
                <w:color w:val="auto"/>
              </w:rPr>
            </w:pPr>
            <w:r>
              <w:rPr>
                <w:rFonts w:ascii="Arial" w:cs="Arial" w:eastAsia="Arial" w:hAnsi="Arial"/>
                <w:sz w:val="15"/>
                <w:szCs w:val="15"/>
                <w:color w:val="auto"/>
                <w:w w:val="71"/>
              </w:rPr>
              <w:t>$</w:t>
            </w:r>
          </w:p>
        </w:tc>
        <w:tc>
          <w:tcPr>
            <w:tcW w:w="400" w:type="dxa"/>
            <w:vAlign w:val="bottom"/>
            <w:shd w:val="clear" w:color="auto" w:fill="CFF0FC"/>
          </w:tcPr>
          <w:p>
            <w:pPr>
              <w:jc w:val="right"/>
              <w:spacing w:after="0" w:line="166" w:lineRule="exact"/>
              <w:rPr>
                <w:sz w:val="20"/>
                <w:szCs w:val="20"/>
                <w:color w:val="auto"/>
              </w:rPr>
            </w:pPr>
            <w:r>
              <w:rPr>
                <w:rFonts w:ascii="Arial" w:cs="Arial" w:eastAsia="Arial" w:hAnsi="Arial"/>
                <w:sz w:val="15"/>
                <w:szCs w:val="15"/>
                <w:color w:val="auto"/>
              </w:rPr>
              <w:t>560</w:t>
            </w:r>
          </w:p>
        </w:tc>
        <w:tc>
          <w:tcPr>
            <w:tcW w:w="440" w:type="dxa"/>
            <w:vAlign w:val="bottom"/>
            <w:gridSpan w:val="2"/>
            <w:shd w:val="clear" w:color="auto" w:fill="CFF0FC"/>
          </w:tcPr>
          <w:p>
            <w:pPr>
              <w:jc w:val="right"/>
              <w:ind w:right="63"/>
              <w:spacing w:after="0" w:line="166" w:lineRule="exact"/>
              <w:rPr>
                <w:sz w:val="20"/>
                <w:szCs w:val="20"/>
                <w:color w:val="auto"/>
              </w:rPr>
            </w:pPr>
            <w:r>
              <w:rPr>
                <w:rFonts w:ascii="Arial" w:cs="Arial" w:eastAsia="Arial" w:hAnsi="Arial"/>
                <w:sz w:val="15"/>
                <w:szCs w:val="15"/>
                <w:color w:val="auto"/>
              </w:rPr>
              <w:t>$</w:t>
            </w:r>
          </w:p>
        </w:tc>
        <w:tc>
          <w:tcPr>
            <w:tcW w:w="920" w:type="dxa"/>
            <w:vAlign w:val="bottom"/>
            <w:shd w:val="clear" w:color="auto" w:fill="CFF0FC"/>
          </w:tcPr>
          <w:p>
            <w:pPr>
              <w:jc w:val="right"/>
              <w:spacing w:after="0" w:line="166" w:lineRule="exact"/>
              <w:rPr>
                <w:sz w:val="20"/>
                <w:szCs w:val="20"/>
                <w:color w:val="auto"/>
              </w:rPr>
            </w:pPr>
            <w:r>
              <w:rPr>
                <w:rFonts w:ascii="Arial" w:cs="Arial" w:eastAsia="Arial" w:hAnsi="Arial"/>
                <w:sz w:val="15"/>
                <w:szCs w:val="15"/>
                <w:color w:val="auto"/>
              </w:rPr>
              <w:t>359</w:t>
            </w:r>
          </w:p>
        </w:tc>
        <w:tc>
          <w:tcPr>
            <w:tcW w:w="220" w:type="dxa"/>
            <w:vAlign w:val="bottom"/>
            <w:shd w:val="clear" w:color="auto" w:fill="CFF0FC"/>
          </w:tcPr>
          <w:p>
            <w:pPr>
              <w:spacing w:after="0"/>
              <w:rPr>
                <w:sz w:val="14"/>
                <w:szCs w:val="14"/>
                <w:color w:val="auto"/>
              </w:rPr>
            </w:pPr>
          </w:p>
        </w:tc>
        <w:tc>
          <w:tcPr>
            <w:tcW w:w="260" w:type="dxa"/>
            <w:vAlign w:val="bottom"/>
            <w:shd w:val="clear" w:color="auto" w:fill="CFF0FC"/>
          </w:tcPr>
          <w:p>
            <w:pPr>
              <w:jc w:val="right"/>
              <w:ind w:right="103"/>
              <w:spacing w:after="0" w:line="166" w:lineRule="exact"/>
              <w:rPr>
                <w:sz w:val="20"/>
                <w:szCs w:val="20"/>
                <w:color w:val="auto"/>
              </w:rPr>
            </w:pPr>
            <w:r>
              <w:rPr>
                <w:rFonts w:ascii="Arial" w:cs="Arial" w:eastAsia="Arial" w:hAnsi="Arial"/>
                <w:sz w:val="15"/>
                <w:szCs w:val="15"/>
                <w:color w:val="auto"/>
                <w:w w:val="71"/>
              </w:rPr>
              <w:t>$</w:t>
            </w:r>
          </w:p>
        </w:tc>
        <w:tc>
          <w:tcPr>
            <w:tcW w:w="880" w:type="dxa"/>
            <w:vAlign w:val="bottom"/>
            <w:shd w:val="clear" w:color="auto" w:fill="CFF0FC"/>
          </w:tcPr>
          <w:p>
            <w:pPr>
              <w:jc w:val="right"/>
              <w:spacing w:after="0" w:line="166" w:lineRule="exact"/>
              <w:rPr>
                <w:sz w:val="20"/>
                <w:szCs w:val="20"/>
                <w:color w:val="auto"/>
              </w:rPr>
            </w:pPr>
            <w:r>
              <w:rPr>
                <w:rFonts w:ascii="Arial" w:cs="Arial" w:eastAsia="Arial" w:hAnsi="Arial"/>
                <w:sz w:val="15"/>
                <w:szCs w:val="15"/>
                <w:color w:val="auto"/>
              </w:rPr>
              <w:t>331</w:t>
            </w:r>
          </w:p>
        </w:tc>
        <w:tc>
          <w:tcPr>
            <w:tcW w:w="12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7440" w:type="dxa"/>
            <w:vAlign w:val="bottom"/>
            <w:tcBorders>
              <w:top w:val="single" w:sz="8" w:color="CFF0FC"/>
              <w:bottom w:val="single" w:sz="8" w:color="CFF0FC"/>
            </w:tcBorders>
            <w:vMerge w:val="restart"/>
          </w:tcPr>
          <w:p>
            <w:pPr>
              <w:ind w:left="260"/>
              <w:spacing w:after="0"/>
              <w:rPr>
                <w:sz w:val="20"/>
                <w:szCs w:val="20"/>
                <w:color w:val="auto"/>
              </w:rPr>
            </w:pPr>
            <w:r>
              <w:rPr>
                <w:rFonts w:ascii="Arial" w:cs="Arial" w:eastAsia="Arial" w:hAnsi="Arial"/>
                <w:sz w:val="15"/>
                <w:szCs w:val="15"/>
                <w:color w:val="auto"/>
              </w:rPr>
              <w:t>Purchases of property and equipment included in accounts</w:t>
            </w:r>
          </w:p>
        </w:tc>
        <w:tc>
          <w:tcPr>
            <w:tcW w:w="74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FF0FC"/>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3"/>
        </w:trPr>
        <w:tc>
          <w:tcPr>
            <w:tcW w:w="7440" w:type="dxa"/>
            <w:vAlign w:val="bottom"/>
            <w:vMerge w:val="continue"/>
          </w:tcPr>
          <w:p>
            <w:pPr>
              <w:spacing w:after="0"/>
              <w:rPr>
                <w:sz w:val="13"/>
                <w:szCs w:val="13"/>
                <w:color w:val="auto"/>
              </w:rPr>
            </w:pPr>
          </w:p>
        </w:tc>
        <w:tc>
          <w:tcPr>
            <w:tcW w:w="7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7440" w:type="dxa"/>
            <w:vAlign w:val="bottom"/>
          </w:tcPr>
          <w:p>
            <w:pPr>
              <w:ind w:left="380"/>
              <w:spacing w:after="0" w:line="162" w:lineRule="exact"/>
              <w:rPr>
                <w:sz w:val="20"/>
                <w:szCs w:val="20"/>
                <w:color w:val="auto"/>
              </w:rPr>
            </w:pPr>
            <w:r>
              <w:rPr>
                <w:rFonts w:ascii="Arial" w:cs="Arial" w:eastAsia="Arial" w:hAnsi="Arial"/>
                <w:sz w:val="15"/>
                <w:szCs w:val="15"/>
                <w:color w:val="auto"/>
              </w:rPr>
              <w:t>payable and accrued expenses and other current liabilities at end</w:t>
            </w:r>
          </w:p>
        </w:tc>
        <w:tc>
          <w:tcPr>
            <w:tcW w:w="7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5"/>
        </w:trPr>
        <w:tc>
          <w:tcPr>
            <w:tcW w:w="7440" w:type="dxa"/>
            <w:vAlign w:val="bottom"/>
            <w:tcBorders>
              <w:bottom w:val="single" w:sz="8" w:color="CFF0FC"/>
            </w:tcBorders>
          </w:tcPr>
          <w:p>
            <w:pPr>
              <w:ind w:left="380"/>
              <w:spacing w:after="0" w:line="166" w:lineRule="exact"/>
              <w:rPr>
                <w:sz w:val="20"/>
                <w:szCs w:val="20"/>
                <w:color w:val="auto"/>
              </w:rPr>
            </w:pPr>
            <w:r>
              <w:rPr>
                <w:rFonts w:ascii="Arial" w:cs="Arial" w:eastAsia="Arial" w:hAnsi="Arial"/>
                <w:sz w:val="15"/>
                <w:szCs w:val="15"/>
                <w:color w:val="auto"/>
              </w:rPr>
              <w:t>of period</w:t>
            </w:r>
          </w:p>
        </w:tc>
        <w:tc>
          <w:tcPr>
            <w:tcW w:w="740" w:type="dxa"/>
            <w:vAlign w:val="bottom"/>
            <w:tcBorders>
              <w:bottom w:val="single" w:sz="8" w:color="auto"/>
            </w:tcBorders>
          </w:tcPr>
          <w:p>
            <w:pPr>
              <w:jc w:val="right"/>
              <w:ind w:right="583"/>
              <w:spacing w:after="0" w:line="166" w:lineRule="exact"/>
              <w:rPr>
                <w:sz w:val="20"/>
                <w:szCs w:val="20"/>
                <w:color w:val="auto"/>
              </w:rPr>
            </w:pPr>
            <w:r>
              <w:rPr>
                <w:rFonts w:ascii="Arial" w:cs="Arial" w:eastAsia="Arial" w:hAnsi="Arial"/>
                <w:sz w:val="15"/>
                <w:szCs w:val="15"/>
                <w:color w:val="auto"/>
                <w:w w:val="71"/>
              </w:rPr>
              <w:t>$</w:t>
            </w:r>
          </w:p>
        </w:tc>
        <w:tc>
          <w:tcPr>
            <w:tcW w:w="400" w:type="dxa"/>
            <w:vAlign w:val="bottom"/>
            <w:tcBorders>
              <w:bottom w:val="single" w:sz="8" w:color="auto"/>
            </w:tcBorders>
          </w:tcPr>
          <w:p>
            <w:pPr>
              <w:jc w:val="right"/>
              <w:spacing w:after="0" w:line="166" w:lineRule="exact"/>
              <w:rPr>
                <w:sz w:val="20"/>
                <w:szCs w:val="20"/>
                <w:color w:val="auto"/>
              </w:rPr>
            </w:pPr>
            <w:r>
              <w:rPr>
                <w:rFonts w:ascii="Arial" w:cs="Arial" w:eastAsia="Arial" w:hAnsi="Arial"/>
                <w:sz w:val="15"/>
                <w:szCs w:val="15"/>
                <w:color w:val="auto"/>
              </w:rPr>
              <w:t>863</w:t>
            </w:r>
          </w:p>
        </w:tc>
        <w:tc>
          <w:tcPr>
            <w:tcW w:w="200" w:type="dxa"/>
            <w:vAlign w:val="bottom"/>
            <w:tcBorders>
              <w:bottom w:val="single" w:sz="8" w:color="CFF0FC"/>
            </w:tcBorders>
          </w:tcPr>
          <w:p>
            <w:pPr>
              <w:spacing w:after="0"/>
              <w:rPr>
                <w:sz w:val="17"/>
                <w:szCs w:val="17"/>
                <w:color w:val="auto"/>
              </w:rPr>
            </w:pPr>
          </w:p>
        </w:tc>
        <w:tc>
          <w:tcPr>
            <w:tcW w:w="240" w:type="dxa"/>
            <w:vAlign w:val="bottom"/>
            <w:tcBorders>
              <w:bottom w:val="single" w:sz="8" w:color="auto"/>
            </w:tcBorders>
          </w:tcPr>
          <w:p>
            <w:pPr>
              <w:jc w:val="right"/>
              <w:ind w:right="63"/>
              <w:spacing w:after="0" w:line="166" w:lineRule="exact"/>
              <w:rPr>
                <w:sz w:val="20"/>
                <w:szCs w:val="20"/>
                <w:color w:val="auto"/>
              </w:rPr>
            </w:pPr>
            <w:r>
              <w:rPr>
                <w:rFonts w:ascii="Arial" w:cs="Arial" w:eastAsia="Arial" w:hAnsi="Arial"/>
                <w:sz w:val="15"/>
                <w:szCs w:val="15"/>
                <w:color w:val="auto"/>
                <w:w w:val="95"/>
              </w:rPr>
              <w:t>$</w:t>
            </w:r>
          </w:p>
        </w:tc>
        <w:tc>
          <w:tcPr>
            <w:tcW w:w="920" w:type="dxa"/>
            <w:vAlign w:val="bottom"/>
            <w:tcBorders>
              <w:bottom w:val="single" w:sz="8" w:color="auto"/>
            </w:tcBorders>
          </w:tcPr>
          <w:p>
            <w:pPr>
              <w:jc w:val="right"/>
              <w:spacing w:after="0" w:line="166" w:lineRule="exact"/>
              <w:rPr>
                <w:sz w:val="20"/>
                <w:szCs w:val="20"/>
                <w:color w:val="auto"/>
              </w:rPr>
            </w:pPr>
            <w:r>
              <w:rPr>
                <w:rFonts w:ascii="Arial" w:cs="Arial" w:eastAsia="Arial" w:hAnsi="Arial"/>
                <w:sz w:val="15"/>
                <w:szCs w:val="15"/>
                <w:color w:val="auto"/>
              </w:rPr>
              <w:t>168</w:t>
            </w:r>
          </w:p>
        </w:tc>
        <w:tc>
          <w:tcPr>
            <w:tcW w:w="220" w:type="dxa"/>
            <w:vAlign w:val="bottom"/>
            <w:tcBorders>
              <w:bottom w:val="single" w:sz="8" w:color="CFF0FC"/>
            </w:tcBorders>
          </w:tcPr>
          <w:p>
            <w:pPr>
              <w:spacing w:after="0"/>
              <w:rPr>
                <w:sz w:val="17"/>
                <w:szCs w:val="17"/>
                <w:color w:val="auto"/>
              </w:rPr>
            </w:pPr>
          </w:p>
        </w:tc>
        <w:tc>
          <w:tcPr>
            <w:tcW w:w="260" w:type="dxa"/>
            <w:vAlign w:val="bottom"/>
            <w:tcBorders>
              <w:bottom w:val="single" w:sz="8" w:color="auto"/>
            </w:tcBorders>
          </w:tcPr>
          <w:p>
            <w:pPr>
              <w:jc w:val="right"/>
              <w:ind w:right="103"/>
              <w:spacing w:after="0" w:line="166" w:lineRule="exact"/>
              <w:rPr>
                <w:sz w:val="20"/>
                <w:szCs w:val="20"/>
                <w:color w:val="auto"/>
              </w:rPr>
            </w:pPr>
            <w:r>
              <w:rPr>
                <w:rFonts w:ascii="Arial" w:cs="Arial" w:eastAsia="Arial" w:hAnsi="Arial"/>
                <w:sz w:val="15"/>
                <w:szCs w:val="15"/>
                <w:color w:val="auto"/>
                <w:w w:val="71"/>
              </w:rPr>
              <w:t>$</w:t>
            </w:r>
          </w:p>
        </w:tc>
        <w:tc>
          <w:tcPr>
            <w:tcW w:w="880" w:type="dxa"/>
            <w:vAlign w:val="bottom"/>
            <w:tcBorders>
              <w:bottom w:val="single" w:sz="8" w:color="auto"/>
            </w:tcBorders>
          </w:tcPr>
          <w:p>
            <w:pPr>
              <w:jc w:val="right"/>
              <w:spacing w:after="0" w:line="166" w:lineRule="exact"/>
              <w:rPr>
                <w:sz w:val="20"/>
                <w:szCs w:val="20"/>
                <w:color w:val="auto"/>
              </w:rPr>
            </w:pPr>
            <w:r>
              <w:rPr>
                <w:rFonts w:ascii="Arial" w:cs="Arial" w:eastAsia="Arial" w:hAnsi="Arial"/>
                <w:sz w:val="15"/>
                <w:szCs w:val="15"/>
                <w:color w:val="auto"/>
              </w:rPr>
              <w:t>293</w:t>
            </w:r>
          </w:p>
        </w:tc>
        <w:tc>
          <w:tcPr>
            <w:tcW w:w="120" w:type="dxa"/>
            <w:vAlign w:val="bottom"/>
            <w:tcBorders>
              <w:bottom w:val="single" w:sz="8" w:color="CFF0FC"/>
            </w:tcBorders>
          </w:tcPr>
          <w:p>
            <w:pPr>
              <w:spacing w:after="0"/>
              <w:rPr>
                <w:sz w:val="17"/>
                <w:szCs w:val="17"/>
                <w:color w:val="auto"/>
              </w:rPr>
            </w:pPr>
          </w:p>
        </w:tc>
        <w:tc>
          <w:tcPr>
            <w:tcW w:w="0" w:type="dxa"/>
            <w:vAlign w:val="bottom"/>
          </w:tcPr>
          <w:p>
            <w:pPr>
              <w:spacing w:after="0"/>
              <w:rPr>
                <w:sz w:val="1"/>
                <w:szCs w:val="1"/>
                <w:color w:val="auto"/>
              </w:rPr>
            </w:pPr>
          </w:p>
        </w:tc>
      </w:tr>
      <w:tr>
        <w:trPr>
          <w:trHeight w:val="156"/>
        </w:trPr>
        <w:tc>
          <w:tcPr>
            <w:tcW w:w="7440" w:type="dxa"/>
            <w:vAlign w:val="bottom"/>
            <w:tcBorders>
              <w:bottom w:val="single" w:sz="8" w:color="CFF0FC"/>
            </w:tcBorders>
            <w:shd w:val="clear" w:color="auto" w:fill="CFF0FC"/>
          </w:tcPr>
          <w:p>
            <w:pPr>
              <w:ind w:left="260"/>
              <w:spacing w:after="0" w:line="156" w:lineRule="exact"/>
              <w:rPr>
                <w:sz w:val="20"/>
                <w:szCs w:val="20"/>
                <w:color w:val="auto"/>
              </w:rPr>
            </w:pPr>
            <w:r>
              <w:rPr>
                <w:rFonts w:ascii="Arial" w:cs="Arial" w:eastAsia="Arial" w:hAnsi="Arial"/>
                <w:sz w:val="15"/>
                <w:szCs w:val="15"/>
                <w:color w:val="auto"/>
              </w:rPr>
              <w:t>Leasehold improvements paid directly by landlord</w:t>
            </w:r>
          </w:p>
        </w:tc>
        <w:tc>
          <w:tcPr>
            <w:tcW w:w="740" w:type="dxa"/>
            <w:vAlign w:val="bottom"/>
            <w:tcBorders>
              <w:bottom w:val="single" w:sz="8" w:color="auto"/>
            </w:tcBorders>
            <w:shd w:val="clear" w:color="auto" w:fill="CFF0FC"/>
          </w:tcPr>
          <w:p>
            <w:pPr>
              <w:jc w:val="right"/>
              <w:ind w:right="583"/>
              <w:spacing w:after="0" w:line="156" w:lineRule="exact"/>
              <w:rPr>
                <w:sz w:val="20"/>
                <w:szCs w:val="20"/>
                <w:color w:val="auto"/>
              </w:rPr>
            </w:pPr>
            <w:r>
              <w:rPr>
                <w:rFonts w:ascii="Arial" w:cs="Arial" w:eastAsia="Arial" w:hAnsi="Arial"/>
                <w:sz w:val="15"/>
                <w:szCs w:val="15"/>
                <w:color w:val="auto"/>
                <w:w w:val="71"/>
              </w:rPr>
              <w:t>$</w:t>
            </w:r>
          </w:p>
        </w:tc>
        <w:tc>
          <w:tcPr>
            <w:tcW w:w="400" w:type="dxa"/>
            <w:vAlign w:val="bottom"/>
            <w:tcBorders>
              <w:bottom w:val="single" w:sz="8" w:color="auto"/>
            </w:tcBorders>
            <w:shd w:val="clear" w:color="auto" w:fill="CFF0FC"/>
          </w:tcPr>
          <w:p>
            <w:pPr>
              <w:jc w:val="right"/>
              <w:spacing w:after="0" w:line="156" w:lineRule="exact"/>
              <w:rPr>
                <w:sz w:val="20"/>
                <w:szCs w:val="20"/>
                <w:color w:val="auto"/>
              </w:rPr>
            </w:pPr>
            <w:r>
              <w:rPr>
                <w:rFonts w:ascii="Arial" w:cs="Arial" w:eastAsia="Arial" w:hAnsi="Arial"/>
                <w:sz w:val="15"/>
                <w:szCs w:val="15"/>
                <w:color w:val="auto"/>
              </w:rPr>
              <w:t>—</w:t>
            </w:r>
          </w:p>
        </w:tc>
        <w:tc>
          <w:tcPr>
            <w:tcW w:w="200" w:type="dxa"/>
            <w:vAlign w:val="bottom"/>
            <w:tcBorders>
              <w:bottom w:val="single" w:sz="8" w:color="CFF0FC"/>
            </w:tcBorders>
            <w:shd w:val="clear" w:color="auto" w:fill="CFF0FC"/>
          </w:tcPr>
          <w:p>
            <w:pPr>
              <w:spacing w:after="0"/>
              <w:rPr>
                <w:sz w:val="13"/>
                <w:szCs w:val="13"/>
                <w:color w:val="auto"/>
              </w:rPr>
            </w:pPr>
          </w:p>
        </w:tc>
        <w:tc>
          <w:tcPr>
            <w:tcW w:w="240" w:type="dxa"/>
            <w:vAlign w:val="bottom"/>
            <w:tcBorders>
              <w:bottom w:val="single" w:sz="8" w:color="auto"/>
            </w:tcBorders>
            <w:shd w:val="clear" w:color="auto" w:fill="CFF0FC"/>
          </w:tcPr>
          <w:p>
            <w:pPr>
              <w:jc w:val="right"/>
              <w:ind w:right="63"/>
              <w:spacing w:after="0" w:line="156" w:lineRule="exact"/>
              <w:rPr>
                <w:sz w:val="20"/>
                <w:szCs w:val="20"/>
                <w:color w:val="auto"/>
              </w:rPr>
            </w:pPr>
            <w:r>
              <w:rPr>
                <w:rFonts w:ascii="Arial" w:cs="Arial" w:eastAsia="Arial" w:hAnsi="Arial"/>
                <w:sz w:val="15"/>
                <w:szCs w:val="15"/>
                <w:color w:val="auto"/>
                <w:w w:val="95"/>
              </w:rPr>
              <w:t>$</w:t>
            </w:r>
          </w:p>
        </w:tc>
        <w:tc>
          <w:tcPr>
            <w:tcW w:w="920" w:type="dxa"/>
            <w:vAlign w:val="bottom"/>
            <w:tcBorders>
              <w:bottom w:val="single" w:sz="8" w:color="auto"/>
            </w:tcBorders>
            <w:shd w:val="clear" w:color="auto" w:fill="CFF0FC"/>
          </w:tcPr>
          <w:p>
            <w:pPr>
              <w:jc w:val="right"/>
              <w:spacing w:after="0" w:line="156" w:lineRule="exact"/>
              <w:rPr>
                <w:sz w:val="20"/>
                <w:szCs w:val="20"/>
                <w:color w:val="auto"/>
              </w:rPr>
            </w:pPr>
            <w:r>
              <w:rPr>
                <w:rFonts w:ascii="Arial" w:cs="Arial" w:eastAsia="Arial" w:hAnsi="Arial"/>
                <w:sz w:val="15"/>
                <w:szCs w:val="15"/>
                <w:color w:val="auto"/>
              </w:rPr>
              <w:t>—</w:t>
            </w:r>
          </w:p>
        </w:tc>
        <w:tc>
          <w:tcPr>
            <w:tcW w:w="220" w:type="dxa"/>
            <w:vAlign w:val="bottom"/>
            <w:tcBorders>
              <w:bottom w:val="single" w:sz="8" w:color="CFF0FC"/>
            </w:tcBorders>
            <w:shd w:val="clear" w:color="auto" w:fill="CFF0FC"/>
          </w:tcPr>
          <w:p>
            <w:pPr>
              <w:spacing w:after="0"/>
              <w:rPr>
                <w:sz w:val="13"/>
                <w:szCs w:val="13"/>
                <w:color w:val="auto"/>
              </w:rPr>
            </w:pPr>
          </w:p>
        </w:tc>
        <w:tc>
          <w:tcPr>
            <w:tcW w:w="260" w:type="dxa"/>
            <w:vAlign w:val="bottom"/>
            <w:tcBorders>
              <w:bottom w:val="single" w:sz="8" w:color="auto"/>
            </w:tcBorders>
            <w:shd w:val="clear" w:color="auto" w:fill="CFF0FC"/>
          </w:tcPr>
          <w:p>
            <w:pPr>
              <w:jc w:val="right"/>
              <w:ind w:right="103"/>
              <w:spacing w:after="0" w:line="156" w:lineRule="exact"/>
              <w:rPr>
                <w:sz w:val="20"/>
                <w:szCs w:val="20"/>
                <w:color w:val="auto"/>
              </w:rPr>
            </w:pPr>
            <w:r>
              <w:rPr>
                <w:rFonts w:ascii="Arial" w:cs="Arial" w:eastAsia="Arial" w:hAnsi="Arial"/>
                <w:sz w:val="15"/>
                <w:szCs w:val="15"/>
                <w:color w:val="auto"/>
                <w:w w:val="71"/>
              </w:rPr>
              <w:t>$</w:t>
            </w:r>
          </w:p>
        </w:tc>
        <w:tc>
          <w:tcPr>
            <w:tcW w:w="880" w:type="dxa"/>
            <w:vAlign w:val="bottom"/>
            <w:tcBorders>
              <w:bottom w:val="single" w:sz="8" w:color="auto"/>
            </w:tcBorders>
            <w:shd w:val="clear" w:color="auto" w:fill="CFF0FC"/>
          </w:tcPr>
          <w:p>
            <w:pPr>
              <w:jc w:val="right"/>
              <w:spacing w:after="0" w:line="156" w:lineRule="exact"/>
              <w:rPr>
                <w:sz w:val="20"/>
                <w:szCs w:val="20"/>
                <w:color w:val="auto"/>
              </w:rPr>
            </w:pPr>
            <w:r>
              <w:rPr>
                <w:rFonts w:ascii="Arial" w:cs="Arial" w:eastAsia="Arial" w:hAnsi="Arial"/>
                <w:sz w:val="15"/>
                <w:szCs w:val="15"/>
                <w:color w:val="auto"/>
              </w:rPr>
              <w:t>1,176</w:t>
            </w:r>
          </w:p>
        </w:tc>
        <w:tc>
          <w:tcPr>
            <w:tcW w:w="120" w:type="dxa"/>
            <w:vAlign w:val="bottom"/>
            <w:tcBorders>
              <w:bottom w:val="single" w:sz="8" w:color="CFF0FC"/>
            </w:tcBorders>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744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7440" w:type="dxa"/>
            <w:vAlign w:val="bottom"/>
          </w:tcPr>
          <w:p>
            <w:pPr>
              <w:ind w:left="260"/>
              <w:spacing w:after="0" w:line="156" w:lineRule="exact"/>
              <w:rPr>
                <w:sz w:val="20"/>
                <w:szCs w:val="20"/>
                <w:color w:val="auto"/>
              </w:rPr>
            </w:pPr>
            <w:r>
              <w:rPr>
                <w:rFonts w:ascii="Arial" w:cs="Arial" w:eastAsia="Arial" w:hAnsi="Arial"/>
                <w:sz w:val="15"/>
                <w:szCs w:val="15"/>
                <w:color w:val="auto"/>
              </w:rPr>
              <w:t>Leased assets obtained in exchange for new operating lease liabilities</w:t>
            </w:r>
          </w:p>
        </w:tc>
        <w:tc>
          <w:tcPr>
            <w:tcW w:w="740" w:type="dxa"/>
            <w:vAlign w:val="bottom"/>
          </w:tcPr>
          <w:p>
            <w:pPr>
              <w:jc w:val="right"/>
              <w:ind w:right="583"/>
              <w:spacing w:after="0" w:line="156" w:lineRule="exact"/>
              <w:rPr>
                <w:sz w:val="20"/>
                <w:szCs w:val="20"/>
                <w:color w:val="auto"/>
              </w:rPr>
            </w:pPr>
            <w:r>
              <w:rPr>
                <w:rFonts w:ascii="Arial" w:cs="Arial" w:eastAsia="Arial" w:hAnsi="Arial"/>
                <w:sz w:val="15"/>
                <w:szCs w:val="15"/>
                <w:color w:val="auto"/>
                <w:w w:val="71"/>
              </w:rPr>
              <w:t>$</w:t>
            </w:r>
          </w:p>
        </w:tc>
        <w:tc>
          <w:tcPr>
            <w:tcW w:w="400" w:type="dxa"/>
            <w:vAlign w:val="bottom"/>
          </w:tcPr>
          <w:p>
            <w:pPr>
              <w:jc w:val="right"/>
              <w:spacing w:after="0" w:line="156" w:lineRule="exact"/>
              <w:rPr>
                <w:sz w:val="20"/>
                <w:szCs w:val="20"/>
                <w:color w:val="auto"/>
              </w:rPr>
            </w:pPr>
            <w:r>
              <w:rPr>
                <w:rFonts w:ascii="Arial" w:cs="Arial" w:eastAsia="Arial" w:hAnsi="Arial"/>
                <w:sz w:val="15"/>
                <w:szCs w:val="15"/>
                <w:color w:val="auto"/>
                <w:w w:val="95"/>
              </w:rPr>
              <w:t>2,699</w:t>
            </w:r>
          </w:p>
        </w:tc>
        <w:tc>
          <w:tcPr>
            <w:tcW w:w="440" w:type="dxa"/>
            <w:vAlign w:val="bottom"/>
            <w:gridSpan w:val="2"/>
          </w:tcPr>
          <w:p>
            <w:pPr>
              <w:jc w:val="right"/>
              <w:ind w:right="63"/>
              <w:spacing w:after="0" w:line="156" w:lineRule="exact"/>
              <w:rPr>
                <w:sz w:val="20"/>
                <w:szCs w:val="20"/>
                <w:color w:val="auto"/>
              </w:rPr>
            </w:pPr>
            <w:r>
              <w:rPr>
                <w:rFonts w:ascii="Arial" w:cs="Arial" w:eastAsia="Arial" w:hAnsi="Arial"/>
                <w:sz w:val="15"/>
                <w:szCs w:val="15"/>
                <w:color w:val="auto"/>
              </w:rPr>
              <w:t>$</w:t>
            </w:r>
          </w:p>
        </w:tc>
        <w:tc>
          <w:tcPr>
            <w:tcW w:w="1140" w:type="dxa"/>
            <w:vAlign w:val="bottom"/>
            <w:gridSpan w:val="2"/>
          </w:tcPr>
          <w:p>
            <w:pPr>
              <w:jc w:val="right"/>
              <w:ind w:right="240"/>
              <w:spacing w:after="0" w:line="156" w:lineRule="exact"/>
              <w:rPr>
                <w:sz w:val="20"/>
                <w:szCs w:val="20"/>
                <w:color w:val="auto"/>
              </w:rPr>
            </w:pPr>
            <w:r>
              <w:rPr>
                <w:rFonts w:ascii="Arial" w:cs="Arial" w:eastAsia="Arial" w:hAnsi="Arial"/>
                <w:sz w:val="15"/>
                <w:szCs w:val="15"/>
                <w:color w:val="auto"/>
              </w:rPr>
              <w:t>—</w:t>
            </w:r>
          </w:p>
        </w:tc>
        <w:tc>
          <w:tcPr>
            <w:tcW w:w="260" w:type="dxa"/>
            <w:vAlign w:val="bottom"/>
          </w:tcPr>
          <w:p>
            <w:pPr>
              <w:jc w:val="right"/>
              <w:ind w:right="103"/>
              <w:spacing w:after="0" w:line="156" w:lineRule="exact"/>
              <w:rPr>
                <w:sz w:val="20"/>
                <w:szCs w:val="20"/>
                <w:color w:val="auto"/>
              </w:rPr>
            </w:pPr>
            <w:r>
              <w:rPr>
                <w:rFonts w:ascii="Arial" w:cs="Arial" w:eastAsia="Arial" w:hAnsi="Arial"/>
                <w:sz w:val="15"/>
                <w:szCs w:val="15"/>
                <w:color w:val="auto"/>
                <w:w w:val="71"/>
              </w:rPr>
              <w:t>$</w:t>
            </w:r>
          </w:p>
        </w:tc>
        <w:tc>
          <w:tcPr>
            <w:tcW w:w="1000" w:type="dxa"/>
            <w:vAlign w:val="bottom"/>
            <w:gridSpan w:val="2"/>
          </w:tcPr>
          <w:p>
            <w:pPr>
              <w:jc w:val="right"/>
              <w:ind w:right="140"/>
              <w:spacing w:after="0" w:line="156" w:lineRule="exact"/>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0"/>
        </w:trPr>
        <w:tc>
          <w:tcPr>
            <w:tcW w:w="744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272020"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333" w:right="239" w:bottom="1440" w:gutter="0" w:footer="0" w:header="0"/>
        </w:sectPr>
      </w:pPr>
    </w:p>
    <w:bookmarkStart w:id="62" w:name="page63"/>
    <w:bookmarkEnd w:id="62"/>
    <w:p>
      <w:pPr>
        <w:jc w:val="center"/>
        <w:ind w:right="-39"/>
        <w:spacing w:after="0"/>
        <w:rPr>
          <w:sz w:val="20"/>
          <w:szCs w:val="20"/>
          <w:color w:val="auto"/>
        </w:rPr>
      </w:pPr>
      <w:r>
        <w:rPr>
          <w:rFonts w:ascii="Arial" w:cs="Arial" w:eastAsia="Arial" w:hAnsi="Arial"/>
          <w:sz w:val="18"/>
          <w:szCs w:val="18"/>
          <w:b w:val="1"/>
          <w:bCs w:val="1"/>
          <w:color w:val="auto"/>
        </w:rPr>
        <w:t>BLACKLINE, INC.</w:t>
      </w:r>
    </w:p>
    <w:p>
      <w:pPr>
        <w:spacing w:after="0" w:line="18"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9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Note 1—The Company</w:t>
      </w:r>
    </w:p>
    <w:p>
      <w:pPr>
        <w:spacing w:after="0" w:line="126" w:lineRule="exact"/>
        <w:rPr>
          <w:sz w:val="20"/>
          <w:szCs w:val="20"/>
          <w:color w:val="auto"/>
        </w:rPr>
      </w:pPr>
    </w:p>
    <w:p>
      <w:pPr>
        <w:ind w:right="340" w:firstLine="518"/>
        <w:spacing w:after="0" w:line="239" w:lineRule="auto"/>
        <w:rPr>
          <w:sz w:val="20"/>
          <w:szCs w:val="20"/>
          <w:color w:val="auto"/>
        </w:rPr>
      </w:pPr>
      <w:r>
        <w:rPr>
          <w:rFonts w:ascii="Arial" w:cs="Arial" w:eastAsia="Arial" w:hAnsi="Arial"/>
          <w:sz w:val="18"/>
          <w:szCs w:val="18"/>
          <w:color w:val="auto"/>
        </w:rPr>
        <w:t>BlackLine, Inc. and its subsidiaries (the “Company” or “BlackLine”) provide financial accounting close solutions delivered primarily as Software as a Service (“SaaS”). The Company’s solutions enable its customers to address various aspects of their financial close process including account reconciliations, variance analysis of account balances, journal entry capabilities, and certain types of data matching capabilities.</w:t>
      </w:r>
    </w:p>
    <w:p>
      <w:pPr>
        <w:spacing w:after="0" w:line="202" w:lineRule="exact"/>
        <w:rPr>
          <w:sz w:val="20"/>
          <w:szCs w:val="20"/>
          <w:color w:val="auto"/>
        </w:rPr>
      </w:pPr>
    </w:p>
    <w:p>
      <w:pPr>
        <w:ind w:right="100" w:firstLine="518"/>
        <w:spacing w:after="0" w:line="239" w:lineRule="auto"/>
        <w:rPr>
          <w:sz w:val="20"/>
          <w:szCs w:val="20"/>
          <w:color w:val="auto"/>
        </w:rPr>
      </w:pPr>
      <w:r>
        <w:rPr>
          <w:rFonts w:ascii="Arial" w:cs="Arial" w:eastAsia="Arial" w:hAnsi="Arial"/>
          <w:sz w:val="18"/>
          <w:szCs w:val="18"/>
          <w:color w:val="auto"/>
        </w:rPr>
        <w:t>The Company is a holding company and conducts its operations through its wholly-owned subsidiary, BlackLine Systems, Inc. (“BlackLine Systems”). BlackLine Systems funded its business with investments from its founder and cash flows from operations until September 3, 2013, when the Company acquired BlackLine Systems, and Silver Lake Sumeru and Iconiq acquired a controlling interest in the Company, which is referred to as the “2013 Acquisition.”</w:t>
      </w:r>
    </w:p>
    <w:p>
      <w:pPr>
        <w:spacing w:after="0" w:line="202" w:lineRule="exact"/>
        <w:rPr>
          <w:sz w:val="20"/>
          <w:szCs w:val="20"/>
          <w:color w:val="auto"/>
        </w:rPr>
      </w:pPr>
    </w:p>
    <w:p>
      <w:pPr>
        <w:ind w:left="520"/>
        <w:spacing w:after="0"/>
        <w:rPr>
          <w:sz w:val="20"/>
          <w:szCs w:val="20"/>
          <w:color w:val="auto"/>
        </w:rPr>
      </w:pPr>
      <w:r>
        <w:rPr>
          <w:rFonts w:ascii="Arial" w:cs="Arial" w:eastAsia="Arial" w:hAnsi="Arial"/>
          <w:sz w:val="18"/>
          <w:szCs w:val="18"/>
          <w:color w:val="auto"/>
        </w:rPr>
        <w:t>On August 31, 2016 the Company acquired Runbook Company B.V. (“Runbook”), which is referred to as the “Runbook Acquisition.”</w:t>
      </w:r>
    </w:p>
    <w:p>
      <w:pPr>
        <w:spacing w:after="0" w:line="212" w:lineRule="exact"/>
        <w:rPr>
          <w:sz w:val="20"/>
          <w:szCs w:val="20"/>
          <w:color w:val="auto"/>
        </w:rPr>
      </w:pPr>
    </w:p>
    <w:p>
      <w:pPr>
        <w:ind w:right="40" w:firstLine="518"/>
        <w:spacing w:after="0" w:line="246" w:lineRule="auto"/>
        <w:rPr>
          <w:sz w:val="20"/>
          <w:szCs w:val="20"/>
          <w:color w:val="auto"/>
        </w:rPr>
      </w:pPr>
      <w:r>
        <w:rPr>
          <w:rFonts w:ascii="Arial" w:cs="Arial" w:eastAsia="Arial" w:hAnsi="Arial"/>
          <w:sz w:val="18"/>
          <w:szCs w:val="18"/>
          <w:color w:val="auto"/>
        </w:rPr>
        <w:t>The Company is headquartered in Woodland Hills, California and has offices in the Netherlands, Canada, France, Singapore, the United Kingdom, Germany, Australia, Hong Kong, Romania, and Poland.</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Note 2—Significant Accounting Policies</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Principles of consolidation and basis of presentation</w:t>
      </w:r>
    </w:p>
    <w:p>
      <w:pPr>
        <w:spacing w:after="0" w:line="126" w:lineRule="exact"/>
        <w:rPr>
          <w:sz w:val="20"/>
          <w:szCs w:val="20"/>
          <w:color w:val="auto"/>
        </w:rPr>
      </w:pPr>
    </w:p>
    <w:p>
      <w:pPr>
        <w:ind w:right="440" w:firstLine="518"/>
        <w:spacing w:after="0"/>
        <w:rPr>
          <w:sz w:val="20"/>
          <w:szCs w:val="20"/>
          <w:color w:val="auto"/>
        </w:rPr>
      </w:pPr>
      <w:r>
        <w:rPr>
          <w:rFonts w:ascii="Arial" w:cs="Arial" w:eastAsia="Arial" w:hAnsi="Arial"/>
          <w:sz w:val="18"/>
          <w:szCs w:val="18"/>
          <w:color w:val="auto"/>
        </w:rPr>
        <w:t>The Company’s consolidated financial statements are presented in accordance with accounting principles generally accepted in the United States of America (“GAAP”) and include the operating results of its wholly-owned subsidiaries. All intercompany accounts and transactions have been eliminated in consolidation.</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Revision of Previously-Issued Financial Statements</w:t>
      </w:r>
    </w:p>
    <w:p>
      <w:pPr>
        <w:spacing w:after="0" w:line="126" w:lineRule="exact"/>
        <w:rPr>
          <w:sz w:val="20"/>
          <w:szCs w:val="20"/>
          <w:color w:val="auto"/>
        </w:rPr>
      </w:pPr>
    </w:p>
    <w:p>
      <w:pPr>
        <w:ind w:right="200" w:firstLine="518"/>
        <w:spacing w:after="0" w:line="238" w:lineRule="auto"/>
        <w:rPr>
          <w:sz w:val="20"/>
          <w:szCs w:val="20"/>
          <w:color w:val="auto"/>
        </w:rPr>
      </w:pPr>
      <w:r>
        <w:rPr>
          <w:rFonts w:ascii="Arial" w:cs="Arial" w:eastAsia="Arial" w:hAnsi="Arial"/>
          <w:sz w:val="18"/>
          <w:szCs w:val="18"/>
          <w:color w:val="auto"/>
        </w:rPr>
        <w:t>In connection with the preparation of its 2019 annual financial statements, the Company identified an error in its historical provision for income taxes, which resulted in an understatement of its tax provision and deferred tax liabilities in its previously-issued financial statements. The error resulted from the recognition of a foreign deferred tax asset that should not have been recognized for the difference in international entity income for statutory purposes and international entity income included on the consolidated income tax provision. There was no corresponding domestic benefit of this incremental foreign tax expense due to the U.S. entity being subject to a full valuation allowance.</w:t>
      </w:r>
    </w:p>
    <w:p>
      <w:pPr>
        <w:spacing w:after="0" w:line="230" w:lineRule="exact"/>
        <w:rPr>
          <w:sz w:val="20"/>
          <w:szCs w:val="20"/>
          <w:color w:val="auto"/>
        </w:rPr>
      </w:pPr>
    </w:p>
    <w:p>
      <w:pPr>
        <w:ind w:firstLine="518"/>
        <w:spacing w:after="0" w:line="236" w:lineRule="auto"/>
        <w:rPr>
          <w:sz w:val="20"/>
          <w:szCs w:val="20"/>
          <w:color w:val="auto"/>
        </w:rPr>
      </w:pPr>
      <w:r>
        <w:rPr>
          <w:rFonts w:ascii="Arial" w:cs="Arial" w:eastAsia="Arial" w:hAnsi="Arial"/>
          <w:sz w:val="18"/>
          <w:szCs w:val="18"/>
          <w:color w:val="auto"/>
        </w:rPr>
        <w:t xml:space="preserve">The Company evaluated the effect of these errors on prior periods under the guidance of SEC Staff Accounting Bulletin (“SAB”) No. 99, </w:t>
      </w:r>
      <w:r>
        <w:rPr>
          <w:rFonts w:ascii="Arial" w:cs="Arial" w:eastAsia="Arial" w:hAnsi="Arial"/>
          <w:sz w:val="18"/>
          <w:szCs w:val="18"/>
          <w:i w:val="1"/>
          <w:iCs w:val="1"/>
          <w:color w:val="auto"/>
        </w:rPr>
        <w:t xml:space="preserve">Materiality, </w:t>
      </w:r>
      <w:r>
        <w:rPr>
          <w:rFonts w:ascii="Arial" w:cs="Arial" w:eastAsia="Arial" w:hAnsi="Arial"/>
          <w:sz w:val="18"/>
          <w:szCs w:val="18"/>
          <w:color w:val="auto"/>
        </w:rPr>
        <w:t>and determined the amounts were not material to previously-issued financial statements. The Company also evaluated the effect of</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correcting these errors through a cumulative adjustment to the financial statements and concluded, based on the guidance within SAB No. 108, </w:t>
      </w:r>
      <w:r>
        <w:rPr>
          <w:rFonts w:ascii="Arial" w:cs="Arial" w:eastAsia="Arial" w:hAnsi="Arial"/>
          <w:sz w:val="18"/>
          <w:szCs w:val="18"/>
          <w:i w:val="1"/>
          <w:iCs w:val="1"/>
          <w:color w:val="auto"/>
        </w:rPr>
        <w:t>Considering the Effects of Prior Year Misstatements when Quantifying Misstatements in Current Year Financial Statements</w:t>
      </w:r>
      <w:r>
        <w:rPr>
          <w:rFonts w:ascii="Arial" w:cs="Arial" w:eastAsia="Arial" w:hAnsi="Arial"/>
          <w:sz w:val="18"/>
          <w:szCs w:val="18"/>
          <w:color w:val="auto"/>
        </w:rPr>
        <w:t>, it was appropriate</w:t>
      </w:r>
      <w:r>
        <w:rPr>
          <w:rFonts w:ascii="Arial" w:cs="Arial" w:eastAsia="Arial" w:hAnsi="Arial"/>
          <w:sz w:val="18"/>
          <w:szCs w:val="18"/>
          <w:i w:val="1"/>
          <w:iCs w:val="1"/>
          <w:color w:val="auto"/>
        </w:rPr>
        <w:t xml:space="preserve"> </w:t>
      </w:r>
      <w:r>
        <w:rPr>
          <w:rFonts w:ascii="Arial" w:cs="Arial" w:eastAsia="Arial" w:hAnsi="Arial"/>
          <w:sz w:val="18"/>
          <w:szCs w:val="18"/>
          <w:color w:val="auto"/>
        </w:rPr>
        <w:t>to revise the previously-issued financial statements to correct these errors. As a result, the Company has revised the accompanying 2018 and 2017 consolidated financial statements. All relevant footnotes have also been adjusted to reflect the impact of the revision for this tax error, as well as certain prior period immaterial disclosure errors. See also Note 19, “Unaudited Quarterly Data”, for the impact of such errors on the unaudited quarterly financial data.</w:t>
      </w:r>
    </w:p>
    <w:p>
      <w:pPr>
        <w:spacing w:after="0" w:line="200" w:lineRule="exact"/>
        <w:rPr>
          <w:sz w:val="20"/>
          <w:szCs w:val="20"/>
          <w:color w:val="auto"/>
        </w:rPr>
      </w:pPr>
    </w:p>
    <w:p>
      <w:pPr>
        <w:spacing w:after="0" w:line="25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272020"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00"/>
          </w:cols>
          <w:pgMar w:left="240" w:top="333" w:right="259" w:bottom="1440" w:gutter="0" w:footer="0" w:header="0"/>
        </w:sectPr>
      </w:pPr>
    </w:p>
    <w:bookmarkStart w:id="63" w:name="page64"/>
    <w:bookmarkEnd w:id="63"/>
    <w:p>
      <w:pPr>
        <w:ind w:right="120" w:firstLine="518"/>
        <w:spacing w:after="0" w:line="246" w:lineRule="auto"/>
        <w:rPr>
          <w:sz w:val="20"/>
          <w:szCs w:val="20"/>
          <w:color w:val="auto"/>
        </w:rPr>
      </w:pPr>
      <w:r>
        <w:rPr>
          <w:rFonts w:ascii="Arial" w:cs="Arial" w:eastAsia="Arial" w:hAnsi="Arial"/>
          <w:sz w:val="18"/>
          <w:szCs w:val="18"/>
          <w:color w:val="auto"/>
        </w:rPr>
        <w:t>The following tables present the effect of the revision for the financial statement line items adjusted in the affected periods, including the $1.0 million adjustment to accumulated deficit at January 1, 2017 to correct for those tax errors that originated prior to 2017.</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Balance Sheet</w:t>
      </w:r>
    </w:p>
    <w:p>
      <w:pPr>
        <w:spacing w:after="0" w:line="59"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5020" w:type="dxa"/>
            <w:vAlign w:val="bottom"/>
          </w:tcPr>
          <w:p>
            <w:pPr>
              <w:spacing w:after="0"/>
              <w:rPr>
                <w:sz w:val="15"/>
                <w:szCs w:val="15"/>
                <w:color w:val="auto"/>
              </w:rPr>
            </w:pPr>
          </w:p>
        </w:tc>
        <w:tc>
          <w:tcPr>
            <w:tcW w:w="2380" w:type="dxa"/>
            <w:vAlign w:val="bottom"/>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2820" w:type="dxa"/>
            <w:vAlign w:val="bottom"/>
            <w:tcBorders>
              <w:bottom w:val="single" w:sz="8" w:color="auto"/>
            </w:tcBorders>
            <w:gridSpan w:val="3"/>
          </w:tcPr>
          <w:p>
            <w:pPr>
              <w:jc w:val="center"/>
              <w:ind w:left="558"/>
              <w:spacing w:after="0"/>
              <w:rPr>
                <w:sz w:val="20"/>
                <w:szCs w:val="20"/>
                <w:color w:val="auto"/>
              </w:rPr>
            </w:pPr>
            <w:r>
              <w:rPr>
                <w:rFonts w:ascii="Arial" w:cs="Arial" w:eastAsia="Arial" w:hAnsi="Arial"/>
                <w:sz w:val="14"/>
                <w:szCs w:val="14"/>
                <w:b w:val="1"/>
                <w:bCs w:val="1"/>
                <w:color w:val="auto"/>
              </w:rPr>
              <w:t>December 31, 2018</w:t>
            </w:r>
          </w:p>
        </w:tc>
        <w:tc>
          <w:tcPr>
            <w:tcW w:w="26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6"/>
        </w:trPr>
        <w:tc>
          <w:tcPr>
            <w:tcW w:w="5020" w:type="dxa"/>
            <w:vAlign w:val="bottom"/>
          </w:tcPr>
          <w:p>
            <w:pPr>
              <w:spacing w:after="0"/>
              <w:rPr>
                <w:sz w:val="13"/>
                <w:szCs w:val="13"/>
                <w:color w:val="auto"/>
              </w:rPr>
            </w:pPr>
          </w:p>
        </w:tc>
        <w:tc>
          <w:tcPr>
            <w:tcW w:w="23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540" w:type="dxa"/>
            <w:vAlign w:val="bottom"/>
          </w:tcPr>
          <w:p>
            <w:pPr>
              <w:jc w:val="right"/>
              <w:ind w:right="418"/>
              <w:spacing w:after="0" w:line="156" w:lineRule="exact"/>
              <w:rPr>
                <w:sz w:val="20"/>
                <w:szCs w:val="20"/>
                <w:color w:val="auto"/>
              </w:rPr>
            </w:pPr>
            <w:r>
              <w:rPr>
                <w:rFonts w:ascii="Arial" w:cs="Arial" w:eastAsia="Arial" w:hAnsi="Arial"/>
                <w:sz w:val="14"/>
                <w:szCs w:val="14"/>
                <w:b w:val="1"/>
                <w:bCs w:val="1"/>
                <w:color w:val="auto"/>
              </w:rPr>
              <w:t>As Previously</w:t>
            </w:r>
          </w:p>
        </w:tc>
        <w:tc>
          <w:tcPr>
            <w:tcW w:w="3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5"/>
        </w:trPr>
        <w:tc>
          <w:tcPr>
            <w:tcW w:w="5020" w:type="dxa"/>
            <w:vAlign w:val="bottom"/>
          </w:tcPr>
          <w:p>
            <w:pPr>
              <w:spacing w:after="0"/>
              <w:rPr>
                <w:sz w:val="15"/>
                <w:szCs w:val="15"/>
                <w:color w:val="auto"/>
              </w:rPr>
            </w:pPr>
          </w:p>
        </w:tc>
        <w:tc>
          <w:tcPr>
            <w:tcW w:w="23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540" w:type="dxa"/>
            <w:vAlign w:val="bottom"/>
          </w:tcPr>
          <w:p>
            <w:pPr>
              <w:jc w:val="right"/>
              <w:ind w:right="578"/>
              <w:spacing w:after="0"/>
              <w:rPr>
                <w:sz w:val="20"/>
                <w:szCs w:val="20"/>
                <w:color w:val="auto"/>
              </w:rPr>
            </w:pPr>
            <w:r>
              <w:rPr>
                <w:rFonts w:ascii="Arial" w:cs="Arial" w:eastAsia="Arial" w:hAnsi="Arial"/>
                <w:sz w:val="14"/>
                <w:szCs w:val="14"/>
                <w:b w:val="1"/>
                <w:bCs w:val="1"/>
                <w:color w:val="auto"/>
              </w:rPr>
              <w:t>Reported</w:t>
            </w:r>
          </w:p>
        </w:tc>
        <w:tc>
          <w:tcPr>
            <w:tcW w:w="1280" w:type="dxa"/>
            <w:vAlign w:val="bottom"/>
            <w:gridSpan w:val="2"/>
          </w:tcPr>
          <w:p>
            <w:pPr>
              <w:jc w:val="right"/>
              <w:ind w:right="190"/>
              <w:spacing w:after="0"/>
              <w:rPr>
                <w:sz w:val="20"/>
                <w:szCs w:val="20"/>
                <w:color w:val="auto"/>
              </w:rPr>
            </w:pPr>
            <w:r>
              <w:rPr>
                <w:rFonts w:ascii="Arial" w:cs="Arial" w:eastAsia="Arial" w:hAnsi="Arial"/>
                <w:sz w:val="14"/>
                <w:szCs w:val="14"/>
                <w:b w:val="1"/>
                <w:bCs w:val="1"/>
                <w:color w:val="auto"/>
              </w:rPr>
              <w:t>Adjustments</w:t>
            </w:r>
          </w:p>
        </w:tc>
        <w:tc>
          <w:tcPr>
            <w:tcW w:w="980" w:type="dxa"/>
            <w:vAlign w:val="bottom"/>
            <w:gridSpan w:val="3"/>
          </w:tcPr>
          <w:p>
            <w:pPr>
              <w:jc w:val="right"/>
              <w:ind w:right="160"/>
              <w:spacing w:after="0"/>
              <w:rPr>
                <w:sz w:val="20"/>
                <w:szCs w:val="20"/>
                <w:color w:val="auto"/>
              </w:rPr>
            </w:pPr>
            <w:r>
              <w:rPr>
                <w:rFonts w:ascii="Arial" w:cs="Arial" w:eastAsia="Arial" w:hAnsi="Arial"/>
                <w:sz w:val="14"/>
                <w:szCs w:val="14"/>
                <w:b w:val="1"/>
                <w:bCs w:val="1"/>
                <w:color w:val="auto"/>
              </w:rPr>
              <w:t>As Revised</w:t>
            </w:r>
          </w:p>
        </w:tc>
        <w:tc>
          <w:tcPr>
            <w:tcW w:w="0" w:type="dxa"/>
            <w:vAlign w:val="bottom"/>
          </w:tcPr>
          <w:p>
            <w:pPr>
              <w:spacing w:after="0"/>
              <w:rPr>
                <w:sz w:val="1"/>
                <w:szCs w:val="1"/>
                <w:color w:val="auto"/>
              </w:rPr>
            </w:pPr>
          </w:p>
        </w:tc>
      </w:tr>
      <w:tr>
        <w:trPr>
          <w:trHeight w:val="210"/>
        </w:trPr>
        <w:tc>
          <w:tcPr>
            <w:tcW w:w="5020" w:type="dxa"/>
            <w:vAlign w:val="bottom"/>
          </w:tcPr>
          <w:p>
            <w:pPr>
              <w:spacing w:after="0"/>
              <w:rPr>
                <w:sz w:val="18"/>
                <w:szCs w:val="18"/>
                <w:color w:val="auto"/>
              </w:rPr>
            </w:pPr>
          </w:p>
        </w:tc>
        <w:tc>
          <w:tcPr>
            <w:tcW w:w="2380" w:type="dxa"/>
            <w:vAlign w:val="bottom"/>
          </w:tcPr>
          <w:p>
            <w:pPr>
              <w:spacing w:after="0"/>
              <w:rPr>
                <w:sz w:val="18"/>
                <w:szCs w:val="18"/>
                <w:color w:val="auto"/>
              </w:rPr>
            </w:pPr>
          </w:p>
        </w:tc>
        <w:tc>
          <w:tcPr>
            <w:tcW w:w="40" w:type="dxa"/>
            <w:vAlign w:val="bottom"/>
            <w:tcBorders>
              <w:top w:val="single" w:sz="8" w:color="auto"/>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2820" w:type="dxa"/>
            <w:vAlign w:val="bottom"/>
            <w:tcBorders>
              <w:top w:val="single" w:sz="8" w:color="auto"/>
            </w:tcBorders>
            <w:gridSpan w:val="3"/>
          </w:tcPr>
          <w:p>
            <w:pPr>
              <w:jc w:val="center"/>
              <w:ind w:left="558"/>
              <w:spacing w:after="0"/>
              <w:rPr>
                <w:sz w:val="20"/>
                <w:szCs w:val="20"/>
                <w:color w:val="auto"/>
              </w:rPr>
            </w:pPr>
            <w:r>
              <w:rPr>
                <w:rFonts w:ascii="Arial" w:cs="Arial" w:eastAsia="Arial" w:hAnsi="Arial"/>
                <w:sz w:val="14"/>
                <w:szCs w:val="14"/>
                <w:b w:val="1"/>
                <w:bCs w:val="1"/>
                <w:color w:val="auto"/>
              </w:rPr>
              <w:t>(in thousands)</w:t>
            </w:r>
          </w:p>
        </w:tc>
        <w:tc>
          <w:tcPr>
            <w:tcW w:w="260" w:type="dxa"/>
            <w:vAlign w:val="bottom"/>
            <w:tcBorders>
              <w:top w:val="single" w:sz="8" w:color="auto"/>
            </w:tcBorders>
          </w:tcPr>
          <w:p>
            <w:pPr>
              <w:spacing w:after="0"/>
              <w:rPr>
                <w:sz w:val="18"/>
                <w:szCs w:val="18"/>
                <w:color w:val="auto"/>
              </w:rPr>
            </w:pPr>
          </w:p>
        </w:tc>
        <w:tc>
          <w:tcPr>
            <w:tcW w:w="6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20" w:type="dxa"/>
            <w:vAlign w:val="bottom"/>
            <w:shd w:val="clear" w:color="auto" w:fill="CFF0FC"/>
          </w:tcPr>
          <w:p>
            <w:pPr>
              <w:spacing w:after="0"/>
              <w:rPr>
                <w:sz w:val="20"/>
                <w:szCs w:val="20"/>
                <w:color w:val="auto"/>
              </w:rPr>
            </w:pPr>
            <w:r>
              <w:rPr>
                <w:rFonts w:ascii="Arial" w:cs="Arial" w:eastAsia="Arial" w:hAnsi="Arial"/>
                <w:sz w:val="18"/>
                <w:szCs w:val="18"/>
                <w:color w:val="auto"/>
              </w:rPr>
              <w:t>Other assets</w:t>
            </w:r>
          </w:p>
        </w:tc>
        <w:tc>
          <w:tcPr>
            <w:tcW w:w="2600" w:type="dxa"/>
            <w:vAlign w:val="bottom"/>
            <w:gridSpan w:val="3"/>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1540" w:type="dxa"/>
            <w:vAlign w:val="bottom"/>
            <w:shd w:val="clear" w:color="auto" w:fill="CFF0FC"/>
          </w:tcPr>
          <w:p>
            <w:pPr>
              <w:jc w:val="right"/>
              <w:ind w:right="98"/>
              <w:spacing w:after="0"/>
              <w:rPr>
                <w:sz w:val="20"/>
                <w:szCs w:val="20"/>
                <w:color w:val="auto"/>
              </w:rPr>
            </w:pPr>
            <w:r>
              <w:rPr>
                <w:rFonts w:ascii="Arial" w:cs="Arial" w:eastAsia="Arial" w:hAnsi="Arial"/>
                <w:sz w:val="18"/>
                <w:szCs w:val="18"/>
                <w:color w:val="auto"/>
              </w:rPr>
              <w:t>36,865</w:t>
            </w:r>
          </w:p>
        </w:tc>
        <w:tc>
          <w:tcPr>
            <w:tcW w:w="380" w:type="dxa"/>
            <w:vAlign w:val="bottom"/>
            <w:shd w:val="clear" w:color="auto" w:fill="CFF0FC"/>
          </w:tcPr>
          <w:p>
            <w:pPr>
              <w:jc w:val="right"/>
              <w:ind w:right="113"/>
              <w:spacing w:after="0"/>
              <w:rPr>
                <w:sz w:val="20"/>
                <w:szCs w:val="20"/>
                <w:color w:val="auto"/>
              </w:rPr>
            </w:pPr>
            <w:r>
              <w:rPr>
                <w:rFonts w:ascii="Arial" w:cs="Arial" w:eastAsia="Arial" w:hAnsi="Arial"/>
                <w:sz w:val="18"/>
                <w:szCs w:val="18"/>
                <w:color w:val="auto"/>
              </w:rPr>
              <w:t>$</w:t>
            </w:r>
          </w:p>
        </w:tc>
        <w:tc>
          <w:tcPr>
            <w:tcW w:w="90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rPr>
              <w:t>(387)</w:t>
            </w:r>
          </w:p>
        </w:tc>
        <w:tc>
          <w:tcPr>
            <w:tcW w:w="260" w:type="dxa"/>
            <w:vAlign w:val="bottom"/>
            <w:shd w:val="clear" w:color="auto" w:fill="CFF0FC"/>
          </w:tcPr>
          <w:p>
            <w:pPr>
              <w:ind w:left="20"/>
              <w:spacing w:after="0"/>
              <w:rPr>
                <w:sz w:val="20"/>
                <w:szCs w:val="20"/>
                <w:color w:val="auto"/>
              </w:rPr>
            </w:pPr>
            <w:r>
              <w:rPr>
                <w:rFonts w:ascii="Arial" w:cs="Arial" w:eastAsia="Arial" w:hAnsi="Arial"/>
                <w:sz w:val="18"/>
                <w:szCs w:val="18"/>
                <w:color w:val="auto"/>
              </w:rPr>
              <w:t>$</w:t>
            </w: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36,478</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20" w:type="dxa"/>
            <w:vAlign w:val="bottom"/>
          </w:tcPr>
          <w:p>
            <w:pPr>
              <w:spacing w:after="0"/>
              <w:rPr>
                <w:sz w:val="20"/>
                <w:szCs w:val="20"/>
                <w:color w:val="auto"/>
              </w:rPr>
            </w:pPr>
            <w:r>
              <w:rPr>
                <w:rFonts w:ascii="Arial" w:cs="Arial" w:eastAsia="Arial" w:hAnsi="Arial"/>
                <w:sz w:val="18"/>
                <w:szCs w:val="18"/>
                <w:color w:val="auto"/>
              </w:rPr>
              <w:t>Total assets</w:t>
            </w:r>
          </w:p>
        </w:tc>
        <w:tc>
          <w:tcPr>
            <w:tcW w:w="2600" w:type="dxa"/>
            <w:vAlign w:val="bottom"/>
            <w:gridSpan w:val="3"/>
          </w:tcPr>
          <w:p>
            <w:pPr>
              <w:jc w:val="right"/>
              <w:ind w:right="120"/>
              <w:spacing w:after="0"/>
              <w:rPr>
                <w:sz w:val="20"/>
                <w:szCs w:val="20"/>
                <w:color w:val="auto"/>
              </w:rPr>
            </w:pPr>
            <w:r>
              <w:rPr>
                <w:rFonts w:ascii="Arial" w:cs="Arial" w:eastAsia="Arial" w:hAnsi="Arial"/>
                <w:sz w:val="18"/>
                <w:szCs w:val="18"/>
                <w:color w:val="auto"/>
              </w:rPr>
              <w:t>$</w:t>
            </w:r>
          </w:p>
        </w:tc>
        <w:tc>
          <w:tcPr>
            <w:tcW w:w="1540" w:type="dxa"/>
            <w:vAlign w:val="bottom"/>
          </w:tcPr>
          <w:p>
            <w:pPr>
              <w:jc w:val="right"/>
              <w:ind w:right="98"/>
              <w:spacing w:after="0"/>
              <w:rPr>
                <w:sz w:val="20"/>
                <w:szCs w:val="20"/>
                <w:color w:val="auto"/>
              </w:rPr>
            </w:pPr>
            <w:r>
              <w:rPr>
                <w:rFonts w:ascii="Arial" w:cs="Arial" w:eastAsia="Arial" w:hAnsi="Arial"/>
                <w:sz w:val="18"/>
                <w:szCs w:val="18"/>
                <w:color w:val="auto"/>
              </w:rPr>
              <w:t>493,868</w:t>
            </w:r>
          </w:p>
        </w:tc>
        <w:tc>
          <w:tcPr>
            <w:tcW w:w="380" w:type="dxa"/>
            <w:vAlign w:val="bottom"/>
          </w:tcPr>
          <w:p>
            <w:pPr>
              <w:jc w:val="right"/>
              <w:ind w:right="113"/>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70"/>
              <w:spacing w:after="0"/>
              <w:rPr>
                <w:sz w:val="20"/>
                <w:szCs w:val="20"/>
                <w:color w:val="auto"/>
              </w:rPr>
            </w:pPr>
            <w:r>
              <w:rPr>
                <w:rFonts w:ascii="Arial" w:cs="Arial" w:eastAsia="Arial" w:hAnsi="Arial"/>
                <w:sz w:val="18"/>
                <w:szCs w:val="18"/>
                <w:color w:val="auto"/>
              </w:rPr>
              <w:t>(387)</w:t>
            </w: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$ 493,481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20" w:type="dxa"/>
            <w:vAlign w:val="bottom"/>
            <w:shd w:val="clear" w:color="auto" w:fill="CFF0FC"/>
          </w:tcPr>
          <w:p>
            <w:pPr>
              <w:spacing w:after="0"/>
              <w:rPr>
                <w:sz w:val="20"/>
                <w:szCs w:val="20"/>
                <w:color w:val="auto"/>
              </w:rPr>
            </w:pPr>
            <w:r>
              <w:rPr>
                <w:rFonts w:ascii="Arial" w:cs="Arial" w:eastAsia="Arial" w:hAnsi="Arial"/>
                <w:sz w:val="18"/>
                <w:szCs w:val="18"/>
                <w:color w:val="auto"/>
              </w:rPr>
              <w:t>Accrued expenses and other current liabilities</w:t>
            </w:r>
          </w:p>
        </w:tc>
        <w:tc>
          <w:tcPr>
            <w:tcW w:w="2600" w:type="dxa"/>
            <w:vAlign w:val="bottom"/>
            <w:gridSpan w:val="3"/>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1540" w:type="dxa"/>
            <w:vAlign w:val="bottom"/>
            <w:shd w:val="clear" w:color="auto" w:fill="CFF0FC"/>
          </w:tcPr>
          <w:p>
            <w:pPr>
              <w:jc w:val="right"/>
              <w:ind w:right="98"/>
              <w:spacing w:after="0"/>
              <w:rPr>
                <w:sz w:val="20"/>
                <w:szCs w:val="20"/>
                <w:color w:val="auto"/>
              </w:rPr>
            </w:pPr>
            <w:r>
              <w:rPr>
                <w:rFonts w:ascii="Arial" w:cs="Arial" w:eastAsia="Arial" w:hAnsi="Arial"/>
                <w:sz w:val="18"/>
                <w:szCs w:val="18"/>
                <w:color w:val="auto"/>
              </w:rPr>
              <w:t>24,705</w:t>
            </w:r>
          </w:p>
        </w:tc>
        <w:tc>
          <w:tcPr>
            <w:tcW w:w="380" w:type="dxa"/>
            <w:vAlign w:val="bottom"/>
            <w:shd w:val="clear" w:color="auto" w:fill="CFF0FC"/>
          </w:tcPr>
          <w:p>
            <w:pPr>
              <w:jc w:val="right"/>
              <w:ind w:right="113"/>
              <w:spacing w:after="0"/>
              <w:rPr>
                <w:sz w:val="20"/>
                <w:szCs w:val="20"/>
                <w:color w:val="auto"/>
              </w:rPr>
            </w:pPr>
            <w:r>
              <w:rPr>
                <w:rFonts w:ascii="Arial" w:cs="Arial" w:eastAsia="Arial" w:hAnsi="Arial"/>
                <w:sz w:val="18"/>
                <w:szCs w:val="18"/>
                <w:color w:val="auto"/>
              </w:rPr>
              <w:t>$</w:t>
            </w:r>
          </w:p>
        </w:tc>
        <w:tc>
          <w:tcPr>
            <w:tcW w:w="90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rPr>
              <w:t>(226)</w:t>
            </w:r>
          </w:p>
        </w:tc>
        <w:tc>
          <w:tcPr>
            <w:tcW w:w="260" w:type="dxa"/>
            <w:vAlign w:val="bottom"/>
            <w:shd w:val="clear" w:color="auto" w:fill="CFF0FC"/>
          </w:tcPr>
          <w:p>
            <w:pPr>
              <w:ind w:left="20"/>
              <w:spacing w:after="0"/>
              <w:rPr>
                <w:sz w:val="20"/>
                <w:szCs w:val="20"/>
                <w:color w:val="auto"/>
              </w:rPr>
            </w:pPr>
            <w:r>
              <w:rPr>
                <w:rFonts w:ascii="Arial" w:cs="Arial" w:eastAsia="Arial" w:hAnsi="Arial"/>
                <w:sz w:val="18"/>
                <w:szCs w:val="18"/>
                <w:color w:val="auto"/>
              </w:rPr>
              <w:t>$</w:t>
            </w: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24,479</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20" w:type="dxa"/>
            <w:vAlign w:val="bottom"/>
          </w:tcPr>
          <w:p>
            <w:pPr>
              <w:spacing w:after="0"/>
              <w:rPr>
                <w:sz w:val="20"/>
                <w:szCs w:val="20"/>
                <w:color w:val="auto"/>
              </w:rPr>
            </w:pPr>
            <w:r>
              <w:rPr>
                <w:rFonts w:ascii="Arial" w:cs="Arial" w:eastAsia="Arial" w:hAnsi="Arial"/>
                <w:sz w:val="18"/>
                <w:szCs w:val="18"/>
                <w:color w:val="auto"/>
              </w:rPr>
              <w:t>Total current liabilities</w:t>
            </w:r>
          </w:p>
        </w:tc>
        <w:tc>
          <w:tcPr>
            <w:tcW w:w="2600" w:type="dxa"/>
            <w:vAlign w:val="bottom"/>
            <w:gridSpan w:val="3"/>
          </w:tcPr>
          <w:p>
            <w:pPr>
              <w:jc w:val="right"/>
              <w:ind w:right="120"/>
              <w:spacing w:after="0"/>
              <w:rPr>
                <w:sz w:val="20"/>
                <w:szCs w:val="20"/>
                <w:color w:val="auto"/>
              </w:rPr>
            </w:pPr>
            <w:r>
              <w:rPr>
                <w:rFonts w:ascii="Arial" w:cs="Arial" w:eastAsia="Arial" w:hAnsi="Arial"/>
                <w:sz w:val="18"/>
                <w:szCs w:val="18"/>
                <w:color w:val="auto"/>
              </w:rPr>
              <w:t>$</w:t>
            </w:r>
          </w:p>
        </w:tc>
        <w:tc>
          <w:tcPr>
            <w:tcW w:w="1540" w:type="dxa"/>
            <w:vAlign w:val="bottom"/>
          </w:tcPr>
          <w:p>
            <w:pPr>
              <w:jc w:val="right"/>
              <w:ind w:right="98"/>
              <w:spacing w:after="0"/>
              <w:rPr>
                <w:sz w:val="20"/>
                <w:szCs w:val="20"/>
                <w:color w:val="auto"/>
              </w:rPr>
            </w:pPr>
            <w:r>
              <w:rPr>
                <w:rFonts w:ascii="Arial" w:cs="Arial" w:eastAsia="Arial" w:hAnsi="Arial"/>
                <w:sz w:val="18"/>
                <w:szCs w:val="18"/>
                <w:color w:val="auto"/>
              </w:rPr>
              <w:t>159,229</w:t>
            </w:r>
          </w:p>
        </w:tc>
        <w:tc>
          <w:tcPr>
            <w:tcW w:w="380" w:type="dxa"/>
            <w:vAlign w:val="bottom"/>
          </w:tcPr>
          <w:p>
            <w:pPr>
              <w:jc w:val="right"/>
              <w:ind w:right="113"/>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70"/>
              <w:spacing w:after="0"/>
              <w:rPr>
                <w:sz w:val="20"/>
                <w:szCs w:val="20"/>
                <w:color w:val="auto"/>
              </w:rPr>
            </w:pPr>
            <w:r>
              <w:rPr>
                <w:rFonts w:ascii="Arial" w:cs="Arial" w:eastAsia="Arial" w:hAnsi="Arial"/>
                <w:sz w:val="18"/>
                <w:szCs w:val="18"/>
                <w:color w:val="auto"/>
              </w:rPr>
              <w:t>(226)</w:t>
            </w: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$ 159,003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20" w:type="dxa"/>
            <w:vAlign w:val="bottom"/>
            <w:shd w:val="clear" w:color="auto" w:fill="CFF0FC"/>
          </w:tcPr>
          <w:p>
            <w:pPr>
              <w:spacing w:after="0"/>
              <w:rPr>
                <w:sz w:val="20"/>
                <w:szCs w:val="20"/>
                <w:color w:val="auto"/>
              </w:rPr>
            </w:pPr>
            <w:r>
              <w:rPr>
                <w:rFonts w:ascii="Arial" w:cs="Arial" w:eastAsia="Arial" w:hAnsi="Arial"/>
                <w:sz w:val="18"/>
                <w:szCs w:val="18"/>
                <w:color w:val="auto"/>
              </w:rPr>
              <w:t>Deferred tax liabilities, net</w:t>
            </w:r>
          </w:p>
        </w:tc>
        <w:tc>
          <w:tcPr>
            <w:tcW w:w="2600" w:type="dxa"/>
            <w:vAlign w:val="bottom"/>
            <w:gridSpan w:val="3"/>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1540" w:type="dxa"/>
            <w:vAlign w:val="bottom"/>
            <w:shd w:val="clear" w:color="auto" w:fill="CFF0FC"/>
          </w:tcPr>
          <w:p>
            <w:pPr>
              <w:jc w:val="right"/>
              <w:ind w:right="98"/>
              <w:spacing w:after="0"/>
              <w:rPr>
                <w:sz w:val="20"/>
                <w:szCs w:val="20"/>
                <w:color w:val="auto"/>
              </w:rPr>
            </w:pPr>
            <w:r>
              <w:rPr>
                <w:rFonts w:ascii="Arial" w:cs="Arial" w:eastAsia="Arial" w:hAnsi="Arial"/>
                <w:sz w:val="18"/>
                <w:szCs w:val="18"/>
                <w:color w:val="auto"/>
              </w:rPr>
              <w:t>1,116</w:t>
            </w:r>
          </w:p>
        </w:tc>
        <w:tc>
          <w:tcPr>
            <w:tcW w:w="380" w:type="dxa"/>
            <w:vAlign w:val="bottom"/>
            <w:shd w:val="clear" w:color="auto" w:fill="CFF0FC"/>
          </w:tcPr>
          <w:p>
            <w:pPr>
              <w:jc w:val="right"/>
              <w:ind w:right="113"/>
              <w:spacing w:after="0"/>
              <w:rPr>
                <w:sz w:val="20"/>
                <w:szCs w:val="20"/>
                <w:color w:val="auto"/>
              </w:rPr>
            </w:pPr>
            <w:r>
              <w:rPr>
                <w:rFonts w:ascii="Arial" w:cs="Arial" w:eastAsia="Arial" w:hAnsi="Arial"/>
                <w:sz w:val="18"/>
                <w:szCs w:val="18"/>
                <w:color w:val="auto"/>
              </w:rPr>
              <w:t>$</w:t>
            </w:r>
          </w:p>
        </w:tc>
        <w:tc>
          <w:tcPr>
            <w:tcW w:w="900" w:type="dxa"/>
            <w:vAlign w:val="bottom"/>
            <w:shd w:val="clear" w:color="auto" w:fill="CFF0FC"/>
          </w:tcPr>
          <w:p>
            <w:pPr>
              <w:jc w:val="right"/>
              <w:ind w:right="150"/>
              <w:spacing w:after="0"/>
              <w:rPr>
                <w:sz w:val="20"/>
                <w:szCs w:val="20"/>
                <w:color w:val="auto"/>
              </w:rPr>
            </w:pPr>
            <w:r>
              <w:rPr>
                <w:rFonts w:ascii="Arial" w:cs="Arial" w:eastAsia="Arial" w:hAnsi="Arial"/>
                <w:sz w:val="18"/>
                <w:szCs w:val="18"/>
                <w:color w:val="auto"/>
              </w:rPr>
              <w:t>2,141</w:t>
            </w:r>
          </w:p>
        </w:tc>
        <w:tc>
          <w:tcPr>
            <w:tcW w:w="260" w:type="dxa"/>
            <w:vAlign w:val="bottom"/>
            <w:shd w:val="clear" w:color="auto" w:fill="CFF0FC"/>
          </w:tcPr>
          <w:p>
            <w:pPr>
              <w:ind w:left="20"/>
              <w:spacing w:after="0"/>
              <w:rPr>
                <w:sz w:val="20"/>
                <w:szCs w:val="20"/>
                <w:color w:val="auto"/>
              </w:rPr>
            </w:pPr>
            <w:r>
              <w:rPr>
                <w:rFonts w:ascii="Arial" w:cs="Arial" w:eastAsia="Arial" w:hAnsi="Arial"/>
                <w:sz w:val="18"/>
                <w:szCs w:val="18"/>
                <w:color w:val="auto"/>
              </w:rPr>
              <w:t>$</w:t>
            </w: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3,257</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20" w:type="dxa"/>
            <w:vAlign w:val="bottom"/>
          </w:tcPr>
          <w:p>
            <w:pPr>
              <w:spacing w:after="0"/>
              <w:rPr>
                <w:sz w:val="20"/>
                <w:szCs w:val="20"/>
                <w:color w:val="auto"/>
              </w:rPr>
            </w:pPr>
            <w:r>
              <w:rPr>
                <w:rFonts w:ascii="Arial" w:cs="Arial" w:eastAsia="Arial" w:hAnsi="Arial"/>
                <w:sz w:val="18"/>
                <w:szCs w:val="18"/>
                <w:color w:val="auto"/>
              </w:rPr>
              <w:t>Total liabilities</w:t>
            </w:r>
          </w:p>
        </w:tc>
        <w:tc>
          <w:tcPr>
            <w:tcW w:w="2600" w:type="dxa"/>
            <w:vAlign w:val="bottom"/>
            <w:gridSpan w:val="3"/>
          </w:tcPr>
          <w:p>
            <w:pPr>
              <w:jc w:val="right"/>
              <w:ind w:right="120"/>
              <w:spacing w:after="0"/>
              <w:rPr>
                <w:sz w:val="20"/>
                <w:szCs w:val="20"/>
                <w:color w:val="auto"/>
              </w:rPr>
            </w:pPr>
            <w:r>
              <w:rPr>
                <w:rFonts w:ascii="Arial" w:cs="Arial" w:eastAsia="Arial" w:hAnsi="Arial"/>
                <w:sz w:val="18"/>
                <w:szCs w:val="18"/>
                <w:color w:val="auto"/>
              </w:rPr>
              <w:t>$</w:t>
            </w:r>
          </w:p>
        </w:tc>
        <w:tc>
          <w:tcPr>
            <w:tcW w:w="1540" w:type="dxa"/>
            <w:vAlign w:val="bottom"/>
          </w:tcPr>
          <w:p>
            <w:pPr>
              <w:jc w:val="right"/>
              <w:ind w:right="98"/>
              <w:spacing w:after="0"/>
              <w:rPr>
                <w:sz w:val="20"/>
                <w:szCs w:val="20"/>
                <w:color w:val="auto"/>
              </w:rPr>
            </w:pPr>
            <w:r>
              <w:rPr>
                <w:rFonts w:ascii="Arial" w:cs="Arial" w:eastAsia="Arial" w:hAnsi="Arial"/>
                <w:sz w:val="18"/>
                <w:szCs w:val="18"/>
                <w:color w:val="auto"/>
              </w:rPr>
              <w:t>167,912</w:t>
            </w:r>
          </w:p>
        </w:tc>
        <w:tc>
          <w:tcPr>
            <w:tcW w:w="380" w:type="dxa"/>
            <w:vAlign w:val="bottom"/>
          </w:tcPr>
          <w:p>
            <w:pPr>
              <w:jc w:val="right"/>
              <w:ind w:right="113"/>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150"/>
              <w:spacing w:after="0"/>
              <w:rPr>
                <w:sz w:val="20"/>
                <w:szCs w:val="20"/>
                <w:color w:val="auto"/>
              </w:rPr>
            </w:pPr>
            <w:r>
              <w:rPr>
                <w:rFonts w:ascii="Arial" w:cs="Arial" w:eastAsia="Arial" w:hAnsi="Arial"/>
                <w:sz w:val="18"/>
                <w:szCs w:val="18"/>
                <w:color w:val="auto"/>
              </w:rPr>
              <w:t>1,915</w:t>
            </w: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$ 169,827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20" w:type="dxa"/>
            <w:vAlign w:val="bottom"/>
            <w:shd w:val="clear" w:color="auto" w:fill="CFF0FC"/>
          </w:tcPr>
          <w:p>
            <w:pPr>
              <w:spacing w:after="0"/>
              <w:rPr>
                <w:sz w:val="20"/>
                <w:szCs w:val="20"/>
                <w:color w:val="auto"/>
              </w:rPr>
            </w:pPr>
            <w:r>
              <w:rPr>
                <w:rFonts w:ascii="Arial" w:cs="Arial" w:eastAsia="Arial" w:hAnsi="Arial"/>
                <w:sz w:val="18"/>
                <w:szCs w:val="18"/>
                <w:color w:val="auto"/>
              </w:rPr>
              <w:t>Accumulated deficit</w:t>
            </w:r>
          </w:p>
        </w:tc>
        <w:tc>
          <w:tcPr>
            <w:tcW w:w="2600" w:type="dxa"/>
            <w:vAlign w:val="bottom"/>
            <w:gridSpan w:val="3"/>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1540" w:type="dxa"/>
            <w:vAlign w:val="bottom"/>
            <w:shd w:val="clear" w:color="auto" w:fill="CFF0FC"/>
          </w:tcPr>
          <w:p>
            <w:pPr>
              <w:jc w:val="right"/>
              <w:ind w:right="38"/>
              <w:spacing w:after="0"/>
              <w:rPr>
                <w:sz w:val="20"/>
                <w:szCs w:val="20"/>
                <w:color w:val="auto"/>
              </w:rPr>
            </w:pPr>
            <w:r>
              <w:rPr>
                <w:rFonts w:ascii="Arial" w:cs="Arial" w:eastAsia="Arial" w:hAnsi="Arial"/>
                <w:sz w:val="18"/>
                <w:szCs w:val="18"/>
                <w:color w:val="auto"/>
              </w:rPr>
              <w:t>(130,594)</w:t>
            </w:r>
          </w:p>
        </w:tc>
        <w:tc>
          <w:tcPr>
            <w:tcW w:w="380" w:type="dxa"/>
            <w:vAlign w:val="bottom"/>
            <w:shd w:val="clear" w:color="auto" w:fill="CFF0FC"/>
          </w:tcPr>
          <w:p>
            <w:pPr>
              <w:jc w:val="right"/>
              <w:ind w:right="113"/>
              <w:spacing w:after="0"/>
              <w:rPr>
                <w:sz w:val="20"/>
                <w:szCs w:val="20"/>
                <w:color w:val="auto"/>
              </w:rPr>
            </w:pPr>
            <w:r>
              <w:rPr>
                <w:rFonts w:ascii="Arial" w:cs="Arial" w:eastAsia="Arial" w:hAnsi="Arial"/>
                <w:sz w:val="18"/>
                <w:szCs w:val="18"/>
                <w:color w:val="auto"/>
              </w:rPr>
              <w:t>$</w:t>
            </w:r>
          </w:p>
        </w:tc>
        <w:tc>
          <w:tcPr>
            <w:tcW w:w="90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rPr>
              <w:t>(2,302)</w:t>
            </w:r>
          </w:p>
        </w:tc>
        <w:tc>
          <w:tcPr>
            <w:tcW w:w="980" w:type="dxa"/>
            <w:vAlign w:val="bottom"/>
            <w:gridSpan w:val="3"/>
            <w:shd w:val="clear" w:color="auto" w:fill="CFF0FC"/>
          </w:tcPr>
          <w:p>
            <w:pPr>
              <w:jc w:val="right"/>
              <w:ind w:right="40"/>
              <w:spacing w:after="0"/>
              <w:rPr>
                <w:sz w:val="20"/>
                <w:szCs w:val="20"/>
                <w:color w:val="auto"/>
              </w:rPr>
            </w:pPr>
            <w:r>
              <w:rPr>
                <w:rFonts w:ascii="Arial" w:cs="Arial" w:eastAsia="Arial" w:hAnsi="Arial"/>
                <w:sz w:val="18"/>
                <w:szCs w:val="18"/>
                <w:color w:val="auto"/>
                <w:w w:val="99"/>
              </w:rPr>
              <w:t>$ (132,896)</w:t>
            </w:r>
          </w:p>
        </w:tc>
        <w:tc>
          <w:tcPr>
            <w:tcW w:w="0" w:type="dxa"/>
            <w:vAlign w:val="bottom"/>
          </w:tcPr>
          <w:p>
            <w:pPr>
              <w:spacing w:after="0"/>
              <w:rPr>
                <w:sz w:val="1"/>
                <w:szCs w:val="1"/>
                <w:color w:val="auto"/>
              </w:rPr>
            </w:pPr>
          </w:p>
        </w:tc>
      </w:tr>
      <w:tr>
        <w:trPr>
          <w:trHeight w:val="216"/>
        </w:trPr>
        <w:tc>
          <w:tcPr>
            <w:tcW w:w="5020" w:type="dxa"/>
            <w:vAlign w:val="bottom"/>
          </w:tcPr>
          <w:p>
            <w:pPr>
              <w:spacing w:after="0"/>
              <w:rPr>
                <w:sz w:val="20"/>
                <w:szCs w:val="20"/>
                <w:color w:val="auto"/>
              </w:rPr>
            </w:pPr>
            <w:r>
              <w:rPr>
                <w:rFonts w:ascii="Arial" w:cs="Arial" w:eastAsia="Arial" w:hAnsi="Arial"/>
                <w:sz w:val="18"/>
                <w:szCs w:val="18"/>
                <w:color w:val="auto"/>
              </w:rPr>
              <w:t>Total stockholders' equity</w:t>
            </w:r>
          </w:p>
        </w:tc>
        <w:tc>
          <w:tcPr>
            <w:tcW w:w="2600" w:type="dxa"/>
            <w:vAlign w:val="bottom"/>
            <w:gridSpan w:val="3"/>
          </w:tcPr>
          <w:p>
            <w:pPr>
              <w:jc w:val="right"/>
              <w:ind w:right="120"/>
              <w:spacing w:after="0"/>
              <w:rPr>
                <w:sz w:val="20"/>
                <w:szCs w:val="20"/>
                <w:color w:val="auto"/>
              </w:rPr>
            </w:pPr>
            <w:r>
              <w:rPr>
                <w:rFonts w:ascii="Arial" w:cs="Arial" w:eastAsia="Arial" w:hAnsi="Arial"/>
                <w:sz w:val="18"/>
                <w:szCs w:val="18"/>
                <w:color w:val="auto"/>
              </w:rPr>
              <w:t>$</w:t>
            </w:r>
          </w:p>
        </w:tc>
        <w:tc>
          <w:tcPr>
            <w:tcW w:w="1540" w:type="dxa"/>
            <w:vAlign w:val="bottom"/>
          </w:tcPr>
          <w:p>
            <w:pPr>
              <w:jc w:val="right"/>
              <w:ind w:right="98"/>
              <w:spacing w:after="0"/>
              <w:rPr>
                <w:sz w:val="20"/>
                <w:szCs w:val="20"/>
                <w:color w:val="auto"/>
              </w:rPr>
            </w:pPr>
            <w:r>
              <w:rPr>
                <w:rFonts w:ascii="Arial" w:cs="Arial" w:eastAsia="Arial" w:hAnsi="Arial"/>
                <w:sz w:val="18"/>
                <w:szCs w:val="18"/>
                <w:color w:val="auto"/>
              </w:rPr>
              <w:t>321,569</w:t>
            </w:r>
          </w:p>
        </w:tc>
        <w:tc>
          <w:tcPr>
            <w:tcW w:w="380" w:type="dxa"/>
            <w:vAlign w:val="bottom"/>
          </w:tcPr>
          <w:p>
            <w:pPr>
              <w:jc w:val="right"/>
              <w:ind w:right="113"/>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70"/>
              <w:spacing w:after="0"/>
              <w:rPr>
                <w:sz w:val="20"/>
                <w:szCs w:val="20"/>
                <w:color w:val="auto"/>
              </w:rPr>
            </w:pPr>
            <w:r>
              <w:rPr>
                <w:rFonts w:ascii="Arial" w:cs="Arial" w:eastAsia="Arial" w:hAnsi="Arial"/>
                <w:sz w:val="18"/>
                <w:szCs w:val="18"/>
                <w:color w:val="auto"/>
              </w:rPr>
              <w:t>(2,302)</w:t>
            </w: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$ 319,267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20" w:type="dxa"/>
            <w:vAlign w:val="bottom"/>
            <w:shd w:val="clear" w:color="auto" w:fill="CFF0FC"/>
          </w:tcPr>
          <w:p>
            <w:pPr>
              <w:spacing w:after="0"/>
              <w:rPr>
                <w:sz w:val="20"/>
                <w:szCs w:val="20"/>
                <w:color w:val="auto"/>
              </w:rPr>
            </w:pPr>
            <w:r>
              <w:rPr>
                <w:rFonts w:ascii="Arial" w:cs="Arial" w:eastAsia="Arial" w:hAnsi="Arial"/>
                <w:sz w:val="18"/>
                <w:szCs w:val="18"/>
                <w:color w:val="auto"/>
              </w:rPr>
              <w:t>Total liabilities and stockholders' equity</w:t>
            </w:r>
          </w:p>
        </w:tc>
        <w:tc>
          <w:tcPr>
            <w:tcW w:w="2600" w:type="dxa"/>
            <w:vAlign w:val="bottom"/>
            <w:gridSpan w:val="3"/>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1540" w:type="dxa"/>
            <w:vAlign w:val="bottom"/>
            <w:shd w:val="clear" w:color="auto" w:fill="CFF0FC"/>
          </w:tcPr>
          <w:p>
            <w:pPr>
              <w:jc w:val="right"/>
              <w:ind w:right="98"/>
              <w:spacing w:after="0"/>
              <w:rPr>
                <w:sz w:val="20"/>
                <w:szCs w:val="20"/>
                <w:color w:val="auto"/>
              </w:rPr>
            </w:pPr>
            <w:r>
              <w:rPr>
                <w:rFonts w:ascii="Arial" w:cs="Arial" w:eastAsia="Arial" w:hAnsi="Arial"/>
                <w:sz w:val="18"/>
                <w:szCs w:val="18"/>
                <w:color w:val="auto"/>
              </w:rPr>
              <w:t>493,868</w:t>
            </w:r>
          </w:p>
        </w:tc>
        <w:tc>
          <w:tcPr>
            <w:tcW w:w="380" w:type="dxa"/>
            <w:vAlign w:val="bottom"/>
            <w:shd w:val="clear" w:color="auto" w:fill="CFF0FC"/>
          </w:tcPr>
          <w:p>
            <w:pPr>
              <w:jc w:val="right"/>
              <w:ind w:right="113"/>
              <w:spacing w:after="0"/>
              <w:rPr>
                <w:sz w:val="20"/>
                <w:szCs w:val="20"/>
                <w:color w:val="auto"/>
              </w:rPr>
            </w:pPr>
            <w:r>
              <w:rPr>
                <w:rFonts w:ascii="Arial" w:cs="Arial" w:eastAsia="Arial" w:hAnsi="Arial"/>
                <w:sz w:val="18"/>
                <w:szCs w:val="18"/>
                <w:color w:val="auto"/>
              </w:rPr>
              <w:t>$</w:t>
            </w:r>
          </w:p>
        </w:tc>
        <w:tc>
          <w:tcPr>
            <w:tcW w:w="90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rPr>
              <w:t>(387)</w:t>
            </w:r>
          </w:p>
        </w:tc>
        <w:tc>
          <w:tcPr>
            <w:tcW w:w="8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$ 493,481</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473"/>
        </w:trPr>
        <w:tc>
          <w:tcPr>
            <w:tcW w:w="5020" w:type="dxa"/>
            <w:vAlign w:val="bottom"/>
          </w:tcPr>
          <w:p>
            <w:pPr>
              <w:spacing w:after="0"/>
              <w:rPr>
                <w:sz w:val="20"/>
                <w:szCs w:val="20"/>
                <w:color w:val="auto"/>
              </w:rPr>
            </w:pPr>
            <w:r>
              <w:rPr>
                <w:rFonts w:ascii="Arial" w:cs="Arial" w:eastAsia="Arial" w:hAnsi="Arial"/>
                <w:sz w:val="18"/>
                <w:szCs w:val="18"/>
                <w:b w:val="1"/>
                <w:bCs w:val="1"/>
                <w:color w:val="auto"/>
              </w:rPr>
              <w:t>Consolidated Statements of Operations</w:t>
            </w:r>
          </w:p>
        </w:tc>
        <w:tc>
          <w:tcPr>
            <w:tcW w:w="23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5020" w:type="dxa"/>
            <w:vAlign w:val="bottom"/>
          </w:tcPr>
          <w:p>
            <w:pPr>
              <w:spacing w:after="0"/>
              <w:rPr>
                <w:sz w:val="17"/>
                <w:szCs w:val="17"/>
                <w:color w:val="auto"/>
              </w:rPr>
            </w:pPr>
          </w:p>
        </w:tc>
        <w:tc>
          <w:tcPr>
            <w:tcW w:w="23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2820" w:type="dxa"/>
            <w:vAlign w:val="bottom"/>
            <w:tcBorders>
              <w:bottom w:val="single" w:sz="8" w:color="auto"/>
            </w:tcBorders>
            <w:gridSpan w:val="3"/>
          </w:tcPr>
          <w:p>
            <w:pPr>
              <w:jc w:val="center"/>
              <w:ind w:left="618"/>
              <w:spacing w:after="0"/>
              <w:rPr>
                <w:sz w:val="20"/>
                <w:szCs w:val="20"/>
                <w:color w:val="auto"/>
              </w:rPr>
            </w:pPr>
            <w:r>
              <w:rPr>
                <w:rFonts w:ascii="Arial" w:cs="Arial" w:eastAsia="Arial" w:hAnsi="Arial"/>
                <w:sz w:val="14"/>
                <w:szCs w:val="14"/>
                <w:b w:val="1"/>
                <w:bCs w:val="1"/>
                <w:color w:val="auto"/>
              </w:rPr>
              <w:t>Year Ended December 31, 2018</w:t>
            </w:r>
          </w:p>
        </w:tc>
        <w:tc>
          <w:tcPr>
            <w:tcW w:w="26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56"/>
        </w:trPr>
        <w:tc>
          <w:tcPr>
            <w:tcW w:w="5020" w:type="dxa"/>
            <w:vAlign w:val="bottom"/>
          </w:tcPr>
          <w:p>
            <w:pPr>
              <w:spacing w:after="0"/>
              <w:rPr>
                <w:sz w:val="13"/>
                <w:szCs w:val="13"/>
                <w:color w:val="auto"/>
              </w:rPr>
            </w:pPr>
          </w:p>
        </w:tc>
        <w:tc>
          <w:tcPr>
            <w:tcW w:w="23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540" w:type="dxa"/>
            <w:vAlign w:val="bottom"/>
          </w:tcPr>
          <w:p>
            <w:pPr>
              <w:jc w:val="center"/>
              <w:ind w:right="218"/>
              <w:spacing w:after="0" w:line="156" w:lineRule="exact"/>
              <w:rPr>
                <w:sz w:val="20"/>
                <w:szCs w:val="20"/>
                <w:color w:val="auto"/>
              </w:rPr>
            </w:pPr>
            <w:r>
              <w:rPr>
                <w:rFonts w:ascii="Arial" w:cs="Arial" w:eastAsia="Arial" w:hAnsi="Arial"/>
                <w:sz w:val="14"/>
                <w:szCs w:val="14"/>
                <w:b w:val="1"/>
                <w:bCs w:val="1"/>
                <w:color w:val="auto"/>
              </w:rPr>
              <w:t>As Previously</w:t>
            </w:r>
          </w:p>
        </w:tc>
        <w:tc>
          <w:tcPr>
            <w:tcW w:w="3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5"/>
        </w:trPr>
        <w:tc>
          <w:tcPr>
            <w:tcW w:w="5020" w:type="dxa"/>
            <w:vAlign w:val="bottom"/>
          </w:tcPr>
          <w:p>
            <w:pPr>
              <w:spacing w:after="0"/>
              <w:rPr>
                <w:sz w:val="15"/>
                <w:szCs w:val="15"/>
                <w:color w:val="auto"/>
              </w:rPr>
            </w:pPr>
          </w:p>
        </w:tc>
        <w:tc>
          <w:tcPr>
            <w:tcW w:w="23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540" w:type="dxa"/>
            <w:vAlign w:val="bottom"/>
          </w:tcPr>
          <w:p>
            <w:pPr>
              <w:jc w:val="center"/>
              <w:ind w:right="218"/>
              <w:spacing w:after="0"/>
              <w:rPr>
                <w:sz w:val="20"/>
                <w:szCs w:val="20"/>
                <w:color w:val="auto"/>
              </w:rPr>
            </w:pPr>
            <w:r>
              <w:rPr>
                <w:rFonts w:ascii="Arial" w:cs="Arial" w:eastAsia="Arial" w:hAnsi="Arial"/>
                <w:sz w:val="14"/>
                <w:szCs w:val="14"/>
                <w:b w:val="1"/>
                <w:bCs w:val="1"/>
                <w:color w:val="auto"/>
              </w:rPr>
              <w:t>Reported</w:t>
            </w:r>
          </w:p>
        </w:tc>
        <w:tc>
          <w:tcPr>
            <w:tcW w:w="1280" w:type="dxa"/>
            <w:vAlign w:val="bottom"/>
            <w:gridSpan w:val="2"/>
          </w:tcPr>
          <w:p>
            <w:pPr>
              <w:jc w:val="right"/>
              <w:ind w:right="150"/>
              <w:spacing w:after="0"/>
              <w:rPr>
                <w:sz w:val="20"/>
                <w:szCs w:val="20"/>
                <w:color w:val="auto"/>
              </w:rPr>
            </w:pPr>
            <w:r>
              <w:rPr>
                <w:rFonts w:ascii="Arial" w:cs="Arial" w:eastAsia="Arial" w:hAnsi="Arial"/>
                <w:sz w:val="14"/>
                <w:szCs w:val="14"/>
                <w:b w:val="1"/>
                <w:bCs w:val="1"/>
                <w:color w:val="auto"/>
              </w:rPr>
              <w:t>Adjustments</w:t>
            </w:r>
          </w:p>
        </w:tc>
        <w:tc>
          <w:tcPr>
            <w:tcW w:w="980" w:type="dxa"/>
            <w:vAlign w:val="bottom"/>
            <w:gridSpan w:val="3"/>
          </w:tcPr>
          <w:p>
            <w:pPr>
              <w:ind w:left="80"/>
              <w:spacing w:after="0"/>
              <w:rPr>
                <w:sz w:val="20"/>
                <w:szCs w:val="20"/>
                <w:color w:val="auto"/>
              </w:rPr>
            </w:pPr>
            <w:r>
              <w:rPr>
                <w:rFonts w:ascii="Arial" w:cs="Arial" w:eastAsia="Arial" w:hAnsi="Arial"/>
                <w:sz w:val="14"/>
                <w:szCs w:val="14"/>
                <w:b w:val="1"/>
                <w:bCs w:val="1"/>
                <w:color w:val="auto"/>
              </w:rPr>
              <w:t>As Revised</w:t>
            </w:r>
          </w:p>
        </w:tc>
        <w:tc>
          <w:tcPr>
            <w:tcW w:w="0" w:type="dxa"/>
            <w:vAlign w:val="bottom"/>
          </w:tcPr>
          <w:p>
            <w:pPr>
              <w:spacing w:after="0"/>
              <w:rPr>
                <w:sz w:val="1"/>
                <w:szCs w:val="1"/>
                <w:color w:val="auto"/>
              </w:rPr>
            </w:pPr>
          </w:p>
        </w:tc>
      </w:tr>
      <w:tr>
        <w:trPr>
          <w:trHeight w:val="210"/>
        </w:trPr>
        <w:tc>
          <w:tcPr>
            <w:tcW w:w="5020" w:type="dxa"/>
            <w:vAlign w:val="bottom"/>
          </w:tcPr>
          <w:p>
            <w:pPr>
              <w:spacing w:after="0"/>
              <w:rPr>
                <w:sz w:val="18"/>
                <w:szCs w:val="18"/>
                <w:color w:val="auto"/>
              </w:rPr>
            </w:pPr>
          </w:p>
        </w:tc>
        <w:tc>
          <w:tcPr>
            <w:tcW w:w="23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3080" w:type="dxa"/>
            <w:vAlign w:val="bottom"/>
            <w:tcBorders>
              <w:top w:val="single" w:sz="8" w:color="auto"/>
            </w:tcBorders>
            <w:gridSpan w:val="4"/>
          </w:tcPr>
          <w:p>
            <w:pPr>
              <w:jc w:val="center"/>
              <w:ind w:left="338"/>
              <w:spacing w:after="0"/>
              <w:rPr>
                <w:sz w:val="20"/>
                <w:szCs w:val="20"/>
                <w:color w:val="auto"/>
              </w:rPr>
            </w:pPr>
            <w:r>
              <w:rPr>
                <w:rFonts w:ascii="Arial" w:cs="Arial" w:eastAsia="Arial" w:hAnsi="Arial"/>
                <w:sz w:val="14"/>
                <w:szCs w:val="14"/>
                <w:b w:val="1"/>
                <w:bCs w:val="1"/>
                <w:color w:val="auto"/>
              </w:rPr>
              <w:t>(in thousands, except per share data)</w:t>
            </w:r>
          </w:p>
        </w:tc>
        <w:tc>
          <w:tcPr>
            <w:tcW w:w="6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20" w:type="dxa"/>
            <w:vAlign w:val="bottom"/>
            <w:shd w:val="clear" w:color="auto" w:fill="CFF0FC"/>
          </w:tcPr>
          <w:p>
            <w:pPr>
              <w:spacing w:after="0"/>
              <w:rPr>
                <w:sz w:val="20"/>
                <w:szCs w:val="20"/>
                <w:color w:val="auto"/>
              </w:rPr>
            </w:pPr>
            <w:r>
              <w:rPr>
                <w:rFonts w:ascii="Arial" w:cs="Arial" w:eastAsia="Arial" w:hAnsi="Arial"/>
                <w:sz w:val="18"/>
                <w:szCs w:val="18"/>
                <w:color w:val="auto"/>
              </w:rPr>
              <w:t>Provision for income taxes</w:t>
            </w:r>
          </w:p>
        </w:tc>
        <w:tc>
          <w:tcPr>
            <w:tcW w:w="2600" w:type="dxa"/>
            <w:vAlign w:val="bottom"/>
            <w:gridSpan w:val="3"/>
            <w:shd w:val="clear" w:color="auto" w:fill="CFF0FC"/>
          </w:tcPr>
          <w:p>
            <w:pPr>
              <w:jc w:val="right"/>
              <w:ind w:right="80"/>
              <w:spacing w:after="0"/>
              <w:rPr>
                <w:sz w:val="20"/>
                <w:szCs w:val="20"/>
                <w:color w:val="auto"/>
              </w:rPr>
            </w:pPr>
            <w:r>
              <w:rPr>
                <w:rFonts w:ascii="Arial" w:cs="Arial" w:eastAsia="Arial" w:hAnsi="Arial"/>
                <w:sz w:val="18"/>
                <w:szCs w:val="18"/>
                <w:color w:val="auto"/>
              </w:rPr>
              <w:t>$</w:t>
            </w:r>
          </w:p>
        </w:tc>
        <w:tc>
          <w:tcPr>
            <w:tcW w:w="1540" w:type="dxa"/>
            <w:vAlign w:val="bottom"/>
            <w:shd w:val="clear" w:color="auto" w:fill="CFF0FC"/>
          </w:tcPr>
          <w:p>
            <w:pPr>
              <w:jc w:val="right"/>
              <w:ind w:right="58"/>
              <w:spacing w:after="0"/>
              <w:rPr>
                <w:sz w:val="20"/>
                <w:szCs w:val="20"/>
                <w:color w:val="auto"/>
              </w:rPr>
            </w:pPr>
            <w:r>
              <w:rPr>
                <w:rFonts w:ascii="Arial" w:cs="Arial" w:eastAsia="Arial" w:hAnsi="Arial"/>
                <w:sz w:val="18"/>
                <w:szCs w:val="18"/>
                <w:color w:val="auto"/>
              </w:rPr>
              <w:t>162</w:t>
            </w:r>
          </w:p>
        </w:tc>
        <w:tc>
          <w:tcPr>
            <w:tcW w:w="38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9"/>
              </w:rPr>
              <w:t>$</w:t>
            </w:r>
          </w:p>
        </w:tc>
        <w:tc>
          <w:tcPr>
            <w:tcW w:w="90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rPr>
              <w:t>910</w:t>
            </w:r>
          </w:p>
        </w:tc>
        <w:tc>
          <w:tcPr>
            <w:tcW w:w="260" w:type="dxa"/>
            <w:vAlign w:val="bottom"/>
            <w:shd w:val="clear" w:color="auto" w:fill="CFF0FC"/>
          </w:tcPr>
          <w:p>
            <w:pPr>
              <w:ind w:left="80"/>
              <w:spacing w:after="0"/>
              <w:rPr>
                <w:sz w:val="20"/>
                <w:szCs w:val="20"/>
                <w:color w:val="auto"/>
              </w:rPr>
            </w:pPr>
            <w:r>
              <w:rPr>
                <w:rFonts w:ascii="Arial" w:cs="Arial" w:eastAsia="Arial" w:hAnsi="Arial"/>
                <w:sz w:val="18"/>
                <w:szCs w:val="18"/>
                <w:color w:val="auto"/>
              </w:rPr>
              <w:t>$</w:t>
            </w: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1,072</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20" w:type="dxa"/>
            <w:vAlign w:val="bottom"/>
          </w:tcPr>
          <w:p>
            <w:pPr>
              <w:spacing w:after="0"/>
              <w:rPr>
                <w:sz w:val="20"/>
                <w:szCs w:val="20"/>
                <w:color w:val="auto"/>
              </w:rPr>
            </w:pPr>
            <w:r>
              <w:rPr>
                <w:rFonts w:ascii="Arial" w:cs="Arial" w:eastAsia="Arial" w:hAnsi="Arial"/>
                <w:sz w:val="18"/>
                <w:szCs w:val="18"/>
                <w:color w:val="auto"/>
              </w:rPr>
              <w:t>Net loss</w:t>
            </w:r>
          </w:p>
        </w:tc>
        <w:tc>
          <w:tcPr>
            <w:tcW w:w="2600" w:type="dxa"/>
            <w:vAlign w:val="bottom"/>
            <w:gridSpan w:val="3"/>
          </w:tcPr>
          <w:p>
            <w:pPr>
              <w:jc w:val="right"/>
              <w:ind w:right="80"/>
              <w:spacing w:after="0"/>
              <w:rPr>
                <w:sz w:val="20"/>
                <w:szCs w:val="20"/>
                <w:color w:val="auto"/>
              </w:rPr>
            </w:pPr>
            <w:r>
              <w:rPr>
                <w:rFonts w:ascii="Arial" w:cs="Arial" w:eastAsia="Arial" w:hAnsi="Arial"/>
                <w:sz w:val="18"/>
                <w:szCs w:val="18"/>
                <w:color w:val="auto"/>
              </w:rPr>
              <w:t>$</w:t>
            </w:r>
          </w:p>
        </w:tc>
        <w:tc>
          <w:tcPr>
            <w:tcW w:w="1540" w:type="dxa"/>
            <w:vAlign w:val="bottom"/>
          </w:tcPr>
          <w:p>
            <w:pPr>
              <w:jc w:val="right"/>
              <w:spacing w:after="0"/>
              <w:rPr>
                <w:sz w:val="20"/>
                <w:szCs w:val="20"/>
                <w:color w:val="auto"/>
              </w:rPr>
            </w:pPr>
            <w:r>
              <w:rPr>
                <w:rFonts w:ascii="Arial" w:cs="Arial" w:eastAsia="Arial" w:hAnsi="Arial"/>
                <w:sz w:val="18"/>
                <w:szCs w:val="18"/>
                <w:color w:val="auto"/>
              </w:rPr>
              <w:t>(27,866)</w:t>
            </w:r>
          </w:p>
        </w:tc>
        <w:tc>
          <w:tcPr>
            <w:tcW w:w="38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(910)</w:t>
            </w:r>
          </w:p>
        </w:tc>
        <w:tc>
          <w:tcPr>
            <w:tcW w:w="980" w:type="dxa"/>
            <w:vAlign w:val="bottom"/>
            <w:gridSpan w:val="3"/>
          </w:tcPr>
          <w:p>
            <w:pPr>
              <w:jc w:val="right"/>
              <w:ind w:right="40"/>
              <w:spacing w:after="0"/>
              <w:rPr>
                <w:sz w:val="20"/>
                <w:szCs w:val="20"/>
                <w:color w:val="auto"/>
              </w:rPr>
            </w:pPr>
            <w:r>
              <w:rPr>
                <w:rFonts w:ascii="Arial" w:cs="Arial" w:eastAsia="Arial" w:hAnsi="Arial"/>
                <w:sz w:val="18"/>
                <w:szCs w:val="18"/>
                <w:color w:val="auto"/>
              </w:rPr>
              <w:t>$ (28,776)</w:t>
            </w:r>
          </w:p>
        </w:tc>
        <w:tc>
          <w:tcPr>
            <w:tcW w:w="0" w:type="dxa"/>
            <w:vAlign w:val="bottom"/>
          </w:tcPr>
          <w:p>
            <w:pPr>
              <w:spacing w:after="0"/>
              <w:rPr>
                <w:sz w:val="1"/>
                <w:szCs w:val="1"/>
                <w:color w:val="auto"/>
              </w:rPr>
            </w:pPr>
          </w:p>
        </w:tc>
      </w:tr>
      <w:tr>
        <w:trPr>
          <w:trHeight w:val="216"/>
        </w:trPr>
        <w:tc>
          <w:tcPr>
            <w:tcW w:w="5020" w:type="dxa"/>
            <w:vAlign w:val="bottom"/>
            <w:shd w:val="clear" w:color="auto" w:fill="CFF0FC"/>
          </w:tcPr>
          <w:p>
            <w:pPr>
              <w:spacing w:after="0"/>
              <w:rPr>
                <w:sz w:val="20"/>
                <w:szCs w:val="20"/>
                <w:color w:val="auto"/>
              </w:rPr>
            </w:pPr>
            <w:r>
              <w:rPr>
                <w:rFonts w:ascii="Arial" w:cs="Arial" w:eastAsia="Arial" w:hAnsi="Arial"/>
                <w:sz w:val="18"/>
                <w:szCs w:val="18"/>
                <w:color w:val="auto"/>
              </w:rPr>
              <w:t>Net loss attributable to BlackLine, Inc.</w:t>
            </w:r>
          </w:p>
        </w:tc>
        <w:tc>
          <w:tcPr>
            <w:tcW w:w="2600" w:type="dxa"/>
            <w:vAlign w:val="bottom"/>
            <w:gridSpan w:val="3"/>
            <w:shd w:val="clear" w:color="auto" w:fill="CFF0FC"/>
          </w:tcPr>
          <w:p>
            <w:pPr>
              <w:jc w:val="right"/>
              <w:ind w:right="80"/>
              <w:spacing w:after="0"/>
              <w:rPr>
                <w:sz w:val="20"/>
                <w:szCs w:val="20"/>
                <w:color w:val="auto"/>
              </w:rPr>
            </w:pPr>
            <w:r>
              <w:rPr>
                <w:rFonts w:ascii="Arial" w:cs="Arial" w:eastAsia="Arial" w:hAnsi="Arial"/>
                <w:sz w:val="18"/>
                <w:szCs w:val="18"/>
                <w:color w:val="auto"/>
              </w:rPr>
              <w:t>$</w:t>
            </w:r>
          </w:p>
        </w:tc>
        <w:tc>
          <w:tcPr>
            <w:tcW w:w="15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(27,804)</w:t>
            </w:r>
          </w:p>
        </w:tc>
        <w:tc>
          <w:tcPr>
            <w:tcW w:w="38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9"/>
              </w:rPr>
              <w:t>$</w:t>
            </w:r>
          </w:p>
        </w:tc>
        <w:tc>
          <w:tcPr>
            <w:tcW w:w="90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(910)</w:t>
            </w:r>
          </w:p>
        </w:tc>
        <w:tc>
          <w:tcPr>
            <w:tcW w:w="980" w:type="dxa"/>
            <w:vAlign w:val="bottom"/>
            <w:gridSpan w:val="3"/>
            <w:shd w:val="clear" w:color="auto" w:fill="CFF0FC"/>
          </w:tcPr>
          <w:p>
            <w:pPr>
              <w:jc w:val="right"/>
              <w:ind w:right="40"/>
              <w:spacing w:after="0"/>
              <w:rPr>
                <w:sz w:val="20"/>
                <w:szCs w:val="20"/>
                <w:color w:val="auto"/>
              </w:rPr>
            </w:pPr>
            <w:r>
              <w:rPr>
                <w:rFonts w:ascii="Arial" w:cs="Arial" w:eastAsia="Arial" w:hAnsi="Arial"/>
                <w:sz w:val="18"/>
                <w:szCs w:val="18"/>
                <w:color w:val="auto"/>
              </w:rPr>
              <w:t>$ (28,714)</w:t>
            </w:r>
          </w:p>
        </w:tc>
        <w:tc>
          <w:tcPr>
            <w:tcW w:w="0" w:type="dxa"/>
            <w:vAlign w:val="bottom"/>
          </w:tcPr>
          <w:p>
            <w:pPr>
              <w:spacing w:after="0"/>
              <w:rPr>
                <w:sz w:val="1"/>
                <w:szCs w:val="1"/>
                <w:color w:val="auto"/>
              </w:rPr>
            </w:pPr>
          </w:p>
        </w:tc>
      </w:tr>
      <w:tr>
        <w:trPr>
          <w:trHeight w:val="216"/>
        </w:trPr>
        <w:tc>
          <w:tcPr>
            <w:tcW w:w="5020" w:type="dxa"/>
            <w:vAlign w:val="bottom"/>
          </w:tcPr>
          <w:p>
            <w:pPr>
              <w:spacing w:after="0"/>
              <w:rPr>
                <w:sz w:val="20"/>
                <w:szCs w:val="20"/>
                <w:color w:val="auto"/>
              </w:rPr>
            </w:pPr>
            <w:r>
              <w:rPr>
                <w:rFonts w:ascii="Arial" w:cs="Arial" w:eastAsia="Arial" w:hAnsi="Arial"/>
                <w:sz w:val="18"/>
                <w:szCs w:val="18"/>
                <w:color w:val="auto"/>
              </w:rPr>
              <w:t>Basic net loss per share attributable to BlackLine, Inc.</w:t>
            </w:r>
          </w:p>
        </w:tc>
        <w:tc>
          <w:tcPr>
            <w:tcW w:w="2600" w:type="dxa"/>
            <w:vAlign w:val="bottom"/>
            <w:gridSpan w:val="3"/>
          </w:tcPr>
          <w:p>
            <w:pPr>
              <w:jc w:val="right"/>
              <w:ind w:right="80"/>
              <w:spacing w:after="0"/>
              <w:rPr>
                <w:sz w:val="20"/>
                <w:szCs w:val="20"/>
                <w:color w:val="auto"/>
              </w:rPr>
            </w:pPr>
            <w:r>
              <w:rPr>
                <w:rFonts w:ascii="Arial" w:cs="Arial" w:eastAsia="Arial" w:hAnsi="Arial"/>
                <w:sz w:val="18"/>
                <w:szCs w:val="18"/>
                <w:color w:val="auto"/>
              </w:rPr>
              <w:t>$</w:t>
            </w:r>
          </w:p>
        </w:tc>
        <w:tc>
          <w:tcPr>
            <w:tcW w:w="1540" w:type="dxa"/>
            <w:vAlign w:val="bottom"/>
          </w:tcPr>
          <w:p>
            <w:pPr>
              <w:jc w:val="right"/>
              <w:spacing w:after="0"/>
              <w:rPr>
                <w:sz w:val="20"/>
                <w:szCs w:val="20"/>
                <w:color w:val="auto"/>
              </w:rPr>
            </w:pPr>
            <w:r>
              <w:rPr>
                <w:rFonts w:ascii="Arial" w:cs="Arial" w:eastAsia="Arial" w:hAnsi="Arial"/>
                <w:sz w:val="18"/>
                <w:szCs w:val="18"/>
                <w:color w:val="auto"/>
              </w:rPr>
              <w:t>(0.52)</w:t>
            </w:r>
          </w:p>
        </w:tc>
        <w:tc>
          <w:tcPr>
            <w:tcW w:w="38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(0.01)</w:t>
            </w:r>
          </w:p>
        </w:tc>
        <w:tc>
          <w:tcPr>
            <w:tcW w:w="260" w:type="dxa"/>
            <w:vAlign w:val="bottom"/>
          </w:tcPr>
          <w:p>
            <w:pPr>
              <w:ind w:left="80"/>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40"/>
              <w:spacing w:after="0"/>
              <w:rPr>
                <w:sz w:val="20"/>
                <w:szCs w:val="20"/>
                <w:color w:val="auto"/>
              </w:rPr>
            </w:pPr>
            <w:r>
              <w:rPr>
                <w:rFonts w:ascii="Arial" w:cs="Arial" w:eastAsia="Arial" w:hAnsi="Arial"/>
                <w:sz w:val="18"/>
                <w:szCs w:val="18"/>
                <w:color w:val="auto"/>
              </w:rPr>
              <w:t>(0.53)</w:t>
            </w:r>
          </w:p>
        </w:tc>
        <w:tc>
          <w:tcPr>
            <w:tcW w:w="0" w:type="dxa"/>
            <w:vAlign w:val="bottom"/>
          </w:tcPr>
          <w:p>
            <w:pPr>
              <w:spacing w:after="0"/>
              <w:rPr>
                <w:sz w:val="1"/>
                <w:szCs w:val="1"/>
                <w:color w:val="auto"/>
              </w:rPr>
            </w:pPr>
          </w:p>
        </w:tc>
      </w:tr>
      <w:tr>
        <w:trPr>
          <w:trHeight w:val="216"/>
        </w:trPr>
        <w:tc>
          <w:tcPr>
            <w:tcW w:w="5020" w:type="dxa"/>
            <w:vAlign w:val="bottom"/>
            <w:shd w:val="clear" w:color="auto" w:fill="CFF0FC"/>
          </w:tcPr>
          <w:p>
            <w:pPr>
              <w:spacing w:after="0"/>
              <w:rPr>
                <w:sz w:val="20"/>
                <w:szCs w:val="20"/>
                <w:color w:val="auto"/>
              </w:rPr>
            </w:pPr>
            <w:r>
              <w:rPr>
                <w:rFonts w:ascii="Arial" w:cs="Arial" w:eastAsia="Arial" w:hAnsi="Arial"/>
                <w:sz w:val="18"/>
                <w:szCs w:val="18"/>
                <w:color w:val="auto"/>
              </w:rPr>
              <w:t>Diluted net loss per share attributable to BlackLine, Inc.</w:t>
            </w:r>
          </w:p>
        </w:tc>
        <w:tc>
          <w:tcPr>
            <w:tcW w:w="2600" w:type="dxa"/>
            <w:vAlign w:val="bottom"/>
            <w:gridSpan w:val="3"/>
            <w:shd w:val="clear" w:color="auto" w:fill="CFF0FC"/>
          </w:tcPr>
          <w:p>
            <w:pPr>
              <w:jc w:val="right"/>
              <w:ind w:right="80"/>
              <w:spacing w:after="0"/>
              <w:rPr>
                <w:sz w:val="20"/>
                <w:szCs w:val="20"/>
                <w:color w:val="auto"/>
              </w:rPr>
            </w:pPr>
            <w:r>
              <w:rPr>
                <w:rFonts w:ascii="Arial" w:cs="Arial" w:eastAsia="Arial" w:hAnsi="Arial"/>
                <w:sz w:val="18"/>
                <w:szCs w:val="18"/>
                <w:color w:val="auto"/>
              </w:rPr>
              <w:t>$</w:t>
            </w:r>
          </w:p>
        </w:tc>
        <w:tc>
          <w:tcPr>
            <w:tcW w:w="15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(0.52)</w:t>
            </w:r>
          </w:p>
        </w:tc>
        <w:tc>
          <w:tcPr>
            <w:tcW w:w="38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9"/>
              </w:rPr>
              <w:t>$</w:t>
            </w:r>
          </w:p>
        </w:tc>
        <w:tc>
          <w:tcPr>
            <w:tcW w:w="90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(0.01)</w:t>
            </w:r>
          </w:p>
        </w:tc>
        <w:tc>
          <w:tcPr>
            <w:tcW w:w="260" w:type="dxa"/>
            <w:vAlign w:val="bottom"/>
            <w:shd w:val="clear" w:color="auto" w:fill="CFF0FC"/>
          </w:tcPr>
          <w:p>
            <w:pPr>
              <w:ind w:left="80"/>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(0.53)</w:t>
            </w:r>
          </w:p>
        </w:tc>
        <w:tc>
          <w:tcPr>
            <w:tcW w:w="0" w:type="dxa"/>
            <w:vAlign w:val="bottom"/>
          </w:tcPr>
          <w:p>
            <w:pPr>
              <w:spacing w:after="0"/>
              <w:rPr>
                <w:sz w:val="1"/>
                <w:szCs w:val="1"/>
                <w:color w:val="auto"/>
              </w:rPr>
            </w:pPr>
          </w:p>
        </w:tc>
      </w:tr>
      <w:tr>
        <w:trPr>
          <w:trHeight w:val="473"/>
        </w:trPr>
        <w:tc>
          <w:tcPr>
            <w:tcW w:w="5020" w:type="dxa"/>
            <w:vAlign w:val="bottom"/>
          </w:tcPr>
          <w:p>
            <w:pPr>
              <w:spacing w:after="0"/>
              <w:rPr>
                <w:sz w:val="24"/>
                <w:szCs w:val="24"/>
                <w:color w:val="auto"/>
              </w:rPr>
            </w:pPr>
          </w:p>
        </w:tc>
        <w:tc>
          <w:tcPr>
            <w:tcW w:w="23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820" w:type="dxa"/>
            <w:vAlign w:val="bottom"/>
            <w:tcBorders>
              <w:bottom w:val="single" w:sz="8" w:color="auto"/>
            </w:tcBorders>
            <w:gridSpan w:val="3"/>
          </w:tcPr>
          <w:p>
            <w:pPr>
              <w:jc w:val="center"/>
              <w:ind w:left="618"/>
              <w:spacing w:after="0"/>
              <w:rPr>
                <w:sz w:val="20"/>
                <w:szCs w:val="20"/>
                <w:color w:val="auto"/>
              </w:rPr>
            </w:pPr>
            <w:r>
              <w:rPr>
                <w:rFonts w:ascii="Arial" w:cs="Arial" w:eastAsia="Arial" w:hAnsi="Arial"/>
                <w:sz w:val="14"/>
                <w:szCs w:val="14"/>
                <w:b w:val="1"/>
                <w:bCs w:val="1"/>
                <w:color w:val="auto"/>
              </w:rPr>
              <w:t>Year Ended December 31, 2017</w:t>
            </w:r>
          </w:p>
        </w:tc>
        <w:tc>
          <w:tcPr>
            <w:tcW w:w="26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6"/>
        </w:trPr>
        <w:tc>
          <w:tcPr>
            <w:tcW w:w="5020" w:type="dxa"/>
            <w:vAlign w:val="bottom"/>
          </w:tcPr>
          <w:p>
            <w:pPr>
              <w:spacing w:after="0"/>
              <w:rPr>
                <w:sz w:val="13"/>
                <w:szCs w:val="13"/>
                <w:color w:val="auto"/>
              </w:rPr>
            </w:pPr>
          </w:p>
        </w:tc>
        <w:tc>
          <w:tcPr>
            <w:tcW w:w="23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540" w:type="dxa"/>
            <w:vAlign w:val="bottom"/>
          </w:tcPr>
          <w:p>
            <w:pPr>
              <w:jc w:val="center"/>
              <w:ind w:right="218"/>
              <w:spacing w:after="0" w:line="156" w:lineRule="exact"/>
              <w:rPr>
                <w:sz w:val="20"/>
                <w:szCs w:val="20"/>
                <w:color w:val="auto"/>
              </w:rPr>
            </w:pPr>
            <w:r>
              <w:rPr>
                <w:rFonts w:ascii="Arial" w:cs="Arial" w:eastAsia="Arial" w:hAnsi="Arial"/>
                <w:sz w:val="14"/>
                <w:szCs w:val="14"/>
                <w:b w:val="1"/>
                <w:bCs w:val="1"/>
                <w:color w:val="auto"/>
              </w:rPr>
              <w:t>As Previously</w:t>
            </w:r>
          </w:p>
        </w:tc>
        <w:tc>
          <w:tcPr>
            <w:tcW w:w="3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5"/>
        </w:trPr>
        <w:tc>
          <w:tcPr>
            <w:tcW w:w="5020" w:type="dxa"/>
            <w:vAlign w:val="bottom"/>
          </w:tcPr>
          <w:p>
            <w:pPr>
              <w:spacing w:after="0"/>
              <w:rPr>
                <w:sz w:val="15"/>
                <w:szCs w:val="15"/>
                <w:color w:val="auto"/>
              </w:rPr>
            </w:pPr>
          </w:p>
        </w:tc>
        <w:tc>
          <w:tcPr>
            <w:tcW w:w="23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540" w:type="dxa"/>
            <w:vAlign w:val="bottom"/>
          </w:tcPr>
          <w:p>
            <w:pPr>
              <w:jc w:val="center"/>
              <w:ind w:right="218"/>
              <w:spacing w:after="0"/>
              <w:rPr>
                <w:sz w:val="20"/>
                <w:szCs w:val="20"/>
                <w:color w:val="auto"/>
              </w:rPr>
            </w:pPr>
            <w:r>
              <w:rPr>
                <w:rFonts w:ascii="Arial" w:cs="Arial" w:eastAsia="Arial" w:hAnsi="Arial"/>
                <w:sz w:val="14"/>
                <w:szCs w:val="14"/>
                <w:b w:val="1"/>
                <w:bCs w:val="1"/>
                <w:color w:val="auto"/>
              </w:rPr>
              <w:t>Reported</w:t>
            </w:r>
          </w:p>
        </w:tc>
        <w:tc>
          <w:tcPr>
            <w:tcW w:w="1280" w:type="dxa"/>
            <w:vAlign w:val="bottom"/>
            <w:gridSpan w:val="2"/>
          </w:tcPr>
          <w:p>
            <w:pPr>
              <w:jc w:val="right"/>
              <w:ind w:right="150"/>
              <w:spacing w:after="0"/>
              <w:rPr>
                <w:sz w:val="20"/>
                <w:szCs w:val="20"/>
                <w:color w:val="auto"/>
              </w:rPr>
            </w:pPr>
            <w:r>
              <w:rPr>
                <w:rFonts w:ascii="Arial" w:cs="Arial" w:eastAsia="Arial" w:hAnsi="Arial"/>
                <w:sz w:val="14"/>
                <w:szCs w:val="14"/>
                <w:b w:val="1"/>
                <w:bCs w:val="1"/>
                <w:color w:val="auto"/>
              </w:rPr>
              <w:t>Adjustments</w:t>
            </w:r>
          </w:p>
        </w:tc>
        <w:tc>
          <w:tcPr>
            <w:tcW w:w="980" w:type="dxa"/>
            <w:vAlign w:val="bottom"/>
            <w:gridSpan w:val="3"/>
          </w:tcPr>
          <w:p>
            <w:pPr>
              <w:ind w:left="80"/>
              <w:spacing w:after="0"/>
              <w:rPr>
                <w:sz w:val="20"/>
                <w:szCs w:val="20"/>
                <w:color w:val="auto"/>
              </w:rPr>
            </w:pPr>
            <w:r>
              <w:rPr>
                <w:rFonts w:ascii="Arial" w:cs="Arial" w:eastAsia="Arial" w:hAnsi="Arial"/>
                <w:sz w:val="14"/>
                <w:szCs w:val="14"/>
                <w:b w:val="1"/>
                <w:bCs w:val="1"/>
                <w:color w:val="auto"/>
              </w:rPr>
              <w:t>As Revised</w:t>
            </w:r>
          </w:p>
        </w:tc>
        <w:tc>
          <w:tcPr>
            <w:tcW w:w="0" w:type="dxa"/>
            <w:vAlign w:val="bottom"/>
          </w:tcPr>
          <w:p>
            <w:pPr>
              <w:spacing w:after="0"/>
              <w:rPr>
                <w:sz w:val="1"/>
                <w:szCs w:val="1"/>
                <w:color w:val="auto"/>
              </w:rPr>
            </w:pPr>
          </w:p>
        </w:tc>
      </w:tr>
      <w:tr>
        <w:trPr>
          <w:trHeight w:val="169"/>
        </w:trPr>
        <w:tc>
          <w:tcPr>
            <w:tcW w:w="5020" w:type="dxa"/>
            <w:vAlign w:val="bottom"/>
          </w:tcPr>
          <w:p>
            <w:pPr>
              <w:spacing w:after="0"/>
              <w:rPr>
                <w:sz w:val="14"/>
                <w:szCs w:val="14"/>
                <w:color w:val="auto"/>
              </w:rPr>
            </w:pPr>
          </w:p>
        </w:tc>
        <w:tc>
          <w:tcPr>
            <w:tcW w:w="23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3080" w:type="dxa"/>
            <w:vAlign w:val="bottom"/>
            <w:tcBorders>
              <w:top w:val="single" w:sz="8" w:color="auto"/>
            </w:tcBorders>
            <w:gridSpan w:val="4"/>
          </w:tcPr>
          <w:p>
            <w:pPr>
              <w:jc w:val="center"/>
              <w:ind w:left="338"/>
              <w:spacing w:after="0"/>
              <w:rPr>
                <w:sz w:val="20"/>
                <w:szCs w:val="20"/>
                <w:color w:val="auto"/>
              </w:rPr>
            </w:pPr>
            <w:r>
              <w:rPr>
                <w:rFonts w:ascii="Arial" w:cs="Arial" w:eastAsia="Arial" w:hAnsi="Arial"/>
                <w:sz w:val="14"/>
                <w:szCs w:val="14"/>
                <w:b w:val="1"/>
                <w:bCs w:val="1"/>
                <w:color w:val="auto"/>
              </w:rPr>
              <w:t>(in thousands, except per share data)</w:t>
            </w:r>
          </w:p>
        </w:tc>
        <w:tc>
          <w:tcPr>
            <w:tcW w:w="62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5020" w:type="dxa"/>
            <w:vAlign w:val="bottom"/>
            <w:shd w:val="clear" w:color="auto" w:fill="CFF0FC"/>
          </w:tcPr>
          <w:p>
            <w:pPr>
              <w:spacing w:after="0"/>
              <w:rPr>
                <w:sz w:val="20"/>
                <w:szCs w:val="20"/>
                <w:color w:val="auto"/>
              </w:rPr>
            </w:pPr>
            <w:r>
              <w:rPr>
                <w:rFonts w:ascii="Arial" w:cs="Arial" w:eastAsia="Arial" w:hAnsi="Arial"/>
                <w:sz w:val="18"/>
                <w:szCs w:val="18"/>
                <w:color w:val="auto"/>
              </w:rPr>
              <w:t>Provision for income taxes</w:t>
            </w:r>
          </w:p>
        </w:tc>
        <w:tc>
          <w:tcPr>
            <w:tcW w:w="2600" w:type="dxa"/>
            <w:vAlign w:val="bottom"/>
            <w:gridSpan w:val="3"/>
            <w:shd w:val="clear" w:color="auto" w:fill="CFF0FC"/>
          </w:tcPr>
          <w:p>
            <w:pPr>
              <w:jc w:val="right"/>
              <w:ind w:right="80"/>
              <w:spacing w:after="0"/>
              <w:rPr>
                <w:sz w:val="20"/>
                <w:szCs w:val="20"/>
                <w:color w:val="auto"/>
              </w:rPr>
            </w:pPr>
            <w:r>
              <w:rPr>
                <w:rFonts w:ascii="Arial" w:cs="Arial" w:eastAsia="Arial" w:hAnsi="Arial"/>
                <w:sz w:val="18"/>
                <w:szCs w:val="18"/>
                <w:color w:val="auto"/>
              </w:rPr>
              <w:t>$</w:t>
            </w:r>
          </w:p>
        </w:tc>
        <w:tc>
          <w:tcPr>
            <w:tcW w:w="1540" w:type="dxa"/>
            <w:vAlign w:val="bottom"/>
            <w:shd w:val="clear" w:color="auto" w:fill="CFF0FC"/>
          </w:tcPr>
          <w:p>
            <w:pPr>
              <w:jc w:val="right"/>
              <w:ind w:right="58"/>
              <w:spacing w:after="0"/>
              <w:rPr>
                <w:sz w:val="20"/>
                <w:szCs w:val="20"/>
                <w:color w:val="auto"/>
              </w:rPr>
            </w:pPr>
            <w:r>
              <w:rPr>
                <w:rFonts w:ascii="Arial" w:cs="Arial" w:eastAsia="Arial" w:hAnsi="Arial"/>
                <w:sz w:val="18"/>
                <w:szCs w:val="18"/>
                <w:color w:val="auto"/>
              </w:rPr>
              <w:t>208</w:t>
            </w:r>
          </w:p>
        </w:tc>
        <w:tc>
          <w:tcPr>
            <w:tcW w:w="38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9"/>
              </w:rPr>
              <w:t>$</w:t>
            </w:r>
          </w:p>
        </w:tc>
        <w:tc>
          <w:tcPr>
            <w:tcW w:w="90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rPr>
              <w:t>357</w:t>
            </w:r>
          </w:p>
        </w:tc>
        <w:tc>
          <w:tcPr>
            <w:tcW w:w="260" w:type="dxa"/>
            <w:vAlign w:val="bottom"/>
            <w:shd w:val="clear" w:color="auto" w:fill="CFF0FC"/>
          </w:tcPr>
          <w:p>
            <w:pPr>
              <w:ind w:left="80"/>
              <w:spacing w:after="0"/>
              <w:rPr>
                <w:sz w:val="20"/>
                <w:szCs w:val="20"/>
                <w:color w:val="auto"/>
              </w:rPr>
            </w:pPr>
            <w:r>
              <w:rPr>
                <w:rFonts w:ascii="Arial" w:cs="Arial" w:eastAsia="Arial" w:hAnsi="Arial"/>
                <w:sz w:val="18"/>
                <w:szCs w:val="18"/>
                <w:color w:val="auto"/>
              </w:rPr>
              <w:t>$</w:t>
            </w: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565</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20" w:type="dxa"/>
            <w:vAlign w:val="bottom"/>
          </w:tcPr>
          <w:p>
            <w:pPr>
              <w:spacing w:after="0"/>
              <w:rPr>
                <w:sz w:val="20"/>
                <w:szCs w:val="20"/>
                <w:color w:val="auto"/>
              </w:rPr>
            </w:pPr>
            <w:r>
              <w:rPr>
                <w:rFonts w:ascii="Arial" w:cs="Arial" w:eastAsia="Arial" w:hAnsi="Arial"/>
                <w:sz w:val="18"/>
                <w:szCs w:val="18"/>
                <w:color w:val="auto"/>
              </w:rPr>
              <w:t>Net loss</w:t>
            </w:r>
          </w:p>
        </w:tc>
        <w:tc>
          <w:tcPr>
            <w:tcW w:w="2600" w:type="dxa"/>
            <w:vAlign w:val="bottom"/>
            <w:gridSpan w:val="3"/>
          </w:tcPr>
          <w:p>
            <w:pPr>
              <w:jc w:val="right"/>
              <w:ind w:right="80"/>
              <w:spacing w:after="0"/>
              <w:rPr>
                <w:sz w:val="20"/>
                <w:szCs w:val="20"/>
                <w:color w:val="auto"/>
              </w:rPr>
            </w:pPr>
            <w:r>
              <w:rPr>
                <w:rFonts w:ascii="Arial" w:cs="Arial" w:eastAsia="Arial" w:hAnsi="Arial"/>
                <w:sz w:val="18"/>
                <w:szCs w:val="18"/>
                <w:color w:val="auto"/>
              </w:rPr>
              <w:t>$</w:t>
            </w:r>
          </w:p>
        </w:tc>
        <w:tc>
          <w:tcPr>
            <w:tcW w:w="1540" w:type="dxa"/>
            <w:vAlign w:val="bottom"/>
          </w:tcPr>
          <w:p>
            <w:pPr>
              <w:jc w:val="right"/>
              <w:spacing w:after="0"/>
              <w:rPr>
                <w:sz w:val="20"/>
                <w:szCs w:val="20"/>
                <w:color w:val="auto"/>
              </w:rPr>
            </w:pPr>
            <w:r>
              <w:rPr>
                <w:rFonts w:ascii="Arial" w:cs="Arial" w:eastAsia="Arial" w:hAnsi="Arial"/>
                <w:sz w:val="18"/>
                <w:szCs w:val="18"/>
                <w:color w:val="auto"/>
              </w:rPr>
              <w:t>(33,051)</w:t>
            </w:r>
          </w:p>
        </w:tc>
        <w:tc>
          <w:tcPr>
            <w:tcW w:w="38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(357)</w:t>
            </w:r>
          </w:p>
        </w:tc>
        <w:tc>
          <w:tcPr>
            <w:tcW w:w="980" w:type="dxa"/>
            <w:vAlign w:val="bottom"/>
            <w:gridSpan w:val="3"/>
          </w:tcPr>
          <w:p>
            <w:pPr>
              <w:jc w:val="right"/>
              <w:ind w:right="40"/>
              <w:spacing w:after="0"/>
              <w:rPr>
                <w:sz w:val="20"/>
                <w:szCs w:val="20"/>
                <w:color w:val="auto"/>
              </w:rPr>
            </w:pPr>
            <w:r>
              <w:rPr>
                <w:rFonts w:ascii="Arial" w:cs="Arial" w:eastAsia="Arial" w:hAnsi="Arial"/>
                <w:sz w:val="18"/>
                <w:szCs w:val="18"/>
                <w:color w:val="auto"/>
              </w:rPr>
              <w:t>$ (33,408)</w:t>
            </w:r>
          </w:p>
        </w:tc>
        <w:tc>
          <w:tcPr>
            <w:tcW w:w="0" w:type="dxa"/>
            <w:vAlign w:val="bottom"/>
          </w:tcPr>
          <w:p>
            <w:pPr>
              <w:spacing w:after="0"/>
              <w:rPr>
                <w:sz w:val="1"/>
                <w:szCs w:val="1"/>
                <w:color w:val="auto"/>
              </w:rPr>
            </w:pPr>
          </w:p>
        </w:tc>
      </w:tr>
      <w:tr>
        <w:trPr>
          <w:trHeight w:val="216"/>
        </w:trPr>
        <w:tc>
          <w:tcPr>
            <w:tcW w:w="5020" w:type="dxa"/>
            <w:vAlign w:val="bottom"/>
            <w:shd w:val="clear" w:color="auto" w:fill="CFF0FC"/>
          </w:tcPr>
          <w:p>
            <w:pPr>
              <w:spacing w:after="0"/>
              <w:rPr>
                <w:sz w:val="20"/>
                <w:szCs w:val="20"/>
                <w:color w:val="auto"/>
              </w:rPr>
            </w:pPr>
            <w:r>
              <w:rPr>
                <w:rFonts w:ascii="Arial" w:cs="Arial" w:eastAsia="Arial" w:hAnsi="Arial"/>
                <w:sz w:val="18"/>
                <w:szCs w:val="18"/>
                <w:color w:val="auto"/>
              </w:rPr>
              <w:t>Net loss attributable to BlackLine, Inc.</w:t>
            </w:r>
          </w:p>
        </w:tc>
        <w:tc>
          <w:tcPr>
            <w:tcW w:w="2600" w:type="dxa"/>
            <w:vAlign w:val="bottom"/>
            <w:gridSpan w:val="3"/>
            <w:shd w:val="clear" w:color="auto" w:fill="CFF0FC"/>
          </w:tcPr>
          <w:p>
            <w:pPr>
              <w:jc w:val="right"/>
              <w:ind w:right="80"/>
              <w:spacing w:after="0"/>
              <w:rPr>
                <w:sz w:val="20"/>
                <w:szCs w:val="20"/>
                <w:color w:val="auto"/>
              </w:rPr>
            </w:pPr>
            <w:r>
              <w:rPr>
                <w:rFonts w:ascii="Arial" w:cs="Arial" w:eastAsia="Arial" w:hAnsi="Arial"/>
                <w:sz w:val="18"/>
                <w:szCs w:val="18"/>
                <w:color w:val="auto"/>
              </w:rPr>
              <w:t>$</w:t>
            </w:r>
          </w:p>
        </w:tc>
        <w:tc>
          <w:tcPr>
            <w:tcW w:w="15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(33,051)</w:t>
            </w:r>
          </w:p>
        </w:tc>
        <w:tc>
          <w:tcPr>
            <w:tcW w:w="38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9"/>
              </w:rPr>
              <w:t>$</w:t>
            </w:r>
          </w:p>
        </w:tc>
        <w:tc>
          <w:tcPr>
            <w:tcW w:w="90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(357)</w:t>
            </w:r>
          </w:p>
        </w:tc>
        <w:tc>
          <w:tcPr>
            <w:tcW w:w="980" w:type="dxa"/>
            <w:vAlign w:val="bottom"/>
            <w:gridSpan w:val="3"/>
            <w:shd w:val="clear" w:color="auto" w:fill="CFF0FC"/>
          </w:tcPr>
          <w:p>
            <w:pPr>
              <w:jc w:val="right"/>
              <w:ind w:right="40"/>
              <w:spacing w:after="0"/>
              <w:rPr>
                <w:sz w:val="20"/>
                <w:szCs w:val="20"/>
                <w:color w:val="auto"/>
              </w:rPr>
            </w:pPr>
            <w:r>
              <w:rPr>
                <w:rFonts w:ascii="Arial" w:cs="Arial" w:eastAsia="Arial" w:hAnsi="Arial"/>
                <w:sz w:val="18"/>
                <w:szCs w:val="18"/>
                <w:color w:val="auto"/>
              </w:rPr>
              <w:t>$ (33,408)</w:t>
            </w:r>
          </w:p>
        </w:tc>
        <w:tc>
          <w:tcPr>
            <w:tcW w:w="0" w:type="dxa"/>
            <w:vAlign w:val="bottom"/>
          </w:tcPr>
          <w:p>
            <w:pPr>
              <w:spacing w:after="0"/>
              <w:rPr>
                <w:sz w:val="1"/>
                <w:szCs w:val="1"/>
                <w:color w:val="auto"/>
              </w:rPr>
            </w:pPr>
          </w:p>
        </w:tc>
      </w:tr>
      <w:tr>
        <w:trPr>
          <w:trHeight w:val="216"/>
        </w:trPr>
        <w:tc>
          <w:tcPr>
            <w:tcW w:w="5020" w:type="dxa"/>
            <w:vAlign w:val="bottom"/>
          </w:tcPr>
          <w:p>
            <w:pPr>
              <w:spacing w:after="0"/>
              <w:rPr>
                <w:sz w:val="20"/>
                <w:szCs w:val="20"/>
                <w:color w:val="auto"/>
              </w:rPr>
            </w:pPr>
            <w:r>
              <w:rPr>
                <w:rFonts w:ascii="Arial" w:cs="Arial" w:eastAsia="Arial" w:hAnsi="Arial"/>
                <w:sz w:val="18"/>
                <w:szCs w:val="18"/>
                <w:color w:val="auto"/>
              </w:rPr>
              <w:t>Basic net loss per share attributable to BlackLine, Inc.</w:t>
            </w:r>
          </w:p>
        </w:tc>
        <w:tc>
          <w:tcPr>
            <w:tcW w:w="2600" w:type="dxa"/>
            <w:vAlign w:val="bottom"/>
            <w:gridSpan w:val="3"/>
          </w:tcPr>
          <w:p>
            <w:pPr>
              <w:jc w:val="right"/>
              <w:ind w:right="80"/>
              <w:spacing w:after="0"/>
              <w:rPr>
                <w:sz w:val="20"/>
                <w:szCs w:val="20"/>
                <w:color w:val="auto"/>
              </w:rPr>
            </w:pPr>
            <w:r>
              <w:rPr>
                <w:rFonts w:ascii="Arial" w:cs="Arial" w:eastAsia="Arial" w:hAnsi="Arial"/>
                <w:sz w:val="18"/>
                <w:szCs w:val="18"/>
                <w:color w:val="auto"/>
              </w:rPr>
              <w:t>$</w:t>
            </w:r>
          </w:p>
        </w:tc>
        <w:tc>
          <w:tcPr>
            <w:tcW w:w="1540" w:type="dxa"/>
            <w:vAlign w:val="bottom"/>
          </w:tcPr>
          <w:p>
            <w:pPr>
              <w:jc w:val="right"/>
              <w:spacing w:after="0"/>
              <w:rPr>
                <w:sz w:val="20"/>
                <w:szCs w:val="20"/>
                <w:color w:val="auto"/>
              </w:rPr>
            </w:pPr>
            <w:r>
              <w:rPr>
                <w:rFonts w:ascii="Arial" w:cs="Arial" w:eastAsia="Arial" w:hAnsi="Arial"/>
                <w:sz w:val="18"/>
                <w:szCs w:val="18"/>
                <w:color w:val="auto"/>
              </w:rPr>
              <w:t>(0.63)</w:t>
            </w:r>
          </w:p>
        </w:tc>
        <w:tc>
          <w:tcPr>
            <w:tcW w:w="38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(0.01)</w:t>
            </w:r>
          </w:p>
        </w:tc>
        <w:tc>
          <w:tcPr>
            <w:tcW w:w="260" w:type="dxa"/>
            <w:vAlign w:val="bottom"/>
          </w:tcPr>
          <w:p>
            <w:pPr>
              <w:ind w:left="80"/>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40"/>
              <w:spacing w:after="0"/>
              <w:rPr>
                <w:sz w:val="20"/>
                <w:szCs w:val="20"/>
                <w:color w:val="auto"/>
              </w:rPr>
            </w:pPr>
            <w:r>
              <w:rPr>
                <w:rFonts w:ascii="Arial" w:cs="Arial" w:eastAsia="Arial" w:hAnsi="Arial"/>
                <w:sz w:val="18"/>
                <w:szCs w:val="18"/>
                <w:color w:val="auto"/>
              </w:rPr>
              <w:t>(0.64)</w:t>
            </w:r>
          </w:p>
        </w:tc>
        <w:tc>
          <w:tcPr>
            <w:tcW w:w="0" w:type="dxa"/>
            <w:vAlign w:val="bottom"/>
          </w:tcPr>
          <w:p>
            <w:pPr>
              <w:spacing w:after="0"/>
              <w:rPr>
                <w:sz w:val="1"/>
                <w:szCs w:val="1"/>
                <w:color w:val="auto"/>
              </w:rPr>
            </w:pPr>
          </w:p>
        </w:tc>
      </w:tr>
      <w:tr>
        <w:trPr>
          <w:trHeight w:val="216"/>
        </w:trPr>
        <w:tc>
          <w:tcPr>
            <w:tcW w:w="5020" w:type="dxa"/>
            <w:vAlign w:val="bottom"/>
            <w:shd w:val="clear" w:color="auto" w:fill="CFF0FC"/>
          </w:tcPr>
          <w:p>
            <w:pPr>
              <w:spacing w:after="0"/>
              <w:rPr>
                <w:sz w:val="20"/>
                <w:szCs w:val="20"/>
                <w:color w:val="auto"/>
              </w:rPr>
            </w:pPr>
            <w:r>
              <w:rPr>
                <w:rFonts w:ascii="Arial" w:cs="Arial" w:eastAsia="Arial" w:hAnsi="Arial"/>
                <w:sz w:val="18"/>
                <w:szCs w:val="18"/>
                <w:color w:val="auto"/>
              </w:rPr>
              <w:t>Diluted net loss per share attributable to BlackLine, Inc.</w:t>
            </w:r>
          </w:p>
        </w:tc>
        <w:tc>
          <w:tcPr>
            <w:tcW w:w="2600" w:type="dxa"/>
            <w:vAlign w:val="bottom"/>
            <w:gridSpan w:val="3"/>
            <w:shd w:val="clear" w:color="auto" w:fill="CFF0FC"/>
          </w:tcPr>
          <w:p>
            <w:pPr>
              <w:jc w:val="right"/>
              <w:ind w:right="80"/>
              <w:spacing w:after="0"/>
              <w:rPr>
                <w:sz w:val="20"/>
                <w:szCs w:val="20"/>
                <w:color w:val="auto"/>
              </w:rPr>
            </w:pPr>
            <w:r>
              <w:rPr>
                <w:rFonts w:ascii="Arial" w:cs="Arial" w:eastAsia="Arial" w:hAnsi="Arial"/>
                <w:sz w:val="18"/>
                <w:szCs w:val="18"/>
                <w:color w:val="auto"/>
              </w:rPr>
              <w:t>$</w:t>
            </w:r>
          </w:p>
        </w:tc>
        <w:tc>
          <w:tcPr>
            <w:tcW w:w="15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(0.63)</w:t>
            </w:r>
          </w:p>
        </w:tc>
        <w:tc>
          <w:tcPr>
            <w:tcW w:w="38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9"/>
              </w:rPr>
              <w:t>$</w:t>
            </w:r>
          </w:p>
        </w:tc>
        <w:tc>
          <w:tcPr>
            <w:tcW w:w="90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(0.01)</w:t>
            </w:r>
          </w:p>
        </w:tc>
        <w:tc>
          <w:tcPr>
            <w:tcW w:w="260" w:type="dxa"/>
            <w:vAlign w:val="bottom"/>
            <w:shd w:val="clear" w:color="auto" w:fill="CFF0FC"/>
          </w:tcPr>
          <w:p>
            <w:pPr>
              <w:ind w:left="80"/>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(0.64)</w:t>
            </w:r>
          </w:p>
        </w:tc>
        <w:tc>
          <w:tcPr>
            <w:tcW w:w="0" w:type="dxa"/>
            <w:vAlign w:val="bottom"/>
          </w:tcPr>
          <w:p>
            <w:pPr>
              <w:spacing w:after="0"/>
              <w:rPr>
                <w:sz w:val="1"/>
                <w:szCs w:val="1"/>
                <w:color w:val="auto"/>
              </w:rPr>
            </w:pPr>
          </w:p>
        </w:tc>
      </w:tr>
      <w:tr>
        <w:trPr>
          <w:trHeight w:val="473"/>
        </w:trPr>
        <w:tc>
          <w:tcPr>
            <w:tcW w:w="5020" w:type="dxa"/>
            <w:vAlign w:val="bottom"/>
          </w:tcPr>
          <w:p>
            <w:pPr>
              <w:spacing w:after="0"/>
              <w:rPr>
                <w:sz w:val="20"/>
                <w:szCs w:val="20"/>
                <w:color w:val="auto"/>
              </w:rPr>
            </w:pPr>
            <w:r>
              <w:rPr>
                <w:rFonts w:ascii="Arial" w:cs="Arial" w:eastAsia="Arial" w:hAnsi="Arial"/>
                <w:sz w:val="18"/>
                <w:szCs w:val="18"/>
                <w:b w:val="1"/>
                <w:bCs w:val="1"/>
                <w:color w:val="auto"/>
              </w:rPr>
              <w:t>Consolidated Statements of Comprehensive Loss</w:t>
            </w:r>
          </w:p>
        </w:tc>
        <w:tc>
          <w:tcPr>
            <w:tcW w:w="23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820" w:type="dxa"/>
            <w:vAlign w:val="bottom"/>
            <w:gridSpan w:val="3"/>
            <w:vMerge w:val="restart"/>
          </w:tcPr>
          <w:p>
            <w:pPr>
              <w:jc w:val="center"/>
              <w:ind w:left="618"/>
              <w:spacing w:after="0"/>
              <w:rPr>
                <w:sz w:val="20"/>
                <w:szCs w:val="20"/>
                <w:color w:val="auto"/>
              </w:rPr>
            </w:pPr>
            <w:r>
              <w:rPr>
                <w:rFonts w:ascii="Arial" w:cs="Arial" w:eastAsia="Arial" w:hAnsi="Arial"/>
                <w:sz w:val="14"/>
                <w:szCs w:val="14"/>
                <w:b w:val="1"/>
                <w:bCs w:val="1"/>
                <w:color w:val="auto"/>
              </w:rPr>
              <w:t>Year Ended December 31, 2018</w:t>
            </w:r>
          </w:p>
        </w:tc>
        <w:tc>
          <w:tcPr>
            <w:tcW w:w="2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5020" w:type="dxa"/>
            <w:vAlign w:val="bottom"/>
          </w:tcPr>
          <w:p>
            <w:pPr>
              <w:spacing w:after="0"/>
              <w:rPr>
                <w:sz w:val="14"/>
                <w:szCs w:val="14"/>
                <w:color w:val="auto"/>
              </w:rPr>
            </w:pPr>
          </w:p>
        </w:tc>
        <w:tc>
          <w:tcPr>
            <w:tcW w:w="23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2820" w:type="dxa"/>
            <w:vAlign w:val="bottom"/>
            <w:tcBorders>
              <w:bottom w:val="single" w:sz="8" w:color="auto"/>
            </w:tcBorders>
            <w:gridSpan w:val="3"/>
            <w:vMerge w:val="continue"/>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5020" w:type="dxa"/>
            <w:vAlign w:val="bottom"/>
          </w:tcPr>
          <w:p>
            <w:pPr>
              <w:spacing w:after="0"/>
              <w:rPr>
                <w:sz w:val="13"/>
                <w:szCs w:val="13"/>
                <w:color w:val="auto"/>
              </w:rPr>
            </w:pPr>
          </w:p>
        </w:tc>
        <w:tc>
          <w:tcPr>
            <w:tcW w:w="23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540" w:type="dxa"/>
            <w:vAlign w:val="bottom"/>
          </w:tcPr>
          <w:p>
            <w:pPr>
              <w:jc w:val="center"/>
              <w:ind w:right="218"/>
              <w:spacing w:after="0" w:line="156" w:lineRule="exact"/>
              <w:rPr>
                <w:sz w:val="20"/>
                <w:szCs w:val="20"/>
                <w:color w:val="auto"/>
              </w:rPr>
            </w:pPr>
            <w:r>
              <w:rPr>
                <w:rFonts w:ascii="Arial" w:cs="Arial" w:eastAsia="Arial" w:hAnsi="Arial"/>
                <w:sz w:val="14"/>
                <w:szCs w:val="14"/>
                <w:b w:val="1"/>
                <w:bCs w:val="1"/>
                <w:color w:val="auto"/>
              </w:rPr>
              <w:t>As Previously</w:t>
            </w:r>
          </w:p>
        </w:tc>
        <w:tc>
          <w:tcPr>
            <w:tcW w:w="3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5"/>
        </w:trPr>
        <w:tc>
          <w:tcPr>
            <w:tcW w:w="5020" w:type="dxa"/>
            <w:vAlign w:val="bottom"/>
          </w:tcPr>
          <w:p>
            <w:pPr>
              <w:spacing w:after="0"/>
              <w:rPr>
                <w:sz w:val="15"/>
                <w:szCs w:val="15"/>
                <w:color w:val="auto"/>
              </w:rPr>
            </w:pPr>
          </w:p>
        </w:tc>
        <w:tc>
          <w:tcPr>
            <w:tcW w:w="23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540" w:type="dxa"/>
            <w:vAlign w:val="bottom"/>
          </w:tcPr>
          <w:p>
            <w:pPr>
              <w:jc w:val="center"/>
              <w:ind w:right="218"/>
              <w:spacing w:after="0"/>
              <w:rPr>
                <w:sz w:val="20"/>
                <w:szCs w:val="20"/>
                <w:color w:val="auto"/>
              </w:rPr>
            </w:pPr>
            <w:r>
              <w:rPr>
                <w:rFonts w:ascii="Arial" w:cs="Arial" w:eastAsia="Arial" w:hAnsi="Arial"/>
                <w:sz w:val="14"/>
                <w:szCs w:val="14"/>
                <w:b w:val="1"/>
                <w:bCs w:val="1"/>
                <w:color w:val="auto"/>
              </w:rPr>
              <w:t>Reported</w:t>
            </w:r>
          </w:p>
        </w:tc>
        <w:tc>
          <w:tcPr>
            <w:tcW w:w="1280" w:type="dxa"/>
            <w:vAlign w:val="bottom"/>
            <w:gridSpan w:val="2"/>
          </w:tcPr>
          <w:p>
            <w:pPr>
              <w:jc w:val="right"/>
              <w:ind w:right="150"/>
              <w:spacing w:after="0"/>
              <w:rPr>
                <w:sz w:val="20"/>
                <w:szCs w:val="20"/>
                <w:color w:val="auto"/>
              </w:rPr>
            </w:pPr>
            <w:r>
              <w:rPr>
                <w:rFonts w:ascii="Arial" w:cs="Arial" w:eastAsia="Arial" w:hAnsi="Arial"/>
                <w:sz w:val="14"/>
                <w:szCs w:val="14"/>
                <w:b w:val="1"/>
                <w:bCs w:val="1"/>
                <w:color w:val="auto"/>
              </w:rPr>
              <w:t>Adjustments</w:t>
            </w:r>
          </w:p>
        </w:tc>
        <w:tc>
          <w:tcPr>
            <w:tcW w:w="980" w:type="dxa"/>
            <w:vAlign w:val="bottom"/>
            <w:gridSpan w:val="3"/>
          </w:tcPr>
          <w:p>
            <w:pPr>
              <w:ind w:left="80"/>
              <w:spacing w:after="0"/>
              <w:rPr>
                <w:sz w:val="20"/>
                <w:szCs w:val="20"/>
                <w:color w:val="auto"/>
              </w:rPr>
            </w:pPr>
            <w:r>
              <w:rPr>
                <w:rFonts w:ascii="Arial" w:cs="Arial" w:eastAsia="Arial" w:hAnsi="Arial"/>
                <w:sz w:val="14"/>
                <w:szCs w:val="14"/>
                <w:b w:val="1"/>
                <w:bCs w:val="1"/>
                <w:color w:val="auto"/>
              </w:rPr>
              <w:t>As Revised</w:t>
            </w:r>
          </w:p>
        </w:tc>
        <w:tc>
          <w:tcPr>
            <w:tcW w:w="0" w:type="dxa"/>
            <w:vAlign w:val="bottom"/>
          </w:tcPr>
          <w:p>
            <w:pPr>
              <w:spacing w:after="0"/>
              <w:rPr>
                <w:sz w:val="1"/>
                <w:szCs w:val="1"/>
                <w:color w:val="auto"/>
              </w:rPr>
            </w:pPr>
          </w:p>
        </w:tc>
      </w:tr>
      <w:tr>
        <w:trPr>
          <w:trHeight w:val="210"/>
        </w:trPr>
        <w:tc>
          <w:tcPr>
            <w:tcW w:w="5020" w:type="dxa"/>
            <w:vAlign w:val="bottom"/>
          </w:tcPr>
          <w:p>
            <w:pPr>
              <w:spacing w:after="0"/>
              <w:rPr>
                <w:sz w:val="18"/>
                <w:szCs w:val="18"/>
                <w:color w:val="auto"/>
              </w:rPr>
            </w:pPr>
          </w:p>
        </w:tc>
        <w:tc>
          <w:tcPr>
            <w:tcW w:w="23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2820" w:type="dxa"/>
            <w:vAlign w:val="bottom"/>
            <w:tcBorders>
              <w:top w:val="single" w:sz="8" w:color="auto"/>
            </w:tcBorders>
            <w:gridSpan w:val="3"/>
          </w:tcPr>
          <w:p>
            <w:pPr>
              <w:jc w:val="center"/>
              <w:ind w:left="598"/>
              <w:spacing w:after="0"/>
              <w:rPr>
                <w:sz w:val="20"/>
                <w:szCs w:val="20"/>
                <w:color w:val="auto"/>
              </w:rPr>
            </w:pPr>
            <w:r>
              <w:rPr>
                <w:rFonts w:ascii="Arial" w:cs="Arial" w:eastAsia="Arial" w:hAnsi="Arial"/>
                <w:sz w:val="14"/>
                <w:szCs w:val="14"/>
                <w:b w:val="1"/>
                <w:bCs w:val="1"/>
                <w:color w:val="auto"/>
              </w:rPr>
              <w:t>(in thousands)</w:t>
            </w:r>
          </w:p>
        </w:tc>
        <w:tc>
          <w:tcPr>
            <w:tcW w:w="260" w:type="dxa"/>
            <w:vAlign w:val="bottom"/>
            <w:tcBorders>
              <w:top w:val="single" w:sz="8" w:color="auto"/>
            </w:tcBorders>
          </w:tcPr>
          <w:p>
            <w:pPr>
              <w:spacing w:after="0"/>
              <w:rPr>
                <w:sz w:val="18"/>
                <w:szCs w:val="18"/>
                <w:color w:val="auto"/>
              </w:rPr>
            </w:pPr>
          </w:p>
        </w:tc>
        <w:tc>
          <w:tcPr>
            <w:tcW w:w="6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20" w:type="dxa"/>
            <w:vAlign w:val="bottom"/>
            <w:shd w:val="clear" w:color="auto" w:fill="CFF0FC"/>
          </w:tcPr>
          <w:p>
            <w:pPr>
              <w:spacing w:after="0"/>
              <w:rPr>
                <w:sz w:val="20"/>
                <w:szCs w:val="20"/>
                <w:color w:val="auto"/>
              </w:rPr>
            </w:pPr>
            <w:r>
              <w:rPr>
                <w:rFonts w:ascii="Arial" w:cs="Arial" w:eastAsia="Arial" w:hAnsi="Arial"/>
                <w:sz w:val="18"/>
                <w:szCs w:val="18"/>
                <w:color w:val="auto"/>
              </w:rPr>
              <w:t>Net loss</w:t>
            </w:r>
          </w:p>
        </w:tc>
        <w:tc>
          <w:tcPr>
            <w:tcW w:w="2600" w:type="dxa"/>
            <w:vAlign w:val="bottom"/>
            <w:gridSpan w:val="3"/>
            <w:shd w:val="clear" w:color="auto" w:fill="CFF0FC"/>
          </w:tcPr>
          <w:p>
            <w:pPr>
              <w:jc w:val="right"/>
              <w:ind w:right="80"/>
              <w:spacing w:after="0"/>
              <w:rPr>
                <w:sz w:val="20"/>
                <w:szCs w:val="20"/>
                <w:color w:val="auto"/>
              </w:rPr>
            </w:pPr>
            <w:r>
              <w:rPr>
                <w:rFonts w:ascii="Arial" w:cs="Arial" w:eastAsia="Arial" w:hAnsi="Arial"/>
                <w:sz w:val="18"/>
                <w:szCs w:val="18"/>
                <w:color w:val="auto"/>
              </w:rPr>
              <w:t>$</w:t>
            </w:r>
          </w:p>
        </w:tc>
        <w:tc>
          <w:tcPr>
            <w:tcW w:w="15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(27,866)</w:t>
            </w:r>
          </w:p>
        </w:tc>
        <w:tc>
          <w:tcPr>
            <w:tcW w:w="38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9"/>
              </w:rPr>
              <w:t>$</w:t>
            </w:r>
          </w:p>
        </w:tc>
        <w:tc>
          <w:tcPr>
            <w:tcW w:w="90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(910)</w:t>
            </w:r>
          </w:p>
        </w:tc>
        <w:tc>
          <w:tcPr>
            <w:tcW w:w="980" w:type="dxa"/>
            <w:vAlign w:val="bottom"/>
            <w:gridSpan w:val="3"/>
            <w:shd w:val="clear" w:color="auto" w:fill="CFF0FC"/>
          </w:tcPr>
          <w:p>
            <w:pPr>
              <w:jc w:val="right"/>
              <w:ind w:right="40"/>
              <w:spacing w:after="0"/>
              <w:rPr>
                <w:sz w:val="20"/>
                <w:szCs w:val="20"/>
                <w:color w:val="auto"/>
              </w:rPr>
            </w:pPr>
            <w:r>
              <w:rPr>
                <w:rFonts w:ascii="Arial" w:cs="Arial" w:eastAsia="Arial" w:hAnsi="Arial"/>
                <w:sz w:val="18"/>
                <w:szCs w:val="18"/>
                <w:color w:val="auto"/>
              </w:rPr>
              <w:t>$ (28,776)</w:t>
            </w:r>
          </w:p>
        </w:tc>
        <w:tc>
          <w:tcPr>
            <w:tcW w:w="0" w:type="dxa"/>
            <w:vAlign w:val="bottom"/>
          </w:tcPr>
          <w:p>
            <w:pPr>
              <w:spacing w:after="0"/>
              <w:rPr>
                <w:sz w:val="1"/>
                <w:szCs w:val="1"/>
                <w:color w:val="auto"/>
              </w:rPr>
            </w:pPr>
          </w:p>
        </w:tc>
      </w:tr>
      <w:tr>
        <w:trPr>
          <w:trHeight w:val="216"/>
        </w:trPr>
        <w:tc>
          <w:tcPr>
            <w:tcW w:w="5020" w:type="dxa"/>
            <w:vAlign w:val="bottom"/>
          </w:tcPr>
          <w:p>
            <w:pPr>
              <w:spacing w:after="0"/>
              <w:rPr>
                <w:sz w:val="20"/>
                <w:szCs w:val="20"/>
                <w:color w:val="auto"/>
              </w:rPr>
            </w:pPr>
            <w:r>
              <w:rPr>
                <w:rFonts w:ascii="Arial" w:cs="Arial" w:eastAsia="Arial" w:hAnsi="Arial"/>
                <w:sz w:val="18"/>
                <w:szCs w:val="18"/>
                <w:color w:val="auto"/>
              </w:rPr>
              <w:t>Comprehensive loss</w:t>
            </w:r>
          </w:p>
        </w:tc>
        <w:tc>
          <w:tcPr>
            <w:tcW w:w="2600" w:type="dxa"/>
            <w:vAlign w:val="bottom"/>
            <w:gridSpan w:val="3"/>
          </w:tcPr>
          <w:p>
            <w:pPr>
              <w:jc w:val="right"/>
              <w:ind w:right="80"/>
              <w:spacing w:after="0"/>
              <w:rPr>
                <w:sz w:val="20"/>
                <w:szCs w:val="20"/>
                <w:color w:val="auto"/>
              </w:rPr>
            </w:pPr>
            <w:r>
              <w:rPr>
                <w:rFonts w:ascii="Arial" w:cs="Arial" w:eastAsia="Arial" w:hAnsi="Arial"/>
                <w:sz w:val="18"/>
                <w:szCs w:val="18"/>
                <w:color w:val="auto"/>
              </w:rPr>
              <w:t>$</w:t>
            </w:r>
          </w:p>
        </w:tc>
        <w:tc>
          <w:tcPr>
            <w:tcW w:w="1540" w:type="dxa"/>
            <w:vAlign w:val="bottom"/>
          </w:tcPr>
          <w:p>
            <w:pPr>
              <w:jc w:val="right"/>
              <w:spacing w:after="0"/>
              <w:rPr>
                <w:sz w:val="20"/>
                <w:szCs w:val="20"/>
                <w:color w:val="auto"/>
              </w:rPr>
            </w:pPr>
            <w:r>
              <w:rPr>
                <w:rFonts w:ascii="Arial" w:cs="Arial" w:eastAsia="Arial" w:hAnsi="Arial"/>
                <w:sz w:val="18"/>
                <w:szCs w:val="18"/>
                <w:color w:val="auto"/>
              </w:rPr>
              <w:t>(27,626)</w:t>
            </w:r>
          </w:p>
        </w:tc>
        <w:tc>
          <w:tcPr>
            <w:tcW w:w="38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(910)</w:t>
            </w:r>
          </w:p>
        </w:tc>
        <w:tc>
          <w:tcPr>
            <w:tcW w:w="980" w:type="dxa"/>
            <w:vAlign w:val="bottom"/>
            <w:gridSpan w:val="3"/>
          </w:tcPr>
          <w:p>
            <w:pPr>
              <w:jc w:val="right"/>
              <w:ind w:right="40"/>
              <w:spacing w:after="0"/>
              <w:rPr>
                <w:sz w:val="20"/>
                <w:szCs w:val="20"/>
                <w:color w:val="auto"/>
              </w:rPr>
            </w:pPr>
            <w:r>
              <w:rPr>
                <w:rFonts w:ascii="Arial" w:cs="Arial" w:eastAsia="Arial" w:hAnsi="Arial"/>
                <w:sz w:val="18"/>
                <w:szCs w:val="18"/>
                <w:color w:val="auto"/>
              </w:rPr>
              <w:t>$ (28,536)</w:t>
            </w:r>
          </w:p>
        </w:tc>
        <w:tc>
          <w:tcPr>
            <w:tcW w:w="0" w:type="dxa"/>
            <w:vAlign w:val="bottom"/>
          </w:tcPr>
          <w:p>
            <w:pPr>
              <w:spacing w:after="0"/>
              <w:rPr>
                <w:sz w:val="1"/>
                <w:szCs w:val="1"/>
                <w:color w:val="auto"/>
              </w:rPr>
            </w:pPr>
          </w:p>
        </w:tc>
      </w:tr>
      <w:tr>
        <w:trPr>
          <w:trHeight w:val="216"/>
        </w:trPr>
        <w:tc>
          <w:tcPr>
            <w:tcW w:w="5020" w:type="dxa"/>
            <w:vAlign w:val="bottom"/>
            <w:shd w:val="clear" w:color="auto" w:fill="CFF0FC"/>
          </w:tcPr>
          <w:p>
            <w:pPr>
              <w:spacing w:after="0"/>
              <w:rPr>
                <w:sz w:val="20"/>
                <w:szCs w:val="20"/>
                <w:color w:val="auto"/>
              </w:rPr>
            </w:pPr>
            <w:r>
              <w:rPr>
                <w:rFonts w:ascii="Arial" w:cs="Arial" w:eastAsia="Arial" w:hAnsi="Arial"/>
                <w:sz w:val="18"/>
                <w:szCs w:val="18"/>
                <w:color w:val="auto"/>
              </w:rPr>
              <w:t>Comprehensive loss attributable to BlackLine, Inc.</w:t>
            </w:r>
          </w:p>
        </w:tc>
        <w:tc>
          <w:tcPr>
            <w:tcW w:w="2600" w:type="dxa"/>
            <w:vAlign w:val="bottom"/>
            <w:gridSpan w:val="3"/>
            <w:shd w:val="clear" w:color="auto" w:fill="CFF0FC"/>
          </w:tcPr>
          <w:p>
            <w:pPr>
              <w:jc w:val="right"/>
              <w:ind w:right="80"/>
              <w:spacing w:after="0"/>
              <w:rPr>
                <w:sz w:val="20"/>
                <w:szCs w:val="20"/>
                <w:color w:val="auto"/>
              </w:rPr>
            </w:pPr>
            <w:r>
              <w:rPr>
                <w:rFonts w:ascii="Arial" w:cs="Arial" w:eastAsia="Arial" w:hAnsi="Arial"/>
                <w:sz w:val="18"/>
                <w:szCs w:val="18"/>
                <w:color w:val="auto"/>
              </w:rPr>
              <w:t>$</w:t>
            </w:r>
          </w:p>
        </w:tc>
        <w:tc>
          <w:tcPr>
            <w:tcW w:w="15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(27,696)</w:t>
            </w:r>
          </w:p>
        </w:tc>
        <w:tc>
          <w:tcPr>
            <w:tcW w:w="38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9"/>
              </w:rPr>
              <w:t>$</w:t>
            </w:r>
          </w:p>
        </w:tc>
        <w:tc>
          <w:tcPr>
            <w:tcW w:w="90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(910)</w:t>
            </w:r>
          </w:p>
        </w:tc>
        <w:tc>
          <w:tcPr>
            <w:tcW w:w="980" w:type="dxa"/>
            <w:vAlign w:val="bottom"/>
            <w:gridSpan w:val="3"/>
            <w:shd w:val="clear" w:color="auto" w:fill="CFF0FC"/>
          </w:tcPr>
          <w:p>
            <w:pPr>
              <w:jc w:val="right"/>
              <w:ind w:right="40"/>
              <w:spacing w:after="0"/>
              <w:rPr>
                <w:sz w:val="20"/>
                <w:szCs w:val="20"/>
                <w:color w:val="auto"/>
              </w:rPr>
            </w:pPr>
            <w:r>
              <w:rPr>
                <w:rFonts w:ascii="Arial" w:cs="Arial" w:eastAsia="Arial" w:hAnsi="Arial"/>
                <w:sz w:val="18"/>
                <w:szCs w:val="18"/>
                <w:color w:val="auto"/>
              </w:rPr>
              <w:t>$ (28,606)</w:t>
            </w:r>
          </w:p>
        </w:tc>
        <w:tc>
          <w:tcPr>
            <w:tcW w:w="0" w:type="dxa"/>
            <w:vAlign w:val="bottom"/>
          </w:tcPr>
          <w:p>
            <w:pPr>
              <w:spacing w:after="0"/>
              <w:rPr>
                <w:sz w:val="1"/>
                <w:szCs w:val="1"/>
                <w:color w:val="auto"/>
              </w:rPr>
            </w:pPr>
          </w:p>
        </w:tc>
      </w:tr>
      <w:tr>
        <w:trPr>
          <w:trHeight w:val="419"/>
        </w:trPr>
        <w:tc>
          <w:tcPr>
            <w:tcW w:w="5020" w:type="dxa"/>
            <w:vAlign w:val="bottom"/>
          </w:tcPr>
          <w:p>
            <w:pPr>
              <w:spacing w:after="0"/>
              <w:rPr>
                <w:sz w:val="24"/>
                <w:szCs w:val="24"/>
                <w:color w:val="auto"/>
              </w:rPr>
            </w:pPr>
          </w:p>
        </w:tc>
        <w:tc>
          <w:tcPr>
            <w:tcW w:w="23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820" w:type="dxa"/>
            <w:vAlign w:val="bottom"/>
            <w:tcBorders>
              <w:bottom w:val="single" w:sz="8" w:color="auto"/>
            </w:tcBorders>
            <w:gridSpan w:val="3"/>
          </w:tcPr>
          <w:p>
            <w:pPr>
              <w:jc w:val="center"/>
              <w:ind w:left="618"/>
              <w:spacing w:after="0"/>
              <w:rPr>
                <w:sz w:val="20"/>
                <w:szCs w:val="20"/>
                <w:color w:val="auto"/>
              </w:rPr>
            </w:pPr>
            <w:r>
              <w:rPr>
                <w:rFonts w:ascii="Arial" w:cs="Arial" w:eastAsia="Arial" w:hAnsi="Arial"/>
                <w:sz w:val="14"/>
                <w:szCs w:val="14"/>
                <w:b w:val="1"/>
                <w:bCs w:val="1"/>
                <w:color w:val="auto"/>
              </w:rPr>
              <w:t>Year Ended December 31, 2017</w:t>
            </w:r>
          </w:p>
        </w:tc>
        <w:tc>
          <w:tcPr>
            <w:tcW w:w="26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6"/>
        </w:trPr>
        <w:tc>
          <w:tcPr>
            <w:tcW w:w="5020" w:type="dxa"/>
            <w:vAlign w:val="bottom"/>
          </w:tcPr>
          <w:p>
            <w:pPr>
              <w:spacing w:after="0"/>
              <w:rPr>
                <w:sz w:val="13"/>
                <w:szCs w:val="13"/>
                <w:color w:val="auto"/>
              </w:rPr>
            </w:pPr>
          </w:p>
        </w:tc>
        <w:tc>
          <w:tcPr>
            <w:tcW w:w="23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540" w:type="dxa"/>
            <w:vAlign w:val="bottom"/>
          </w:tcPr>
          <w:p>
            <w:pPr>
              <w:jc w:val="center"/>
              <w:ind w:right="218"/>
              <w:spacing w:after="0" w:line="156" w:lineRule="exact"/>
              <w:rPr>
                <w:sz w:val="20"/>
                <w:szCs w:val="20"/>
                <w:color w:val="auto"/>
              </w:rPr>
            </w:pPr>
            <w:r>
              <w:rPr>
                <w:rFonts w:ascii="Arial" w:cs="Arial" w:eastAsia="Arial" w:hAnsi="Arial"/>
                <w:sz w:val="14"/>
                <w:szCs w:val="14"/>
                <w:b w:val="1"/>
                <w:bCs w:val="1"/>
                <w:color w:val="auto"/>
              </w:rPr>
              <w:t>As Previously</w:t>
            </w:r>
          </w:p>
        </w:tc>
        <w:tc>
          <w:tcPr>
            <w:tcW w:w="3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5"/>
        </w:trPr>
        <w:tc>
          <w:tcPr>
            <w:tcW w:w="5020" w:type="dxa"/>
            <w:vAlign w:val="bottom"/>
          </w:tcPr>
          <w:p>
            <w:pPr>
              <w:spacing w:after="0"/>
              <w:rPr>
                <w:sz w:val="15"/>
                <w:szCs w:val="15"/>
                <w:color w:val="auto"/>
              </w:rPr>
            </w:pPr>
          </w:p>
        </w:tc>
        <w:tc>
          <w:tcPr>
            <w:tcW w:w="23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540" w:type="dxa"/>
            <w:vAlign w:val="bottom"/>
          </w:tcPr>
          <w:p>
            <w:pPr>
              <w:jc w:val="center"/>
              <w:ind w:right="218"/>
              <w:spacing w:after="0"/>
              <w:rPr>
                <w:sz w:val="20"/>
                <w:szCs w:val="20"/>
                <w:color w:val="auto"/>
              </w:rPr>
            </w:pPr>
            <w:r>
              <w:rPr>
                <w:rFonts w:ascii="Arial" w:cs="Arial" w:eastAsia="Arial" w:hAnsi="Arial"/>
                <w:sz w:val="14"/>
                <w:szCs w:val="14"/>
                <w:b w:val="1"/>
                <w:bCs w:val="1"/>
                <w:color w:val="auto"/>
              </w:rPr>
              <w:t>Reported</w:t>
            </w:r>
          </w:p>
        </w:tc>
        <w:tc>
          <w:tcPr>
            <w:tcW w:w="1280" w:type="dxa"/>
            <w:vAlign w:val="bottom"/>
            <w:gridSpan w:val="2"/>
          </w:tcPr>
          <w:p>
            <w:pPr>
              <w:jc w:val="right"/>
              <w:ind w:right="150"/>
              <w:spacing w:after="0"/>
              <w:rPr>
                <w:sz w:val="20"/>
                <w:szCs w:val="20"/>
                <w:color w:val="auto"/>
              </w:rPr>
            </w:pPr>
            <w:r>
              <w:rPr>
                <w:rFonts w:ascii="Arial" w:cs="Arial" w:eastAsia="Arial" w:hAnsi="Arial"/>
                <w:sz w:val="14"/>
                <w:szCs w:val="14"/>
                <w:b w:val="1"/>
                <w:bCs w:val="1"/>
                <w:color w:val="auto"/>
              </w:rPr>
              <w:t>Adjustments</w:t>
            </w:r>
          </w:p>
        </w:tc>
        <w:tc>
          <w:tcPr>
            <w:tcW w:w="980" w:type="dxa"/>
            <w:vAlign w:val="bottom"/>
            <w:gridSpan w:val="3"/>
          </w:tcPr>
          <w:p>
            <w:pPr>
              <w:ind w:left="80"/>
              <w:spacing w:after="0"/>
              <w:rPr>
                <w:sz w:val="20"/>
                <w:szCs w:val="20"/>
                <w:color w:val="auto"/>
              </w:rPr>
            </w:pPr>
            <w:r>
              <w:rPr>
                <w:rFonts w:ascii="Arial" w:cs="Arial" w:eastAsia="Arial" w:hAnsi="Arial"/>
                <w:sz w:val="14"/>
                <w:szCs w:val="14"/>
                <w:b w:val="1"/>
                <w:bCs w:val="1"/>
                <w:color w:val="auto"/>
              </w:rPr>
              <w:t>As Revised</w:t>
            </w:r>
          </w:p>
        </w:tc>
        <w:tc>
          <w:tcPr>
            <w:tcW w:w="0" w:type="dxa"/>
            <w:vAlign w:val="bottom"/>
          </w:tcPr>
          <w:p>
            <w:pPr>
              <w:spacing w:after="0"/>
              <w:rPr>
                <w:sz w:val="1"/>
                <w:szCs w:val="1"/>
                <w:color w:val="auto"/>
              </w:rPr>
            </w:pPr>
          </w:p>
        </w:tc>
      </w:tr>
      <w:tr>
        <w:trPr>
          <w:trHeight w:val="169"/>
        </w:trPr>
        <w:tc>
          <w:tcPr>
            <w:tcW w:w="5020" w:type="dxa"/>
            <w:vAlign w:val="bottom"/>
          </w:tcPr>
          <w:p>
            <w:pPr>
              <w:spacing w:after="0"/>
              <w:rPr>
                <w:sz w:val="14"/>
                <w:szCs w:val="14"/>
                <w:color w:val="auto"/>
              </w:rPr>
            </w:pPr>
          </w:p>
        </w:tc>
        <w:tc>
          <w:tcPr>
            <w:tcW w:w="23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2820" w:type="dxa"/>
            <w:vAlign w:val="bottom"/>
            <w:tcBorders>
              <w:top w:val="single" w:sz="8" w:color="auto"/>
            </w:tcBorders>
            <w:gridSpan w:val="3"/>
          </w:tcPr>
          <w:p>
            <w:pPr>
              <w:jc w:val="center"/>
              <w:ind w:left="598"/>
              <w:spacing w:after="0"/>
              <w:rPr>
                <w:sz w:val="20"/>
                <w:szCs w:val="20"/>
                <w:color w:val="auto"/>
              </w:rPr>
            </w:pPr>
            <w:r>
              <w:rPr>
                <w:rFonts w:ascii="Arial" w:cs="Arial" w:eastAsia="Arial" w:hAnsi="Arial"/>
                <w:sz w:val="14"/>
                <w:szCs w:val="14"/>
                <w:b w:val="1"/>
                <w:bCs w:val="1"/>
                <w:color w:val="auto"/>
              </w:rPr>
              <w:t>(in thousands)</w:t>
            </w:r>
          </w:p>
        </w:tc>
        <w:tc>
          <w:tcPr>
            <w:tcW w:w="260" w:type="dxa"/>
            <w:vAlign w:val="bottom"/>
            <w:tcBorders>
              <w:top w:val="single" w:sz="8" w:color="auto"/>
            </w:tcBorders>
          </w:tcPr>
          <w:p>
            <w:pPr>
              <w:spacing w:after="0"/>
              <w:rPr>
                <w:sz w:val="14"/>
                <w:szCs w:val="14"/>
                <w:color w:val="auto"/>
              </w:rPr>
            </w:pPr>
          </w:p>
        </w:tc>
        <w:tc>
          <w:tcPr>
            <w:tcW w:w="62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5020" w:type="dxa"/>
            <w:vAlign w:val="bottom"/>
            <w:shd w:val="clear" w:color="auto" w:fill="CFF0FC"/>
          </w:tcPr>
          <w:p>
            <w:pPr>
              <w:spacing w:after="0"/>
              <w:rPr>
                <w:sz w:val="20"/>
                <w:szCs w:val="20"/>
                <w:color w:val="auto"/>
              </w:rPr>
            </w:pPr>
            <w:r>
              <w:rPr>
                <w:rFonts w:ascii="Arial" w:cs="Arial" w:eastAsia="Arial" w:hAnsi="Arial"/>
                <w:sz w:val="18"/>
                <w:szCs w:val="18"/>
                <w:color w:val="auto"/>
              </w:rPr>
              <w:t>Net loss</w:t>
            </w:r>
          </w:p>
        </w:tc>
        <w:tc>
          <w:tcPr>
            <w:tcW w:w="2600" w:type="dxa"/>
            <w:vAlign w:val="bottom"/>
            <w:gridSpan w:val="3"/>
            <w:shd w:val="clear" w:color="auto" w:fill="CFF0FC"/>
          </w:tcPr>
          <w:p>
            <w:pPr>
              <w:jc w:val="right"/>
              <w:ind w:right="80"/>
              <w:spacing w:after="0"/>
              <w:rPr>
                <w:sz w:val="20"/>
                <w:szCs w:val="20"/>
                <w:color w:val="auto"/>
              </w:rPr>
            </w:pPr>
            <w:r>
              <w:rPr>
                <w:rFonts w:ascii="Arial" w:cs="Arial" w:eastAsia="Arial" w:hAnsi="Arial"/>
                <w:sz w:val="18"/>
                <w:szCs w:val="18"/>
                <w:color w:val="auto"/>
              </w:rPr>
              <w:t>$</w:t>
            </w:r>
          </w:p>
        </w:tc>
        <w:tc>
          <w:tcPr>
            <w:tcW w:w="15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(33,051)</w:t>
            </w:r>
          </w:p>
        </w:tc>
        <w:tc>
          <w:tcPr>
            <w:tcW w:w="38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9"/>
              </w:rPr>
              <w:t>$</w:t>
            </w:r>
          </w:p>
        </w:tc>
        <w:tc>
          <w:tcPr>
            <w:tcW w:w="90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(357)</w:t>
            </w:r>
          </w:p>
        </w:tc>
        <w:tc>
          <w:tcPr>
            <w:tcW w:w="980" w:type="dxa"/>
            <w:vAlign w:val="bottom"/>
            <w:gridSpan w:val="3"/>
            <w:shd w:val="clear" w:color="auto" w:fill="CFF0FC"/>
          </w:tcPr>
          <w:p>
            <w:pPr>
              <w:jc w:val="right"/>
              <w:ind w:right="40"/>
              <w:spacing w:after="0"/>
              <w:rPr>
                <w:sz w:val="20"/>
                <w:szCs w:val="20"/>
                <w:color w:val="auto"/>
              </w:rPr>
            </w:pPr>
            <w:r>
              <w:rPr>
                <w:rFonts w:ascii="Arial" w:cs="Arial" w:eastAsia="Arial" w:hAnsi="Arial"/>
                <w:sz w:val="18"/>
                <w:szCs w:val="18"/>
                <w:color w:val="auto"/>
              </w:rPr>
              <w:t>$ (33,408)</w:t>
            </w:r>
          </w:p>
        </w:tc>
        <w:tc>
          <w:tcPr>
            <w:tcW w:w="0" w:type="dxa"/>
            <w:vAlign w:val="bottom"/>
          </w:tcPr>
          <w:p>
            <w:pPr>
              <w:spacing w:after="0"/>
              <w:rPr>
                <w:sz w:val="1"/>
                <w:szCs w:val="1"/>
                <w:color w:val="auto"/>
              </w:rPr>
            </w:pPr>
          </w:p>
        </w:tc>
      </w:tr>
      <w:tr>
        <w:trPr>
          <w:trHeight w:val="216"/>
        </w:trPr>
        <w:tc>
          <w:tcPr>
            <w:tcW w:w="5020" w:type="dxa"/>
            <w:vAlign w:val="bottom"/>
          </w:tcPr>
          <w:p>
            <w:pPr>
              <w:spacing w:after="0"/>
              <w:rPr>
                <w:sz w:val="20"/>
                <w:szCs w:val="20"/>
                <w:color w:val="auto"/>
              </w:rPr>
            </w:pPr>
            <w:r>
              <w:rPr>
                <w:rFonts w:ascii="Arial" w:cs="Arial" w:eastAsia="Arial" w:hAnsi="Arial"/>
                <w:sz w:val="18"/>
                <w:szCs w:val="18"/>
                <w:color w:val="auto"/>
              </w:rPr>
              <w:t>Comprehensive loss</w:t>
            </w:r>
          </w:p>
        </w:tc>
        <w:tc>
          <w:tcPr>
            <w:tcW w:w="2600" w:type="dxa"/>
            <w:vAlign w:val="bottom"/>
            <w:gridSpan w:val="3"/>
          </w:tcPr>
          <w:p>
            <w:pPr>
              <w:jc w:val="right"/>
              <w:ind w:right="80"/>
              <w:spacing w:after="0"/>
              <w:rPr>
                <w:sz w:val="20"/>
                <w:szCs w:val="20"/>
                <w:color w:val="auto"/>
              </w:rPr>
            </w:pPr>
            <w:r>
              <w:rPr>
                <w:rFonts w:ascii="Arial" w:cs="Arial" w:eastAsia="Arial" w:hAnsi="Arial"/>
                <w:sz w:val="18"/>
                <w:szCs w:val="18"/>
                <w:color w:val="auto"/>
              </w:rPr>
              <w:t>$</w:t>
            </w:r>
          </w:p>
        </w:tc>
        <w:tc>
          <w:tcPr>
            <w:tcW w:w="1540" w:type="dxa"/>
            <w:vAlign w:val="bottom"/>
          </w:tcPr>
          <w:p>
            <w:pPr>
              <w:jc w:val="right"/>
              <w:spacing w:after="0"/>
              <w:rPr>
                <w:sz w:val="20"/>
                <w:szCs w:val="20"/>
                <w:color w:val="auto"/>
              </w:rPr>
            </w:pPr>
            <w:r>
              <w:rPr>
                <w:rFonts w:ascii="Arial" w:cs="Arial" w:eastAsia="Arial" w:hAnsi="Arial"/>
                <w:sz w:val="18"/>
                <w:szCs w:val="18"/>
                <w:color w:val="auto"/>
              </w:rPr>
              <w:t>(33,073)</w:t>
            </w:r>
          </w:p>
        </w:tc>
        <w:tc>
          <w:tcPr>
            <w:tcW w:w="38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(357)</w:t>
            </w:r>
          </w:p>
        </w:tc>
        <w:tc>
          <w:tcPr>
            <w:tcW w:w="980" w:type="dxa"/>
            <w:vAlign w:val="bottom"/>
            <w:gridSpan w:val="3"/>
          </w:tcPr>
          <w:p>
            <w:pPr>
              <w:jc w:val="right"/>
              <w:ind w:right="40"/>
              <w:spacing w:after="0"/>
              <w:rPr>
                <w:sz w:val="20"/>
                <w:szCs w:val="20"/>
                <w:color w:val="auto"/>
              </w:rPr>
            </w:pPr>
            <w:r>
              <w:rPr>
                <w:rFonts w:ascii="Arial" w:cs="Arial" w:eastAsia="Arial" w:hAnsi="Arial"/>
                <w:sz w:val="18"/>
                <w:szCs w:val="18"/>
                <w:color w:val="auto"/>
              </w:rPr>
              <w:t>$ (33,430)</w:t>
            </w:r>
          </w:p>
        </w:tc>
        <w:tc>
          <w:tcPr>
            <w:tcW w:w="0" w:type="dxa"/>
            <w:vAlign w:val="bottom"/>
          </w:tcPr>
          <w:p>
            <w:pPr>
              <w:spacing w:after="0"/>
              <w:rPr>
                <w:sz w:val="1"/>
                <w:szCs w:val="1"/>
                <w:color w:val="auto"/>
              </w:rPr>
            </w:pPr>
          </w:p>
        </w:tc>
      </w:tr>
      <w:tr>
        <w:trPr>
          <w:trHeight w:val="216"/>
        </w:trPr>
        <w:tc>
          <w:tcPr>
            <w:tcW w:w="5020" w:type="dxa"/>
            <w:vAlign w:val="bottom"/>
            <w:shd w:val="clear" w:color="auto" w:fill="CFF0FC"/>
          </w:tcPr>
          <w:p>
            <w:pPr>
              <w:spacing w:after="0"/>
              <w:rPr>
                <w:sz w:val="20"/>
                <w:szCs w:val="20"/>
                <w:color w:val="auto"/>
              </w:rPr>
            </w:pPr>
            <w:r>
              <w:rPr>
                <w:rFonts w:ascii="Arial" w:cs="Arial" w:eastAsia="Arial" w:hAnsi="Arial"/>
                <w:sz w:val="18"/>
                <w:szCs w:val="18"/>
                <w:color w:val="auto"/>
              </w:rPr>
              <w:t>Comprehensive loss attributable to BlackLine, Inc.</w:t>
            </w:r>
          </w:p>
        </w:tc>
        <w:tc>
          <w:tcPr>
            <w:tcW w:w="2600" w:type="dxa"/>
            <w:vAlign w:val="bottom"/>
            <w:gridSpan w:val="3"/>
            <w:shd w:val="clear" w:color="auto" w:fill="CFF0FC"/>
          </w:tcPr>
          <w:p>
            <w:pPr>
              <w:jc w:val="right"/>
              <w:ind w:right="80"/>
              <w:spacing w:after="0"/>
              <w:rPr>
                <w:sz w:val="20"/>
                <w:szCs w:val="20"/>
                <w:color w:val="auto"/>
              </w:rPr>
            </w:pPr>
            <w:r>
              <w:rPr>
                <w:rFonts w:ascii="Arial" w:cs="Arial" w:eastAsia="Arial" w:hAnsi="Arial"/>
                <w:sz w:val="18"/>
                <w:szCs w:val="18"/>
                <w:color w:val="auto"/>
              </w:rPr>
              <w:t>$</w:t>
            </w:r>
          </w:p>
        </w:tc>
        <w:tc>
          <w:tcPr>
            <w:tcW w:w="15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(33,073)</w:t>
            </w:r>
          </w:p>
        </w:tc>
        <w:tc>
          <w:tcPr>
            <w:tcW w:w="38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9"/>
              </w:rPr>
              <w:t>$</w:t>
            </w:r>
          </w:p>
        </w:tc>
        <w:tc>
          <w:tcPr>
            <w:tcW w:w="90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(357)</w:t>
            </w:r>
          </w:p>
        </w:tc>
        <w:tc>
          <w:tcPr>
            <w:tcW w:w="980" w:type="dxa"/>
            <w:vAlign w:val="bottom"/>
            <w:gridSpan w:val="3"/>
            <w:shd w:val="clear" w:color="auto" w:fill="CFF0FC"/>
          </w:tcPr>
          <w:p>
            <w:pPr>
              <w:jc w:val="right"/>
              <w:ind w:right="40"/>
              <w:spacing w:after="0"/>
              <w:rPr>
                <w:sz w:val="20"/>
                <w:szCs w:val="20"/>
                <w:color w:val="auto"/>
              </w:rPr>
            </w:pPr>
            <w:r>
              <w:rPr>
                <w:rFonts w:ascii="Arial" w:cs="Arial" w:eastAsia="Arial" w:hAnsi="Arial"/>
                <w:sz w:val="18"/>
                <w:szCs w:val="18"/>
                <w:color w:val="auto"/>
              </w:rPr>
              <w:t>$ (33,430)</w:t>
            </w:r>
          </w:p>
        </w:tc>
        <w:tc>
          <w:tcPr>
            <w:tcW w:w="0" w:type="dxa"/>
            <w:vAlign w:val="bottom"/>
          </w:tcPr>
          <w:p>
            <w:pPr>
              <w:spacing w:after="0"/>
              <w:rPr>
                <w:sz w:val="1"/>
                <w:szCs w:val="1"/>
                <w:color w:val="auto"/>
              </w:rPr>
            </w:pPr>
          </w:p>
        </w:tc>
      </w:tr>
      <w:tr>
        <w:trPr>
          <w:trHeight w:val="675"/>
        </w:trPr>
        <w:tc>
          <w:tcPr>
            <w:tcW w:w="5020" w:type="dxa"/>
            <w:vAlign w:val="bottom"/>
          </w:tcPr>
          <w:p>
            <w:pPr>
              <w:spacing w:after="0"/>
              <w:rPr>
                <w:sz w:val="24"/>
                <w:szCs w:val="24"/>
                <w:color w:val="auto"/>
              </w:rPr>
            </w:pPr>
          </w:p>
        </w:tc>
        <w:tc>
          <w:tcPr>
            <w:tcW w:w="2380" w:type="dxa"/>
            <w:vAlign w:val="bottom"/>
          </w:tcPr>
          <w:p>
            <w:pPr>
              <w:jc w:val="right"/>
              <w:ind w:right="1490"/>
              <w:spacing w:after="0"/>
              <w:rPr>
                <w:sz w:val="20"/>
                <w:szCs w:val="20"/>
                <w:color w:val="auto"/>
              </w:rPr>
            </w:pPr>
            <w:r>
              <w:rPr>
                <w:rFonts w:ascii="Arial" w:cs="Arial" w:eastAsia="Arial" w:hAnsi="Arial"/>
                <w:sz w:val="18"/>
                <w:szCs w:val="18"/>
                <w:color w:val="auto"/>
              </w:rPr>
              <w:t>64</w:t>
            </w: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2"/>
        </w:trPr>
        <w:tc>
          <w:tcPr>
            <w:tcW w:w="5020" w:type="dxa"/>
            <w:vAlign w:val="bottom"/>
            <w:tcBorders>
              <w:bottom w:val="single" w:sz="8" w:color="9A9A9A"/>
            </w:tcBorders>
          </w:tcPr>
          <w:p>
            <w:pPr>
              <w:spacing w:after="0"/>
              <w:rPr>
                <w:sz w:val="8"/>
                <w:szCs w:val="8"/>
                <w:color w:val="auto"/>
              </w:rPr>
            </w:pPr>
          </w:p>
        </w:tc>
        <w:tc>
          <w:tcPr>
            <w:tcW w:w="2380" w:type="dxa"/>
            <w:vAlign w:val="bottom"/>
            <w:tcBorders>
              <w:bottom w:val="single" w:sz="8" w:color="9A9A9A"/>
            </w:tcBorders>
          </w:tcPr>
          <w:p>
            <w:pPr>
              <w:spacing w:after="0"/>
              <w:rPr>
                <w:sz w:val="8"/>
                <w:szCs w:val="8"/>
                <w:color w:val="auto"/>
              </w:rPr>
            </w:pPr>
          </w:p>
        </w:tc>
        <w:tc>
          <w:tcPr>
            <w:tcW w:w="40" w:type="dxa"/>
            <w:vAlign w:val="bottom"/>
            <w:tcBorders>
              <w:bottom w:val="single" w:sz="8" w:color="9A9A9A"/>
            </w:tcBorders>
          </w:tcPr>
          <w:p>
            <w:pPr>
              <w:spacing w:after="0"/>
              <w:rPr>
                <w:sz w:val="8"/>
                <w:szCs w:val="8"/>
                <w:color w:val="auto"/>
              </w:rPr>
            </w:pPr>
          </w:p>
        </w:tc>
        <w:tc>
          <w:tcPr>
            <w:tcW w:w="180" w:type="dxa"/>
            <w:vAlign w:val="bottom"/>
            <w:tcBorders>
              <w:bottom w:val="single" w:sz="8" w:color="9A9A9A"/>
            </w:tcBorders>
          </w:tcPr>
          <w:p>
            <w:pPr>
              <w:spacing w:after="0"/>
              <w:rPr>
                <w:sz w:val="8"/>
                <w:szCs w:val="8"/>
                <w:color w:val="auto"/>
              </w:rPr>
            </w:pPr>
          </w:p>
        </w:tc>
        <w:tc>
          <w:tcPr>
            <w:tcW w:w="1540" w:type="dxa"/>
            <w:vAlign w:val="bottom"/>
            <w:tcBorders>
              <w:bottom w:val="single" w:sz="8" w:color="9A9A9A"/>
            </w:tcBorders>
          </w:tcPr>
          <w:p>
            <w:pPr>
              <w:spacing w:after="0"/>
              <w:rPr>
                <w:sz w:val="8"/>
                <w:szCs w:val="8"/>
                <w:color w:val="auto"/>
              </w:rPr>
            </w:pPr>
          </w:p>
        </w:tc>
        <w:tc>
          <w:tcPr>
            <w:tcW w:w="380" w:type="dxa"/>
            <w:vAlign w:val="bottom"/>
            <w:tcBorders>
              <w:bottom w:val="single" w:sz="8" w:color="9A9A9A"/>
            </w:tcBorders>
          </w:tcPr>
          <w:p>
            <w:pPr>
              <w:spacing w:after="0"/>
              <w:rPr>
                <w:sz w:val="8"/>
                <w:szCs w:val="8"/>
                <w:color w:val="auto"/>
              </w:rPr>
            </w:pPr>
          </w:p>
        </w:tc>
        <w:tc>
          <w:tcPr>
            <w:tcW w:w="900" w:type="dxa"/>
            <w:vAlign w:val="bottom"/>
            <w:tcBorders>
              <w:bottom w:val="single" w:sz="8" w:color="9A9A9A"/>
            </w:tcBorders>
          </w:tcPr>
          <w:p>
            <w:pPr>
              <w:spacing w:after="0"/>
              <w:rPr>
                <w:sz w:val="8"/>
                <w:szCs w:val="8"/>
                <w:color w:val="auto"/>
              </w:rPr>
            </w:pPr>
          </w:p>
        </w:tc>
        <w:tc>
          <w:tcPr>
            <w:tcW w:w="260" w:type="dxa"/>
            <w:vAlign w:val="bottom"/>
            <w:tcBorders>
              <w:bottom w:val="single" w:sz="8" w:color="9A9A9A"/>
            </w:tcBorders>
          </w:tcPr>
          <w:p>
            <w:pPr>
              <w:spacing w:after="0"/>
              <w:rPr>
                <w:sz w:val="8"/>
                <w:szCs w:val="8"/>
                <w:color w:val="auto"/>
              </w:rPr>
            </w:pPr>
          </w:p>
        </w:tc>
        <w:tc>
          <w:tcPr>
            <w:tcW w:w="62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7230110</wp:posOffset>
            </wp:positionH>
            <wp:positionV relativeFrom="paragraph">
              <wp:posOffset>-29210</wp:posOffset>
            </wp:positionV>
            <wp:extent cx="34290"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20"/>
          </w:cols>
          <w:pgMar w:left="240" w:top="355" w:right="239" w:bottom="1440" w:gutter="0" w:footer="0" w:header="0"/>
        </w:sectPr>
      </w:pPr>
    </w:p>
    <w:bookmarkStart w:id="64" w:name="page65"/>
    <w:bookmarkEnd w:id="64"/>
    <w:p>
      <w:pPr>
        <w:spacing w:after="0"/>
        <w:rPr>
          <w:sz w:val="20"/>
          <w:szCs w:val="20"/>
          <w:color w:val="auto"/>
        </w:rPr>
      </w:pPr>
      <w:r>
        <w:rPr>
          <w:rFonts w:ascii="Arial" w:cs="Arial" w:eastAsia="Arial" w:hAnsi="Arial"/>
          <w:sz w:val="18"/>
          <w:szCs w:val="18"/>
          <w:b w:val="1"/>
          <w:bCs w:val="1"/>
          <w:color w:val="auto"/>
        </w:rPr>
        <w:t>Consolidated Statements of Stockholders' Equity</w:t>
      </w:r>
    </w:p>
    <w:p>
      <w:pPr>
        <w:spacing w:after="0" w:line="59"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7400" w:type="dxa"/>
            <w:vAlign w:val="bottom"/>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2820" w:type="dxa"/>
            <w:vAlign w:val="bottom"/>
            <w:tcBorders>
              <w:bottom w:val="single" w:sz="8" w:color="auto"/>
            </w:tcBorders>
            <w:gridSpan w:val="3"/>
          </w:tcPr>
          <w:p>
            <w:pPr>
              <w:jc w:val="center"/>
              <w:ind w:left="538"/>
              <w:spacing w:after="0"/>
              <w:rPr>
                <w:sz w:val="20"/>
                <w:szCs w:val="20"/>
                <w:color w:val="auto"/>
              </w:rPr>
            </w:pPr>
            <w:r>
              <w:rPr>
                <w:rFonts w:ascii="Arial" w:cs="Arial" w:eastAsia="Arial" w:hAnsi="Arial"/>
                <w:sz w:val="14"/>
                <w:szCs w:val="14"/>
                <w:b w:val="1"/>
                <w:bCs w:val="1"/>
                <w:color w:val="auto"/>
              </w:rPr>
              <w:t>Year Ended December 31, 2018</w:t>
            </w:r>
          </w:p>
        </w:tc>
        <w:tc>
          <w:tcPr>
            <w:tcW w:w="22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6"/>
        </w:trPr>
        <w:tc>
          <w:tcPr>
            <w:tcW w:w="74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540" w:type="dxa"/>
            <w:vAlign w:val="bottom"/>
          </w:tcPr>
          <w:p>
            <w:pPr>
              <w:jc w:val="center"/>
              <w:ind w:right="338"/>
              <w:spacing w:after="0" w:line="156" w:lineRule="exact"/>
              <w:rPr>
                <w:sz w:val="20"/>
                <w:szCs w:val="20"/>
                <w:color w:val="auto"/>
              </w:rPr>
            </w:pPr>
            <w:r>
              <w:rPr>
                <w:rFonts w:ascii="Arial" w:cs="Arial" w:eastAsia="Arial" w:hAnsi="Arial"/>
                <w:sz w:val="14"/>
                <w:szCs w:val="14"/>
                <w:b w:val="1"/>
                <w:bCs w:val="1"/>
                <w:color w:val="auto"/>
              </w:rPr>
              <w:t>As Previously</w:t>
            </w:r>
          </w:p>
        </w:tc>
        <w:tc>
          <w:tcPr>
            <w:tcW w:w="3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5"/>
        </w:trPr>
        <w:tc>
          <w:tcPr>
            <w:tcW w:w="7400" w:type="dxa"/>
            <w:vAlign w:val="bottom"/>
            <w:vMerge w:val="restart"/>
          </w:tcPr>
          <w:p>
            <w:pPr>
              <w:spacing w:after="0"/>
              <w:rPr>
                <w:sz w:val="20"/>
                <w:szCs w:val="20"/>
                <w:color w:val="auto"/>
              </w:rPr>
            </w:pPr>
            <w:r>
              <w:rPr>
                <w:rFonts w:ascii="Arial" w:cs="Arial" w:eastAsia="Arial" w:hAnsi="Arial"/>
                <w:sz w:val="18"/>
                <w:szCs w:val="18"/>
                <w:b w:val="1"/>
                <w:bCs w:val="1"/>
                <w:color w:val="auto"/>
              </w:rPr>
              <w:t>Accumulated Deficit</w:t>
            </w:r>
          </w:p>
        </w:tc>
        <w:tc>
          <w:tcPr>
            <w:tcW w:w="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540" w:type="dxa"/>
            <w:vAlign w:val="bottom"/>
          </w:tcPr>
          <w:p>
            <w:pPr>
              <w:jc w:val="center"/>
              <w:ind w:right="338"/>
              <w:spacing w:after="0"/>
              <w:rPr>
                <w:sz w:val="20"/>
                <w:szCs w:val="20"/>
                <w:color w:val="auto"/>
              </w:rPr>
            </w:pPr>
            <w:r>
              <w:rPr>
                <w:rFonts w:ascii="Arial" w:cs="Arial" w:eastAsia="Arial" w:hAnsi="Arial"/>
                <w:sz w:val="14"/>
                <w:szCs w:val="14"/>
                <w:b w:val="1"/>
                <w:bCs w:val="1"/>
                <w:color w:val="auto"/>
              </w:rPr>
              <w:t>Reported</w:t>
            </w:r>
          </w:p>
        </w:tc>
        <w:tc>
          <w:tcPr>
            <w:tcW w:w="1280" w:type="dxa"/>
            <w:vAlign w:val="bottom"/>
            <w:gridSpan w:val="2"/>
          </w:tcPr>
          <w:p>
            <w:pPr>
              <w:jc w:val="right"/>
              <w:ind w:right="190"/>
              <w:spacing w:after="0"/>
              <w:rPr>
                <w:sz w:val="20"/>
                <w:szCs w:val="20"/>
                <w:color w:val="auto"/>
              </w:rPr>
            </w:pPr>
            <w:r>
              <w:rPr>
                <w:rFonts w:ascii="Arial" w:cs="Arial" w:eastAsia="Arial" w:hAnsi="Arial"/>
                <w:sz w:val="14"/>
                <w:szCs w:val="14"/>
                <w:b w:val="1"/>
                <w:bCs w:val="1"/>
                <w:color w:val="auto"/>
              </w:rPr>
              <w:t>Adjustments</w:t>
            </w:r>
          </w:p>
        </w:tc>
        <w:tc>
          <w:tcPr>
            <w:tcW w:w="980" w:type="dxa"/>
            <w:vAlign w:val="bottom"/>
            <w:gridSpan w:val="3"/>
          </w:tcPr>
          <w:p>
            <w:pPr>
              <w:ind w:left="60"/>
              <w:spacing w:after="0"/>
              <w:rPr>
                <w:sz w:val="20"/>
                <w:szCs w:val="20"/>
                <w:color w:val="auto"/>
              </w:rPr>
            </w:pPr>
            <w:r>
              <w:rPr>
                <w:rFonts w:ascii="Arial" w:cs="Arial" w:eastAsia="Arial" w:hAnsi="Arial"/>
                <w:sz w:val="14"/>
                <w:szCs w:val="14"/>
                <w:b w:val="1"/>
                <w:bCs w:val="1"/>
                <w:color w:val="auto"/>
              </w:rPr>
              <w:t>As Revised</w:t>
            </w:r>
          </w:p>
        </w:tc>
        <w:tc>
          <w:tcPr>
            <w:tcW w:w="0" w:type="dxa"/>
            <w:vAlign w:val="bottom"/>
          </w:tcPr>
          <w:p>
            <w:pPr>
              <w:spacing w:after="0"/>
              <w:rPr>
                <w:sz w:val="1"/>
                <w:szCs w:val="1"/>
                <w:color w:val="auto"/>
              </w:rPr>
            </w:pPr>
          </w:p>
        </w:tc>
      </w:tr>
      <w:tr>
        <w:trPr>
          <w:trHeight w:val="210"/>
        </w:trPr>
        <w:tc>
          <w:tcPr>
            <w:tcW w:w="7400" w:type="dxa"/>
            <w:vAlign w:val="bottom"/>
            <w:vMerge w:val="continue"/>
          </w:tcPr>
          <w:p>
            <w:pPr>
              <w:spacing w:after="0"/>
              <w:rPr>
                <w:sz w:val="18"/>
                <w:szCs w:val="18"/>
                <w:color w:val="auto"/>
              </w:rPr>
            </w:pPr>
          </w:p>
        </w:tc>
        <w:tc>
          <w:tcPr>
            <w:tcW w:w="40" w:type="dxa"/>
            <w:vAlign w:val="bottom"/>
            <w:tcBorders>
              <w:top w:val="single" w:sz="8" w:color="auto"/>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2820" w:type="dxa"/>
            <w:vAlign w:val="bottom"/>
            <w:tcBorders>
              <w:top w:val="single" w:sz="8" w:color="auto"/>
            </w:tcBorders>
            <w:gridSpan w:val="3"/>
          </w:tcPr>
          <w:p>
            <w:pPr>
              <w:jc w:val="center"/>
              <w:ind w:left="558"/>
              <w:spacing w:after="0"/>
              <w:rPr>
                <w:sz w:val="20"/>
                <w:szCs w:val="20"/>
                <w:color w:val="auto"/>
              </w:rPr>
            </w:pPr>
            <w:r>
              <w:rPr>
                <w:rFonts w:ascii="Arial" w:cs="Arial" w:eastAsia="Arial" w:hAnsi="Arial"/>
                <w:sz w:val="14"/>
                <w:szCs w:val="14"/>
                <w:b w:val="1"/>
                <w:bCs w:val="1"/>
                <w:color w:val="auto"/>
              </w:rPr>
              <w:t>(in thousands)</w:t>
            </w:r>
          </w:p>
        </w:tc>
        <w:tc>
          <w:tcPr>
            <w:tcW w:w="220" w:type="dxa"/>
            <w:vAlign w:val="bottom"/>
            <w:tcBorders>
              <w:top w:val="single" w:sz="8" w:color="auto"/>
            </w:tcBorders>
          </w:tcPr>
          <w:p>
            <w:pPr>
              <w:spacing w:after="0"/>
              <w:rPr>
                <w:sz w:val="18"/>
                <w:szCs w:val="18"/>
                <w:color w:val="auto"/>
              </w:rPr>
            </w:pPr>
          </w:p>
        </w:tc>
        <w:tc>
          <w:tcPr>
            <w:tcW w:w="6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00" w:type="dxa"/>
            <w:vAlign w:val="bottom"/>
            <w:shd w:val="clear" w:color="auto" w:fill="CFF0FC"/>
          </w:tcPr>
          <w:p>
            <w:pPr>
              <w:spacing w:after="0"/>
              <w:rPr>
                <w:sz w:val="20"/>
                <w:szCs w:val="20"/>
                <w:color w:val="auto"/>
              </w:rPr>
            </w:pPr>
            <w:r>
              <w:rPr>
                <w:rFonts w:ascii="Arial" w:cs="Arial" w:eastAsia="Arial" w:hAnsi="Arial"/>
                <w:sz w:val="18"/>
                <w:szCs w:val="18"/>
                <w:color w:val="auto"/>
              </w:rPr>
              <w:t>Balance at December 31, 2017</w:t>
            </w:r>
          </w:p>
        </w:tc>
        <w:tc>
          <w:tcPr>
            <w:tcW w:w="22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w w:val="79"/>
              </w:rPr>
              <w:t>$</w:t>
            </w:r>
          </w:p>
        </w:tc>
        <w:tc>
          <w:tcPr>
            <w:tcW w:w="1540" w:type="dxa"/>
            <w:vAlign w:val="bottom"/>
            <w:shd w:val="clear" w:color="auto" w:fill="CFF0FC"/>
          </w:tcPr>
          <w:p>
            <w:pPr>
              <w:jc w:val="right"/>
              <w:ind w:right="38"/>
              <w:spacing w:after="0"/>
              <w:rPr>
                <w:sz w:val="20"/>
                <w:szCs w:val="20"/>
                <w:color w:val="auto"/>
              </w:rPr>
            </w:pPr>
            <w:r>
              <w:rPr>
                <w:rFonts w:ascii="Arial" w:cs="Arial" w:eastAsia="Arial" w:hAnsi="Arial"/>
                <w:sz w:val="18"/>
                <w:szCs w:val="18"/>
                <w:color w:val="auto"/>
              </w:rPr>
              <w:t>(102,790)</w:t>
            </w:r>
          </w:p>
        </w:tc>
        <w:tc>
          <w:tcPr>
            <w:tcW w:w="380" w:type="dxa"/>
            <w:vAlign w:val="bottom"/>
            <w:shd w:val="clear" w:color="auto" w:fill="CFF0FC"/>
          </w:tcPr>
          <w:p>
            <w:pPr>
              <w:jc w:val="right"/>
              <w:ind w:right="113"/>
              <w:spacing w:after="0"/>
              <w:rPr>
                <w:sz w:val="20"/>
                <w:szCs w:val="20"/>
                <w:color w:val="auto"/>
              </w:rPr>
            </w:pPr>
            <w:r>
              <w:rPr>
                <w:rFonts w:ascii="Arial" w:cs="Arial" w:eastAsia="Arial" w:hAnsi="Arial"/>
                <w:sz w:val="18"/>
                <w:szCs w:val="18"/>
                <w:color w:val="auto"/>
              </w:rPr>
              <w:t>$</w:t>
            </w:r>
          </w:p>
        </w:tc>
        <w:tc>
          <w:tcPr>
            <w:tcW w:w="90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rPr>
              <w:t>(1,392)</w:t>
            </w:r>
          </w:p>
        </w:tc>
        <w:tc>
          <w:tcPr>
            <w:tcW w:w="980" w:type="dxa"/>
            <w:vAlign w:val="bottom"/>
            <w:gridSpan w:val="3"/>
            <w:shd w:val="clear" w:color="auto" w:fill="CFF0FC"/>
          </w:tcPr>
          <w:p>
            <w:pPr>
              <w:jc w:val="right"/>
              <w:ind w:right="40"/>
              <w:spacing w:after="0"/>
              <w:rPr>
                <w:sz w:val="20"/>
                <w:szCs w:val="20"/>
                <w:color w:val="auto"/>
              </w:rPr>
            </w:pPr>
            <w:r>
              <w:rPr>
                <w:rFonts w:ascii="Arial" w:cs="Arial" w:eastAsia="Arial" w:hAnsi="Arial"/>
                <w:sz w:val="18"/>
                <w:szCs w:val="18"/>
                <w:color w:val="auto"/>
                <w:w w:val="99"/>
              </w:rPr>
              <w:t>$ (104,182)</w:t>
            </w:r>
          </w:p>
        </w:tc>
        <w:tc>
          <w:tcPr>
            <w:tcW w:w="0" w:type="dxa"/>
            <w:vAlign w:val="bottom"/>
          </w:tcPr>
          <w:p>
            <w:pPr>
              <w:spacing w:after="0"/>
              <w:rPr>
                <w:sz w:val="1"/>
                <w:szCs w:val="1"/>
                <w:color w:val="auto"/>
              </w:rPr>
            </w:pPr>
          </w:p>
        </w:tc>
      </w:tr>
      <w:tr>
        <w:trPr>
          <w:trHeight w:val="216"/>
        </w:trPr>
        <w:tc>
          <w:tcPr>
            <w:tcW w:w="7400" w:type="dxa"/>
            <w:vAlign w:val="bottom"/>
          </w:tcPr>
          <w:p>
            <w:pPr>
              <w:spacing w:after="0"/>
              <w:rPr>
                <w:sz w:val="20"/>
                <w:szCs w:val="20"/>
                <w:color w:val="auto"/>
              </w:rPr>
            </w:pPr>
            <w:r>
              <w:rPr>
                <w:rFonts w:ascii="Arial" w:cs="Arial" w:eastAsia="Arial" w:hAnsi="Arial"/>
                <w:sz w:val="18"/>
                <w:szCs w:val="18"/>
                <w:color w:val="auto"/>
              </w:rPr>
              <w:t>Net loss attributable to BlackLine, Inc.</w:t>
            </w:r>
          </w:p>
        </w:tc>
        <w:tc>
          <w:tcPr>
            <w:tcW w:w="220" w:type="dxa"/>
            <w:vAlign w:val="bottom"/>
            <w:gridSpan w:val="2"/>
          </w:tcPr>
          <w:p>
            <w:pPr>
              <w:jc w:val="right"/>
              <w:ind w:right="120"/>
              <w:spacing w:after="0"/>
              <w:rPr>
                <w:sz w:val="20"/>
                <w:szCs w:val="20"/>
                <w:color w:val="auto"/>
              </w:rPr>
            </w:pPr>
            <w:r>
              <w:rPr>
                <w:rFonts w:ascii="Arial" w:cs="Arial" w:eastAsia="Arial" w:hAnsi="Arial"/>
                <w:sz w:val="18"/>
                <w:szCs w:val="18"/>
                <w:color w:val="auto"/>
                <w:w w:val="79"/>
              </w:rPr>
              <w:t>$</w:t>
            </w:r>
          </w:p>
        </w:tc>
        <w:tc>
          <w:tcPr>
            <w:tcW w:w="1540" w:type="dxa"/>
            <w:vAlign w:val="bottom"/>
          </w:tcPr>
          <w:p>
            <w:pPr>
              <w:jc w:val="right"/>
              <w:ind w:right="38"/>
              <w:spacing w:after="0"/>
              <w:rPr>
                <w:sz w:val="20"/>
                <w:szCs w:val="20"/>
                <w:color w:val="auto"/>
              </w:rPr>
            </w:pPr>
            <w:r>
              <w:rPr>
                <w:rFonts w:ascii="Arial" w:cs="Arial" w:eastAsia="Arial" w:hAnsi="Arial"/>
                <w:sz w:val="18"/>
                <w:szCs w:val="18"/>
                <w:color w:val="auto"/>
              </w:rPr>
              <w:t>(27,804)</w:t>
            </w:r>
          </w:p>
        </w:tc>
        <w:tc>
          <w:tcPr>
            <w:tcW w:w="380" w:type="dxa"/>
            <w:vAlign w:val="bottom"/>
          </w:tcPr>
          <w:p>
            <w:pPr>
              <w:jc w:val="right"/>
              <w:ind w:right="113"/>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70"/>
              <w:spacing w:after="0"/>
              <w:rPr>
                <w:sz w:val="20"/>
                <w:szCs w:val="20"/>
                <w:color w:val="auto"/>
              </w:rPr>
            </w:pPr>
            <w:r>
              <w:rPr>
                <w:rFonts w:ascii="Arial" w:cs="Arial" w:eastAsia="Arial" w:hAnsi="Arial"/>
                <w:sz w:val="18"/>
                <w:szCs w:val="18"/>
                <w:color w:val="auto"/>
              </w:rPr>
              <w:t>(910)</w:t>
            </w:r>
          </w:p>
        </w:tc>
        <w:tc>
          <w:tcPr>
            <w:tcW w:w="220" w:type="dxa"/>
            <w:vAlign w:val="bottom"/>
          </w:tcPr>
          <w:p>
            <w:pPr>
              <w:jc w:val="right"/>
              <w:ind w:right="13"/>
              <w:spacing w:after="0"/>
              <w:rPr>
                <w:sz w:val="20"/>
                <w:szCs w:val="20"/>
                <w:color w:val="auto"/>
              </w:rPr>
            </w:pPr>
            <w:r>
              <w:rPr>
                <w:rFonts w:ascii="Arial" w:cs="Arial" w:eastAsia="Arial" w:hAnsi="Arial"/>
                <w:sz w:val="18"/>
                <w:szCs w:val="18"/>
                <w:color w:val="auto"/>
                <w:w w:val="99"/>
              </w:rPr>
              <w:t>$</w:t>
            </w: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(28,714)</w:t>
            </w:r>
          </w:p>
        </w:tc>
        <w:tc>
          <w:tcPr>
            <w:tcW w:w="0" w:type="dxa"/>
            <w:vAlign w:val="bottom"/>
          </w:tcPr>
          <w:p>
            <w:pPr>
              <w:spacing w:after="0"/>
              <w:rPr>
                <w:sz w:val="1"/>
                <w:szCs w:val="1"/>
                <w:color w:val="auto"/>
              </w:rPr>
            </w:pPr>
          </w:p>
        </w:tc>
      </w:tr>
      <w:tr>
        <w:trPr>
          <w:trHeight w:val="216"/>
        </w:trPr>
        <w:tc>
          <w:tcPr>
            <w:tcW w:w="7400" w:type="dxa"/>
            <w:vAlign w:val="bottom"/>
            <w:shd w:val="clear" w:color="auto" w:fill="CFF0FC"/>
          </w:tcPr>
          <w:p>
            <w:pPr>
              <w:spacing w:after="0"/>
              <w:rPr>
                <w:sz w:val="20"/>
                <w:szCs w:val="20"/>
                <w:color w:val="auto"/>
              </w:rPr>
            </w:pPr>
            <w:r>
              <w:rPr>
                <w:rFonts w:ascii="Arial" w:cs="Arial" w:eastAsia="Arial" w:hAnsi="Arial"/>
                <w:sz w:val="18"/>
                <w:szCs w:val="18"/>
                <w:color w:val="auto"/>
              </w:rPr>
              <w:t>Balance at December 31, 2018</w:t>
            </w:r>
          </w:p>
        </w:tc>
        <w:tc>
          <w:tcPr>
            <w:tcW w:w="22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w w:val="79"/>
              </w:rPr>
              <w:t>$</w:t>
            </w:r>
          </w:p>
        </w:tc>
        <w:tc>
          <w:tcPr>
            <w:tcW w:w="1540" w:type="dxa"/>
            <w:vAlign w:val="bottom"/>
            <w:shd w:val="clear" w:color="auto" w:fill="CFF0FC"/>
          </w:tcPr>
          <w:p>
            <w:pPr>
              <w:jc w:val="right"/>
              <w:ind w:right="38"/>
              <w:spacing w:after="0"/>
              <w:rPr>
                <w:sz w:val="20"/>
                <w:szCs w:val="20"/>
                <w:color w:val="auto"/>
              </w:rPr>
            </w:pPr>
            <w:r>
              <w:rPr>
                <w:rFonts w:ascii="Arial" w:cs="Arial" w:eastAsia="Arial" w:hAnsi="Arial"/>
                <w:sz w:val="18"/>
                <w:szCs w:val="18"/>
                <w:color w:val="auto"/>
              </w:rPr>
              <w:t>(130,594)</w:t>
            </w:r>
          </w:p>
        </w:tc>
        <w:tc>
          <w:tcPr>
            <w:tcW w:w="380" w:type="dxa"/>
            <w:vAlign w:val="bottom"/>
            <w:shd w:val="clear" w:color="auto" w:fill="CFF0FC"/>
          </w:tcPr>
          <w:p>
            <w:pPr>
              <w:jc w:val="right"/>
              <w:ind w:right="113"/>
              <w:spacing w:after="0"/>
              <w:rPr>
                <w:sz w:val="20"/>
                <w:szCs w:val="20"/>
                <w:color w:val="auto"/>
              </w:rPr>
            </w:pPr>
            <w:r>
              <w:rPr>
                <w:rFonts w:ascii="Arial" w:cs="Arial" w:eastAsia="Arial" w:hAnsi="Arial"/>
                <w:sz w:val="18"/>
                <w:szCs w:val="18"/>
                <w:color w:val="auto"/>
              </w:rPr>
              <w:t>$</w:t>
            </w:r>
          </w:p>
        </w:tc>
        <w:tc>
          <w:tcPr>
            <w:tcW w:w="90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rPr>
              <w:t>(2,302)</w:t>
            </w:r>
          </w:p>
        </w:tc>
        <w:tc>
          <w:tcPr>
            <w:tcW w:w="980" w:type="dxa"/>
            <w:vAlign w:val="bottom"/>
            <w:gridSpan w:val="3"/>
            <w:shd w:val="clear" w:color="auto" w:fill="CFF0FC"/>
          </w:tcPr>
          <w:p>
            <w:pPr>
              <w:jc w:val="right"/>
              <w:ind w:right="40"/>
              <w:spacing w:after="0"/>
              <w:rPr>
                <w:sz w:val="20"/>
                <w:szCs w:val="20"/>
                <w:color w:val="auto"/>
              </w:rPr>
            </w:pPr>
            <w:r>
              <w:rPr>
                <w:rFonts w:ascii="Arial" w:cs="Arial" w:eastAsia="Arial" w:hAnsi="Arial"/>
                <w:sz w:val="18"/>
                <w:szCs w:val="18"/>
                <w:color w:val="auto"/>
                <w:w w:val="99"/>
              </w:rPr>
              <w:t>$ (132,896)</w:t>
            </w:r>
          </w:p>
        </w:tc>
        <w:tc>
          <w:tcPr>
            <w:tcW w:w="0" w:type="dxa"/>
            <w:vAlign w:val="bottom"/>
          </w:tcPr>
          <w:p>
            <w:pPr>
              <w:spacing w:after="0"/>
              <w:rPr>
                <w:sz w:val="1"/>
                <w:szCs w:val="1"/>
                <w:color w:val="auto"/>
              </w:rPr>
            </w:pPr>
          </w:p>
        </w:tc>
      </w:tr>
      <w:tr>
        <w:trPr>
          <w:trHeight w:val="216"/>
        </w:trPr>
        <w:tc>
          <w:tcPr>
            <w:tcW w:w="7400" w:type="dxa"/>
            <w:vAlign w:val="bottom"/>
          </w:tcPr>
          <w:p>
            <w:pPr>
              <w:spacing w:after="0"/>
              <w:rPr>
                <w:sz w:val="20"/>
                <w:szCs w:val="20"/>
                <w:color w:val="auto"/>
              </w:rPr>
            </w:pPr>
            <w:r>
              <w:rPr>
                <w:rFonts w:ascii="Arial" w:cs="Arial" w:eastAsia="Arial" w:hAnsi="Arial"/>
                <w:sz w:val="18"/>
                <w:szCs w:val="18"/>
                <w:b w:val="1"/>
                <w:bCs w:val="1"/>
                <w:color w:val="auto"/>
              </w:rPr>
              <w:t>Total Equity</w:t>
            </w: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00" w:type="dxa"/>
            <w:vAlign w:val="bottom"/>
            <w:shd w:val="clear" w:color="auto" w:fill="CFF0FC"/>
          </w:tcPr>
          <w:p>
            <w:pPr>
              <w:spacing w:after="0"/>
              <w:rPr>
                <w:sz w:val="20"/>
                <w:szCs w:val="20"/>
                <w:color w:val="auto"/>
              </w:rPr>
            </w:pPr>
            <w:r>
              <w:rPr>
                <w:rFonts w:ascii="Arial" w:cs="Arial" w:eastAsia="Arial" w:hAnsi="Arial"/>
                <w:sz w:val="18"/>
                <w:szCs w:val="18"/>
                <w:color w:val="auto"/>
              </w:rPr>
              <w:t>Balance at December 31, 2017</w:t>
            </w:r>
          </w:p>
        </w:tc>
        <w:tc>
          <w:tcPr>
            <w:tcW w:w="22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w w:val="79"/>
              </w:rPr>
              <w:t>$</w:t>
            </w:r>
          </w:p>
        </w:tc>
        <w:tc>
          <w:tcPr>
            <w:tcW w:w="1540" w:type="dxa"/>
            <w:vAlign w:val="bottom"/>
            <w:shd w:val="clear" w:color="auto" w:fill="CFF0FC"/>
          </w:tcPr>
          <w:p>
            <w:pPr>
              <w:jc w:val="right"/>
              <w:ind w:right="98"/>
              <w:spacing w:after="0"/>
              <w:rPr>
                <w:sz w:val="20"/>
                <w:szCs w:val="20"/>
                <w:color w:val="auto"/>
              </w:rPr>
            </w:pPr>
            <w:r>
              <w:rPr>
                <w:rFonts w:ascii="Arial" w:cs="Arial" w:eastAsia="Arial" w:hAnsi="Arial"/>
                <w:sz w:val="18"/>
                <w:szCs w:val="18"/>
                <w:color w:val="auto"/>
              </w:rPr>
              <w:t>317,305</w:t>
            </w:r>
          </w:p>
        </w:tc>
        <w:tc>
          <w:tcPr>
            <w:tcW w:w="380" w:type="dxa"/>
            <w:vAlign w:val="bottom"/>
            <w:shd w:val="clear" w:color="auto" w:fill="CFF0FC"/>
          </w:tcPr>
          <w:p>
            <w:pPr>
              <w:jc w:val="right"/>
              <w:ind w:right="113"/>
              <w:spacing w:after="0"/>
              <w:rPr>
                <w:sz w:val="20"/>
                <w:szCs w:val="20"/>
                <w:color w:val="auto"/>
              </w:rPr>
            </w:pPr>
            <w:r>
              <w:rPr>
                <w:rFonts w:ascii="Arial" w:cs="Arial" w:eastAsia="Arial" w:hAnsi="Arial"/>
                <w:sz w:val="18"/>
                <w:szCs w:val="18"/>
                <w:color w:val="auto"/>
              </w:rPr>
              <w:t>$</w:t>
            </w:r>
          </w:p>
        </w:tc>
        <w:tc>
          <w:tcPr>
            <w:tcW w:w="90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rPr>
              <w:t>(1,392)</w:t>
            </w:r>
          </w:p>
        </w:tc>
        <w:tc>
          <w:tcPr>
            <w:tcW w:w="8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$ 315,913</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00" w:type="dxa"/>
            <w:vAlign w:val="bottom"/>
          </w:tcPr>
          <w:p>
            <w:pPr>
              <w:spacing w:after="0"/>
              <w:rPr>
                <w:sz w:val="20"/>
                <w:szCs w:val="20"/>
                <w:color w:val="auto"/>
              </w:rPr>
            </w:pPr>
            <w:r>
              <w:rPr>
                <w:rFonts w:ascii="Arial" w:cs="Arial" w:eastAsia="Arial" w:hAnsi="Arial"/>
                <w:sz w:val="18"/>
                <w:szCs w:val="18"/>
                <w:color w:val="auto"/>
              </w:rPr>
              <w:t>Net loss attributable to BlackLine, Inc.</w:t>
            </w:r>
          </w:p>
        </w:tc>
        <w:tc>
          <w:tcPr>
            <w:tcW w:w="220" w:type="dxa"/>
            <w:vAlign w:val="bottom"/>
            <w:gridSpan w:val="2"/>
          </w:tcPr>
          <w:p>
            <w:pPr>
              <w:jc w:val="right"/>
              <w:ind w:right="120"/>
              <w:spacing w:after="0"/>
              <w:rPr>
                <w:sz w:val="20"/>
                <w:szCs w:val="20"/>
                <w:color w:val="auto"/>
              </w:rPr>
            </w:pPr>
            <w:r>
              <w:rPr>
                <w:rFonts w:ascii="Arial" w:cs="Arial" w:eastAsia="Arial" w:hAnsi="Arial"/>
                <w:sz w:val="18"/>
                <w:szCs w:val="18"/>
                <w:color w:val="auto"/>
                <w:w w:val="79"/>
              </w:rPr>
              <w:t>$</w:t>
            </w:r>
          </w:p>
        </w:tc>
        <w:tc>
          <w:tcPr>
            <w:tcW w:w="1540" w:type="dxa"/>
            <w:vAlign w:val="bottom"/>
          </w:tcPr>
          <w:p>
            <w:pPr>
              <w:jc w:val="right"/>
              <w:ind w:right="38"/>
              <w:spacing w:after="0"/>
              <w:rPr>
                <w:sz w:val="20"/>
                <w:szCs w:val="20"/>
                <w:color w:val="auto"/>
              </w:rPr>
            </w:pPr>
            <w:r>
              <w:rPr>
                <w:rFonts w:ascii="Arial" w:cs="Arial" w:eastAsia="Arial" w:hAnsi="Arial"/>
                <w:sz w:val="18"/>
                <w:szCs w:val="18"/>
                <w:color w:val="auto"/>
              </w:rPr>
              <w:t>(27,804)</w:t>
            </w:r>
          </w:p>
        </w:tc>
        <w:tc>
          <w:tcPr>
            <w:tcW w:w="380" w:type="dxa"/>
            <w:vAlign w:val="bottom"/>
          </w:tcPr>
          <w:p>
            <w:pPr>
              <w:jc w:val="right"/>
              <w:ind w:right="113"/>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70"/>
              <w:spacing w:after="0"/>
              <w:rPr>
                <w:sz w:val="20"/>
                <w:szCs w:val="20"/>
                <w:color w:val="auto"/>
              </w:rPr>
            </w:pPr>
            <w:r>
              <w:rPr>
                <w:rFonts w:ascii="Arial" w:cs="Arial" w:eastAsia="Arial" w:hAnsi="Arial"/>
                <w:sz w:val="18"/>
                <w:szCs w:val="18"/>
                <w:color w:val="auto"/>
              </w:rPr>
              <w:t>(910)</w:t>
            </w:r>
          </w:p>
        </w:tc>
        <w:tc>
          <w:tcPr>
            <w:tcW w:w="220" w:type="dxa"/>
            <w:vAlign w:val="bottom"/>
          </w:tcPr>
          <w:p>
            <w:pPr>
              <w:jc w:val="right"/>
              <w:ind w:right="13"/>
              <w:spacing w:after="0"/>
              <w:rPr>
                <w:sz w:val="20"/>
                <w:szCs w:val="20"/>
                <w:color w:val="auto"/>
              </w:rPr>
            </w:pPr>
            <w:r>
              <w:rPr>
                <w:rFonts w:ascii="Arial" w:cs="Arial" w:eastAsia="Arial" w:hAnsi="Arial"/>
                <w:sz w:val="18"/>
                <w:szCs w:val="18"/>
                <w:color w:val="auto"/>
                <w:w w:val="99"/>
              </w:rPr>
              <w:t>$</w:t>
            </w: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(28,714)</w:t>
            </w:r>
          </w:p>
        </w:tc>
        <w:tc>
          <w:tcPr>
            <w:tcW w:w="0" w:type="dxa"/>
            <w:vAlign w:val="bottom"/>
          </w:tcPr>
          <w:p>
            <w:pPr>
              <w:spacing w:after="0"/>
              <w:rPr>
                <w:sz w:val="1"/>
                <w:szCs w:val="1"/>
                <w:color w:val="auto"/>
              </w:rPr>
            </w:pPr>
          </w:p>
        </w:tc>
      </w:tr>
      <w:tr>
        <w:trPr>
          <w:trHeight w:val="216"/>
        </w:trPr>
        <w:tc>
          <w:tcPr>
            <w:tcW w:w="7400" w:type="dxa"/>
            <w:vAlign w:val="bottom"/>
            <w:shd w:val="clear" w:color="auto" w:fill="CFF0FC"/>
          </w:tcPr>
          <w:p>
            <w:pPr>
              <w:spacing w:after="0"/>
              <w:rPr>
                <w:sz w:val="20"/>
                <w:szCs w:val="20"/>
                <w:color w:val="auto"/>
              </w:rPr>
            </w:pPr>
            <w:r>
              <w:rPr>
                <w:rFonts w:ascii="Arial" w:cs="Arial" w:eastAsia="Arial" w:hAnsi="Arial"/>
                <w:sz w:val="18"/>
                <w:szCs w:val="18"/>
                <w:color w:val="auto"/>
              </w:rPr>
              <w:t>Balance at December 31, 2018</w:t>
            </w:r>
          </w:p>
        </w:tc>
        <w:tc>
          <w:tcPr>
            <w:tcW w:w="22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w w:val="79"/>
              </w:rPr>
              <w:t>$</w:t>
            </w:r>
          </w:p>
        </w:tc>
        <w:tc>
          <w:tcPr>
            <w:tcW w:w="1540" w:type="dxa"/>
            <w:vAlign w:val="bottom"/>
            <w:shd w:val="clear" w:color="auto" w:fill="CFF0FC"/>
          </w:tcPr>
          <w:p>
            <w:pPr>
              <w:jc w:val="right"/>
              <w:ind w:right="98"/>
              <w:spacing w:after="0"/>
              <w:rPr>
                <w:sz w:val="20"/>
                <w:szCs w:val="20"/>
                <w:color w:val="auto"/>
              </w:rPr>
            </w:pPr>
            <w:r>
              <w:rPr>
                <w:rFonts w:ascii="Arial" w:cs="Arial" w:eastAsia="Arial" w:hAnsi="Arial"/>
                <w:sz w:val="18"/>
                <w:szCs w:val="18"/>
                <w:color w:val="auto"/>
              </w:rPr>
              <w:t>321,569</w:t>
            </w:r>
          </w:p>
        </w:tc>
        <w:tc>
          <w:tcPr>
            <w:tcW w:w="380" w:type="dxa"/>
            <w:vAlign w:val="bottom"/>
            <w:shd w:val="clear" w:color="auto" w:fill="CFF0FC"/>
          </w:tcPr>
          <w:p>
            <w:pPr>
              <w:jc w:val="right"/>
              <w:ind w:right="113"/>
              <w:spacing w:after="0"/>
              <w:rPr>
                <w:sz w:val="20"/>
                <w:szCs w:val="20"/>
                <w:color w:val="auto"/>
              </w:rPr>
            </w:pPr>
            <w:r>
              <w:rPr>
                <w:rFonts w:ascii="Arial" w:cs="Arial" w:eastAsia="Arial" w:hAnsi="Arial"/>
                <w:sz w:val="18"/>
                <w:szCs w:val="18"/>
                <w:color w:val="auto"/>
              </w:rPr>
              <w:t>$</w:t>
            </w:r>
          </w:p>
        </w:tc>
        <w:tc>
          <w:tcPr>
            <w:tcW w:w="90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rPr>
              <w:t>(2,302)</w:t>
            </w:r>
          </w:p>
        </w:tc>
        <w:tc>
          <w:tcPr>
            <w:tcW w:w="8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$ 319,267</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473"/>
        </w:trPr>
        <w:tc>
          <w:tcPr>
            <w:tcW w:w="7400" w:type="dxa"/>
            <w:vAlign w:val="bottom"/>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820" w:type="dxa"/>
            <w:vAlign w:val="bottom"/>
            <w:tcBorders>
              <w:bottom w:val="single" w:sz="8" w:color="auto"/>
            </w:tcBorders>
            <w:gridSpan w:val="3"/>
          </w:tcPr>
          <w:p>
            <w:pPr>
              <w:jc w:val="center"/>
              <w:ind w:left="538"/>
              <w:spacing w:after="0"/>
              <w:rPr>
                <w:sz w:val="20"/>
                <w:szCs w:val="20"/>
                <w:color w:val="auto"/>
              </w:rPr>
            </w:pPr>
            <w:r>
              <w:rPr>
                <w:rFonts w:ascii="Arial" w:cs="Arial" w:eastAsia="Arial" w:hAnsi="Arial"/>
                <w:sz w:val="14"/>
                <w:szCs w:val="14"/>
                <w:b w:val="1"/>
                <w:bCs w:val="1"/>
                <w:color w:val="auto"/>
              </w:rPr>
              <w:t>Year Ended December 31, 2017</w:t>
            </w:r>
          </w:p>
        </w:tc>
        <w:tc>
          <w:tcPr>
            <w:tcW w:w="22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6"/>
        </w:trPr>
        <w:tc>
          <w:tcPr>
            <w:tcW w:w="74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540" w:type="dxa"/>
            <w:vAlign w:val="bottom"/>
          </w:tcPr>
          <w:p>
            <w:pPr>
              <w:jc w:val="center"/>
              <w:ind w:right="338"/>
              <w:spacing w:after="0" w:line="156" w:lineRule="exact"/>
              <w:rPr>
                <w:sz w:val="20"/>
                <w:szCs w:val="20"/>
                <w:color w:val="auto"/>
              </w:rPr>
            </w:pPr>
            <w:r>
              <w:rPr>
                <w:rFonts w:ascii="Arial" w:cs="Arial" w:eastAsia="Arial" w:hAnsi="Arial"/>
                <w:sz w:val="14"/>
                <w:szCs w:val="14"/>
                <w:b w:val="1"/>
                <w:bCs w:val="1"/>
                <w:color w:val="auto"/>
              </w:rPr>
              <w:t>As Previously</w:t>
            </w:r>
          </w:p>
        </w:tc>
        <w:tc>
          <w:tcPr>
            <w:tcW w:w="3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5"/>
        </w:trPr>
        <w:tc>
          <w:tcPr>
            <w:tcW w:w="7400" w:type="dxa"/>
            <w:vAlign w:val="bottom"/>
            <w:vMerge w:val="restart"/>
          </w:tcPr>
          <w:p>
            <w:pPr>
              <w:spacing w:after="0"/>
              <w:rPr>
                <w:sz w:val="20"/>
                <w:szCs w:val="20"/>
                <w:color w:val="auto"/>
              </w:rPr>
            </w:pPr>
            <w:r>
              <w:rPr>
                <w:rFonts w:ascii="Arial" w:cs="Arial" w:eastAsia="Arial" w:hAnsi="Arial"/>
                <w:sz w:val="18"/>
                <w:szCs w:val="18"/>
                <w:b w:val="1"/>
                <w:bCs w:val="1"/>
                <w:color w:val="auto"/>
              </w:rPr>
              <w:t>Accumulated Deficit</w:t>
            </w:r>
          </w:p>
        </w:tc>
        <w:tc>
          <w:tcPr>
            <w:tcW w:w="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540" w:type="dxa"/>
            <w:vAlign w:val="bottom"/>
          </w:tcPr>
          <w:p>
            <w:pPr>
              <w:jc w:val="center"/>
              <w:ind w:right="338"/>
              <w:spacing w:after="0"/>
              <w:rPr>
                <w:sz w:val="20"/>
                <w:szCs w:val="20"/>
                <w:color w:val="auto"/>
              </w:rPr>
            </w:pPr>
            <w:r>
              <w:rPr>
                <w:rFonts w:ascii="Arial" w:cs="Arial" w:eastAsia="Arial" w:hAnsi="Arial"/>
                <w:sz w:val="14"/>
                <w:szCs w:val="14"/>
                <w:b w:val="1"/>
                <w:bCs w:val="1"/>
                <w:color w:val="auto"/>
              </w:rPr>
              <w:t>Reported</w:t>
            </w:r>
          </w:p>
        </w:tc>
        <w:tc>
          <w:tcPr>
            <w:tcW w:w="1280" w:type="dxa"/>
            <w:vAlign w:val="bottom"/>
            <w:gridSpan w:val="2"/>
          </w:tcPr>
          <w:p>
            <w:pPr>
              <w:jc w:val="right"/>
              <w:ind w:right="190"/>
              <w:spacing w:after="0"/>
              <w:rPr>
                <w:sz w:val="20"/>
                <w:szCs w:val="20"/>
                <w:color w:val="auto"/>
              </w:rPr>
            </w:pPr>
            <w:r>
              <w:rPr>
                <w:rFonts w:ascii="Arial" w:cs="Arial" w:eastAsia="Arial" w:hAnsi="Arial"/>
                <w:sz w:val="14"/>
                <w:szCs w:val="14"/>
                <w:b w:val="1"/>
                <w:bCs w:val="1"/>
                <w:color w:val="auto"/>
              </w:rPr>
              <w:t>Adjustments</w:t>
            </w:r>
          </w:p>
        </w:tc>
        <w:tc>
          <w:tcPr>
            <w:tcW w:w="980" w:type="dxa"/>
            <w:vAlign w:val="bottom"/>
            <w:gridSpan w:val="3"/>
          </w:tcPr>
          <w:p>
            <w:pPr>
              <w:ind w:left="60"/>
              <w:spacing w:after="0"/>
              <w:rPr>
                <w:sz w:val="20"/>
                <w:szCs w:val="20"/>
                <w:color w:val="auto"/>
              </w:rPr>
            </w:pPr>
            <w:r>
              <w:rPr>
                <w:rFonts w:ascii="Arial" w:cs="Arial" w:eastAsia="Arial" w:hAnsi="Arial"/>
                <w:sz w:val="14"/>
                <w:szCs w:val="14"/>
                <w:b w:val="1"/>
                <w:bCs w:val="1"/>
                <w:color w:val="auto"/>
              </w:rPr>
              <w:t>As Revised</w:t>
            </w:r>
          </w:p>
        </w:tc>
        <w:tc>
          <w:tcPr>
            <w:tcW w:w="0" w:type="dxa"/>
            <w:vAlign w:val="bottom"/>
          </w:tcPr>
          <w:p>
            <w:pPr>
              <w:spacing w:after="0"/>
              <w:rPr>
                <w:sz w:val="1"/>
                <w:szCs w:val="1"/>
                <w:color w:val="auto"/>
              </w:rPr>
            </w:pPr>
          </w:p>
        </w:tc>
      </w:tr>
      <w:tr>
        <w:trPr>
          <w:trHeight w:val="210"/>
        </w:trPr>
        <w:tc>
          <w:tcPr>
            <w:tcW w:w="7400" w:type="dxa"/>
            <w:vAlign w:val="bottom"/>
            <w:vMerge w:val="continue"/>
          </w:tcPr>
          <w:p>
            <w:pPr>
              <w:spacing w:after="0"/>
              <w:rPr>
                <w:sz w:val="18"/>
                <w:szCs w:val="18"/>
                <w:color w:val="auto"/>
              </w:rPr>
            </w:pPr>
          </w:p>
        </w:tc>
        <w:tc>
          <w:tcPr>
            <w:tcW w:w="40" w:type="dxa"/>
            <w:vAlign w:val="bottom"/>
            <w:tcBorders>
              <w:top w:val="single" w:sz="8" w:color="auto"/>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2820" w:type="dxa"/>
            <w:vAlign w:val="bottom"/>
            <w:tcBorders>
              <w:top w:val="single" w:sz="8" w:color="auto"/>
            </w:tcBorders>
            <w:gridSpan w:val="3"/>
          </w:tcPr>
          <w:p>
            <w:pPr>
              <w:jc w:val="center"/>
              <w:ind w:left="558"/>
              <w:spacing w:after="0"/>
              <w:rPr>
                <w:sz w:val="20"/>
                <w:szCs w:val="20"/>
                <w:color w:val="auto"/>
              </w:rPr>
            </w:pPr>
            <w:r>
              <w:rPr>
                <w:rFonts w:ascii="Arial" w:cs="Arial" w:eastAsia="Arial" w:hAnsi="Arial"/>
                <w:sz w:val="14"/>
                <w:szCs w:val="14"/>
                <w:b w:val="1"/>
                <w:bCs w:val="1"/>
                <w:color w:val="auto"/>
              </w:rPr>
              <w:t>(in thousands)</w:t>
            </w:r>
          </w:p>
        </w:tc>
        <w:tc>
          <w:tcPr>
            <w:tcW w:w="220" w:type="dxa"/>
            <w:vAlign w:val="bottom"/>
            <w:tcBorders>
              <w:top w:val="single" w:sz="8" w:color="auto"/>
            </w:tcBorders>
          </w:tcPr>
          <w:p>
            <w:pPr>
              <w:spacing w:after="0"/>
              <w:rPr>
                <w:sz w:val="18"/>
                <w:szCs w:val="18"/>
                <w:color w:val="auto"/>
              </w:rPr>
            </w:pPr>
          </w:p>
        </w:tc>
        <w:tc>
          <w:tcPr>
            <w:tcW w:w="6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00" w:type="dxa"/>
            <w:vAlign w:val="bottom"/>
            <w:shd w:val="clear" w:color="auto" w:fill="CFF0FC"/>
          </w:tcPr>
          <w:p>
            <w:pPr>
              <w:spacing w:after="0"/>
              <w:rPr>
                <w:sz w:val="20"/>
                <w:szCs w:val="20"/>
                <w:color w:val="auto"/>
              </w:rPr>
            </w:pPr>
            <w:r>
              <w:rPr>
                <w:rFonts w:ascii="Arial" w:cs="Arial" w:eastAsia="Arial" w:hAnsi="Arial"/>
                <w:sz w:val="18"/>
                <w:szCs w:val="18"/>
                <w:color w:val="auto"/>
              </w:rPr>
              <w:t>Balance at December 31, 2016</w:t>
            </w:r>
          </w:p>
        </w:tc>
        <w:tc>
          <w:tcPr>
            <w:tcW w:w="22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w w:val="79"/>
              </w:rPr>
              <w:t>$</w:t>
            </w:r>
          </w:p>
        </w:tc>
        <w:tc>
          <w:tcPr>
            <w:tcW w:w="1540" w:type="dxa"/>
            <w:vAlign w:val="bottom"/>
            <w:shd w:val="clear" w:color="auto" w:fill="CFF0FC"/>
          </w:tcPr>
          <w:p>
            <w:pPr>
              <w:jc w:val="right"/>
              <w:ind w:right="38"/>
              <w:spacing w:after="0"/>
              <w:rPr>
                <w:sz w:val="20"/>
                <w:szCs w:val="20"/>
                <w:color w:val="auto"/>
              </w:rPr>
            </w:pPr>
            <w:r>
              <w:rPr>
                <w:rFonts w:ascii="Arial" w:cs="Arial" w:eastAsia="Arial" w:hAnsi="Arial"/>
                <w:sz w:val="18"/>
                <w:szCs w:val="18"/>
                <w:color w:val="auto"/>
              </w:rPr>
              <w:t>(69,667)</w:t>
            </w:r>
          </w:p>
        </w:tc>
        <w:tc>
          <w:tcPr>
            <w:tcW w:w="380" w:type="dxa"/>
            <w:vAlign w:val="bottom"/>
            <w:shd w:val="clear" w:color="auto" w:fill="CFF0FC"/>
          </w:tcPr>
          <w:p>
            <w:pPr>
              <w:jc w:val="right"/>
              <w:ind w:right="113"/>
              <w:spacing w:after="0"/>
              <w:rPr>
                <w:sz w:val="20"/>
                <w:szCs w:val="20"/>
                <w:color w:val="auto"/>
              </w:rPr>
            </w:pPr>
            <w:r>
              <w:rPr>
                <w:rFonts w:ascii="Arial" w:cs="Arial" w:eastAsia="Arial" w:hAnsi="Arial"/>
                <w:sz w:val="18"/>
                <w:szCs w:val="18"/>
                <w:color w:val="auto"/>
              </w:rPr>
              <w:t>$</w:t>
            </w:r>
          </w:p>
        </w:tc>
        <w:tc>
          <w:tcPr>
            <w:tcW w:w="90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rPr>
              <w:t>(1,035)</w:t>
            </w:r>
          </w:p>
        </w:tc>
        <w:tc>
          <w:tcPr>
            <w:tcW w:w="220" w:type="dxa"/>
            <w:vAlign w:val="bottom"/>
            <w:shd w:val="clear" w:color="auto" w:fill="CFF0FC"/>
          </w:tcPr>
          <w:p>
            <w:pPr>
              <w:jc w:val="right"/>
              <w:ind w:right="13"/>
              <w:spacing w:after="0"/>
              <w:rPr>
                <w:sz w:val="20"/>
                <w:szCs w:val="20"/>
                <w:color w:val="auto"/>
              </w:rPr>
            </w:pPr>
            <w:r>
              <w:rPr>
                <w:rFonts w:ascii="Arial" w:cs="Arial" w:eastAsia="Arial" w:hAnsi="Arial"/>
                <w:sz w:val="18"/>
                <w:szCs w:val="18"/>
                <w:color w:val="auto"/>
                <w:w w:val="99"/>
              </w:rPr>
              <w:t>$</w:t>
            </w:r>
          </w:p>
        </w:tc>
        <w:tc>
          <w:tcPr>
            <w:tcW w:w="7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(70,702)</w:t>
            </w:r>
          </w:p>
        </w:tc>
        <w:tc>
          <w:tcPr>
            <w:tcW w:w="0" w:type="dxa"/>
            <w:vAlign w:val="bottom"/>
          </w:tcPr>
          <w:p>
            <w:pPr>
              <w:spacing w:after="0"/>
              <w:rPr>
                <w:sz w:val="1"/>
                <w:szCs w:val="1"/>
                <w:color w:val="auto"/>
              </w:rPr>
            </w:pPr>
          </w:p>
        </w:tc>
      </w:tr>
      <w:tr>
        <w:trPr>
          <w:trHeight w:val="216"/>
        </w:trPr>
        <w:tc>
          <w:tcPr>
            <w:tcW w:w="7400" w:type="dxa"/>
            <w:vAlign w:val="bottom"/>
          </w:tcPr>
          <w:p>
            <w:pPr>
              <w:spacing w:after="0"/>
              <w:rPr>
                <w:sz w:val="20"/>
                <w:szCs w:val="20"/>
                <w:color w:val="auto"/>
              </w:rPr>
            </w:pPr>
            <w:r>
              <w:rPr>
                <w:rFonts w:ascii="Arial" w:cs="Arial" w:eastAsia="Arial" w:hAnsi="Arial"/>
                <w:sz w:val="18"/>
                <w:szCs w:val="18"/>
                <w:color w:val="auto"/>
              </w:rPr>
              <w:t>Balance at January 1, 2017</w:t>
            </w:r>
          </w:p>
        </w:tc>
        <w:tc>
          <w:tcPr>
            <w:tcW w:w="220" w:type="dxa"/>
            <w:vAlign w:val="bottom"/>
            <w:gridSpan w:val="2"/>
          </w:tcPr>
          <w:p>
            <w:pPr>
              <w:jc w:val="right"/>
              <w:ind w:right="120"/>
              <w:spacing w:after="0"/>
              <w:rPr>
                <w:sz w:val="20"/>
                <w:szCs w:val="20"/>
                <w:color w:val="auto"/>
              </w:rPr>
            </w:pPr>
            <w:r>
              <w:rPr>
                <w:rFonts w:ascii="Arial" w:cs="Arial" w:eastAsia="Arial" w:hAnsi="Arial"/>
                <w:sz w:val="18"/>
                <w:szCs w:val="18"/>
                <w:color w:val="auto"/>
                <w:w w:val="79"/>
              </w:rPr>
              <w:t>$</w:t>
            </w:r>
          </w:p>
        </w:tc>
        <w:tc>
          <w:tcPr>
            <w:tcW w:w="1540" w:type="dxa"/>
            <w:vAlign w:val="bottom"/>
          </w:tcPr>
          <w:p>
            <w:pPr>
              <w:jc w:val="right"/>
              <w:ind w:right="38"/>
              <w:spacing w:after="0"/>
              <w:rPr>
                <w:sz w:val="20"/>
                <w:szCs w:val="20"/>
                <w:color w:val="auto"/>
              </w:rPr>
            </w:pPr>
            <w:r>
              <w:rPr>
                <w:rFonts w:ascii="Arial" w:cs="Arial" w:eastAsia="Arial" w:hAnsi="Arial"/>
                <w:sz w:val="18"/>
                <w:szCs w:val="18"/>
                <w:color w:val="auto"/>
              </w:rPr>
              <w:t>(69,739)</w:t>
            </w:r>
          </w:p>
        </w:tc>
        <w:tc>
          <w:tcPr>
            <w:tcW w:w="380" w:type="dxa"/>
            <w:vAlign w:val="bottom"/>
          </w:tcPr>
          <w:p>
            <w:pPr>
              <w:jc w:val="right"/>
              <w:ind w:right="113"/>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70"/>
              <w:spacing w:after="0"/>
              <w:rPr>
                <w:sz w:val="20"/>
                <w:szCs w:val="20"/>
                <w:color w:val="auto"/>
              </w:rPr>
            </w:pPr>
            <w:r>
              <w:rPr>
                <w:rFonts w:ascii="Arial" w:cs="Arial" w:eastAsia="Arial" w:hAnsi="Arial"/>
                <w:sz w:val="18"/>
                <w:szCs w:val="18"/>
                <w:color w:val="auto"/>
              </w:rPr>
              <w:t>(1,035)</w:t>
            </w:r>
          </w:p>
        </w:tc>
        <w:tc>
          <w:tcPr>
            <w:tcW w:w="220" w:type="dxa"/>
            <w:vAlign w:val="bottom"/>
          </w:tcPr>
          <w:p>
            <w:pPr>
              <w:jc w:val="right"/>
              <w:ind w:right="13"/>
              <w:spacing w:after="0"/>
              <w:rPr>
                <w:sz w:val="20"/>
                <w:szCs w:val="20"/>
                <w:color w:val="auto"/>
              </w:rPr>
            </w:pPr>
            <w:r>
              <w:rPr>
                <w:rFonts w:ascii="Arial" w:cs="Arial" w:eastAsia="Arial" w:hAnsi="Arial"/>
                <w:sz w:val="18"/>
                <w:szCs w:val="18"/>
                <w:color w:val="auto"/>
                <w:w w:val="99"/>
              </w:rPr>
              <w:t>$</w:t>
            </w: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(70,774)</w:t>
            </w:r>
          </w:p>
        </w:tc>
        <w:tc>
          <w:tcPr>
            <w:tcW w:w="0" w:type="dxa"/>
            <w:vAlign w:val="bottom"/>
          </w:tcPr>
          <w:p>
            <w:pPr>
              <w:spacing w:after="0"/>
              <w:rPr>
                <w:sz w:val="1"/>
                <w:szCs w:val="1"/>
                <w:color w:val="auto"/>
              </w:rPr>
            </w:pPr>
          </w:p>
        </w:tc>
      </w:tr>
      <w:tr>
        <w:trPr>
          <w:trHeight w:val="216"/>
        </w:trPr>
        <w:tc>
          <w:tcPr>
            <w:tcW w:w="7400" w:type="dxa"/>
            <w:vAlign w:val="bottom"/>
            <w:shd w:val="clear" w:color="auto" w:fill="CFF0FC"/>
          </w:tcPr>
          <w:p>
            <w:pPr>
              <w:spacing w:after="0"/>
              <w:rPr>
                <w:sz w:val="20"/>
                <w:szCs w:val="20"/>
                <w:color w:val="auto"/>
              </w:rPr>
            </w:pPr>
            <w:r>
              <w:rPr>
                <w:rFonts w:ascii="Arial" w:cs="Arial" w:eastAsia="Arial" w:hAnsi="Arial"/>
                <w:sz w:val="18"/>
                <w:szCs w:val="18"/>
                <w:color w:val="auto"/>
              </w:rPr>
              <w:t>Net loss attributable to BlackLine, Inc.</w:t>
            </w:r>
          </w:p>
        </w:tc>
        <w:tc>
          <w:tcPr>
            <w:tcW w:w="22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w w:val="79"/>
              </w:rPr>
              <w:t>$</w:t>
            </w:r>
          </w:p>
        </w:tc>
        <w:tc>
          <w:tcPr>
            <w:tcW w:w="1540" w:type="dxa"/>
            <w:vAlign w:val="bottom"/>
            <w:shd w:val="clear" w:color="auto" w:fill="CFF0FC"/>
          </w:tcPr>
          <w:p>
            <w:pPr>
              <w:jc w:val="right"/>
              <w:ind w:right="38"/>
              <w:spacing w:after="0"/>
              <w:rPr>
                <w:sz w:val="20"/>
                <w:szCs w:val="20"/>
                <w:color w:val="auto"/>
              </w:rPr>
            </w:pPr>
            <w:r>
              <w:rPr>
                <w:rFonts w:ascii="Arial" w:cs="Arial" w:eastAsia="Arial" w:hAnsi="Arial"/>
                <w:sz w:val="18"/>
                <w:szCs w:val="18"/>
                <w:color w:val="auto"/>
              </w:rPr>
              <w:t>(33,051)</w:t>
            </w:r>
          </w:p>
        </w:tc>
        <w:tc>
          <w:tcPr>
            <w:tcW w:w="380" w:type="dxa"/>
            <w:vAlign w:val="bottom"/>
            <w:shd w:val="clear" w:color="auto" w:fill="CFF0FC"/>
          </w:tcPr>
          <w:p>
            <w:pPr>
              <w:jc w:val="right"/>
              <w:ind w:right="113"/>
              <w:spacing w:after="0"/>
              <w:rPr>
                <w:sz w:val="20"/>
                <w:szCs w:val="20"/>
                <w:color w:val="auto"/>
              </w:rPr>
            </w:pPr>
            <w:r>
              <w:rPr>
                <w:rFonts w:ascii="Arial" w:cs="Arial" w:eastAsia="Arial" w:hAnsi="Arial"/>
                <w:sz w:val="18"/>
                <w:szCs w:val="18"/>
                <w:color w:val="auto"/>
              </w:rPr>
              <w:t>$</w:t>
            </w:r>
          </w:p>
        </w:tc>
        <w:tc>
          <w:tcPr>
            <w:tcW w:w="90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rPr>
              <w:t>(357)</w:t>
            </w:r>
          </w:p>
        </w:tc>
        <w:tc>
          <w:tcPr>
            <w:tcW w:w="220" w:type="dxa"/>
            <w:vAlign w:val="bottom"/>
            <w:shd w:val="clear" w:color="auto" w:fill="CFF0FC"/>
          </w:tcPr>
          <w:p>
            <w:pPr>
              <w:jc w:val="right"/>
              <w:ind w:right="13"/>
              <w:spacing w:after="0"/>
              <w:rPr>
                <w:sz w:val="20"/>
                <w:szCs w:val="20"/>
                <w:color w:val="auto"/>
              </w:rPr>
            </w:pPr>
            <w:r>
              <w:rPr>
                <w:rFonts w:ascii="Arial" w:cs="Arial" w:eastAsia="Arial" w:hAnsi="Arial"/>
                <w:sz w:val="18"/>
                <w:szCs w:val="18"/>
                <w:color w:val="auto"/>
                <w:w w:val="99"/>
              </w:rPr>
              <w:t>$</w:t>
            </w:r>
          </w:p>
        </w:tc>
        <w:tc>
          <w:tcPr>
            <w:tcW w:w="7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(33,408)</w:t>
            </w:r>
          </w:p>
        </w:tc>
        <w:tc>
          <w:tcPr>
            <w:tcW w:w="0" w:type="dxa"/>
            <w:vAlign w:val="bottom"/>
          </w:tcPr>
          <w:p>
            <w:pPr>
              <w:spacing w:after="0"/>
              <w:rPr>
                <w:sz w:val="1"/>
                <w:szCs w:val="1"/>
                <w:color w:val="auto"/>
              </w:rPr>
            </w:pPr>
          </w:p>
        </w:tc>
      </w:tr>
      <w:tr>
        <w:trPr>
          <w:trHeight w:val="216"/>
        </w:trPr>
        <w:tc>
          <w:tcPr>
            <w:tcW w:w="7400" w:type="dxa"/>
            <w:vAlign w:val="bottom"/>
          </w:tcPr>
          <w:p>
            <w:pPr>
              <w:spacing w:after="0"/>
              <w:rPr>
                <w:sz w:val="20"/>
                <w:szCs w:val="20"/>
                <w:color w:val="auto"/>
              </w:rPr>
            </w:pPr>
            <w:r>
              <w:rPr>
                <w:rFonts w:ascii="Arial" w:cs="Arial" w:eastAsia="Arial" w:hAnsi="Arial"/>
                <w:sz w:val="18"/>
                <w:szCs w:val="18"/>
                <w:color w:val="auto"/>
              </w:rPr>
              <w:t>Balance at December 31, 2017</w:t>
            </w:r>
          </w:p>
        </w:tc>
        <w:tc>
          <w:tcPr>
            <w:tcW w:w="220" w:type="dxa"/>
            <w:vAlign w:val="bottom"/>
            <w:gridSpan w:val="2"/>
          </w:tcPr>
          <w:p>
            <w:pPr>
              <w:jc w:val="right"/>
              <w:ind w:right="120"/>
              <w:spacing w:after="0"/>
              <w:rPr>
                <w:sz w:val="20"/>
                <w:szCs w:val="20"/>
                <w:color w:val="auto"/>
              </w:rPr>
            </w:pPr>
            <w:r>
              <w:rPr>
                <w:rFonts w:ascii="Arial" w:cs="Arial" w:eastAsia="Arial" w:hAnsi="Arial"/>
                <w:sz w:val="18"/>
                <w:szCs w:val="18"/>
                <w:color w:val="auto"/>
                <w:w w:val="79"/>
              </w:rPr>
              <w:t>$</w:t>
            </w:r>
          </w:p>
        </w:tc>
        <w:tc>
          <w:tcPr>
            <w:tcW w:w="1540" w:type="dxa"/>
            <w:vAlign w:val="bottom"/>
          </w:tcPr>
          <w:p>
            <w:pPr>
              <w:jc w:val="right"/>
              <w:ind w:right="38"/>
              <w:spacing w:after="0"/>
              <w:rPr>
                <w:sz w:val="20"/>
                <w:szCs w:val="20"/>
                <w:color w:val="auto"/>
              </w:rPr>
            </w:pPr>
            <w:r>
              <w:rPr>
                <w:rFonts w:ascii="Arial" w:cs="Arial" w:eastAsia="Arial" w:hAnsi="Arial"/>
                <w:sz w:val="18"/>
                <w:szCs w:val="18"/>
                <w:color w:val="auto"/>
              </w:rPr>
              <w:t>(102,790)</w:t>
            </w:r>
          </w:p>
        </w:tc>
        <w:tc>
          <w:tcPr>
            <w:tcW w:w="380" w:type="dxa"/>
            <w:vAlign w:val="bottom"/>
          </w:tcPr>
          <w:p>
            <w:pPr>
              <w:jc w:val="right"/>
              <w:ind w:right="113"/>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70"/>
              <w:spacing w:after="0"/>
              <w:rPr>
                <w:sz w:val="20"/>
                <w:szCs w:val="20"/>
                <w:color w:val="auto"/>
              </w:rPr>
            </w:pPr>
            <w:r>
              <w:rPr>
                <w:rFonts w:ascii="Arial" w:cs="Arial" w:eastAsia="Arial" w:hAnsi="Arial"/>
                <w:sz w:val="18"/>
                <w:szCs w:val="18"/>
                <w:color w:val="auto"/>
              </w:rPr>
              <w:t>(1,392)</w:t>
            </w:r>
          </w:p>
        </w:tc>
        <w:tc>
          <w:tcPr>
            <w:tcW w:w="980" w:type="dxa"/>
            <w:vAlign w:val="bottom"/>
            <w:gridSpan w:val="3"/>
          </w:tcPr>
          <w:p>
            <w:pPr>
              <w:jc w:val="right"/>
              <w:ind w:right="40"/>
              <w:spacing w:after="0"/>
              <w:rPr>
                <w:sz w:val="20"/>
                <w:szCs w:val="20"/>
                <w:color w:val="auto"/>
              </w:rPr>
            </w:pPr>
            <w:r>
              <w:rPr>
                <w:rFonts w:ascii="Arial" w:cs="Arial" w:eastAsia="Arial" w:hAnsi="Arial"/>
                <w:sz w:val="18"/>
                <w:szCs w:val="18"/>
                <w:color w:val="auto"/>
                <w:w w:val="99"/>
              </w:rPr>
              <w:t>$ (104,182)</w:t>
            </w:r>
          </w:p>
        </w:tc>
        <w:tc>
          <w:tcPr>
            <w:tcW w:w="0" w:type="dxa"/>
            <w:vAlign w:val="bottom"/>
          </w:tcPr>
          <w:p>
            <w:pPr>
              <w:spacing w:after="0"/>
              <w:rPr>
                <w:sz w:val="1"/>
                <w:szCs w:val="1"/>
                <w:color w:val="auto"/>
              </w:rPr>
            </w:pPr>
          </w:p>
        </w:tc>
      </w:tr>
      <w:tr>
        <w:trPr>
          <w:trHeight w:val="216"/>
        </w:trPr>
        <w:tc>
          <w:tcPr>
            <w:tcW w:w="740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Total Equity</w:t>
            </w:r>
          </w:p>
        </w:tc>
        <w:tc>
          <w:tcPr>
            <w:tcW w:w="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54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6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00" w:type="dxa"/>
            <w:vAlign w:val="bottom"/>
          </w:tcPr>
          <w:p>
            <w:pPr>
              <w:spacing w:after="0"/>
              <w:rPr>
                <w:sz w:val="20"/>
                <w:szCs w:val="20"/>
                <w:color w:val="auto"/>
              </w:rPr>
            </w:pPr>
            <w:r>
              <w:rPr>
                <w:rFonts w:ascii="Arial" w:cs="Arial" w:eastAsia="Arial" w:hAnsi="Arial"/>
                <w:sz w:val="18"/>
                <w:szCs w:val="18"/>
                <w:color w:val="auto"/>
              </w:rPr>
              <w:t>Balance at December 31, 2016</w:t>
            </w:r>
          </w:p>
        </w:tc>
        <w:tc>
          <w:tcPr>
            <w:tcW w:w="220" w:type="dxa"/>
            <w:vAlign w:val="bottom"/>
            <w:gridSpan w:val="2"/>
          </w:tcPr>
          <w:p>
            <w:pPr>
              <w:jc w:val="right"/>
              <w:ind w:right="120"/>
              <w:spacing w:after="0"/>
              <w:rPr>
                <w:sz w:val="20"/>
                <w:szCs w:val="20"/>
                <w:color w:val="auto"/>
              </w:rPr>
            </w:pPr>
            <w:r>
              <w:rPr>
                <w:rFonts w:ascii="Arial" w:cs="Arial" w:eastAsia="Arial" w:hAnsi="Arial"/>
                <w:sz w:val="18"/>
                <w:szCs w:val="18"/>
                <w:color w:val="auto"/>
                <w:w w:val="79"/>
              </w:rPr>
              <w:t>$</w:t>
            </w:r>
          </w:p>
        </w:tc>
        <w:tc>
          <w:tcPr>
            <w:tcW w:w="1540" w:type="dxa"/>
            <w:vAlign w:val="bottom"/>
          </w:tcPr>
          <w:p>
            <w:pPr>
              <w:jc w:val="right"/>
              <w:ind w:right="98"/>
              <w:spacing w:after="0"/>
              <w:rPr>
                <w:sz w:val="20"/>
                <w:szCs w:val="20"/>
                <w:color w:val="auto"/>
              </w:rPr>
            </w:pPr>
            <w:r>
              <w:rPr>
                <w:rFonts w:ascii="Arial" w:cs="Arial" w:eastAsia="Arial" w:hAnsi="Arial"/>
                <w:sz w:val="18"/>
                <w:szCs w:val="18"/>
                <w:color w:val="auto"/>
              </w:rPr>
              <w:t>309,077</w:t>
            </w:r>
          </w:p>
        </w:tc>
        <w:tc>
          <w:tcPr>
            <w:tcW w:w="380" w:type="dxa"/>
            <w:vAlign w:val="bottom"/>
          </w:tcPr>
          <w:p>
            <w:pPr>
              <w:jc w:val="right"/>
              <w:ind w:right="113"/>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70"/>
              <w:spacing w:after="0"/>
              <w:rPr>
                <w:sz w:val="20"/>
                <w:szCs w:val="20"/>
                <w:color w:val="auto"/>
              </w:rPr>
            </w:pPr>
            <w:r>
              <w:rPr>
                <w:rFonts w:ascii="Arial" w:cs="Arial" w:eastAsia="Arial" w:hAnsi="Arial"/>
                <w:sz w:val="18"/>
                <w:szCs w:val="18"/>
                <w:color w:val="auto"/>
              </w:rPr>
              <w:t>(1,035)</w:t>
            </w: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$ 308,042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00" w:type="dxa"/>
            <w:vAlign w:val="bottom"/>
            <w:shd w:val="clear" w:color="auto" w:fill="CFF0FC"/>
          </w:tcPr>
          <w:p>
            <w:pPr>
              <w:spacing w:after="0"/>
              <w:rPr>
                <w:sz w:val="20"/>
                <w:szCs w:val="20"/>
                <w:color w:val="auto"/>
              </w:rPr>
            </w:pPr>
            <w:r>
              <w:rPr>
                <w:rFonts w:ascii="Arial" w:cs="Arial" w:eastAsia="Arial" w:hAnsi="Arial"/>
                <w:sz w:val="18"/>
                <w:szCs w:val="18"/>
                <w:color w:val="auto"/>
              </w:rPr>
              <w:t>Balance at January 1, 2017</w:t>
            </w:r>
          </w:p>
        </w:tc>
        <w:tc>
          <w:tcPr>
            <w:tcW w:w="22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w w:val="79"/>
              </w:rPr>
              <w:t>$</w:t>
            </w:r>
          </w:p>
        </w:tc>
        <w:tc>
          <w:tcPr>
            <w:tcW w:w="1540" w:type="dxa"/>
            <w:vAlign w:val="bottom"/>
            <w:shd w:val="clear" w:color="auto" w:fill="CFF0FC"/>
          </w:tcPr>
          <w:p>
            <w:pPr>
              <w:jc w:val="right"/>
              <w:ind w:right="98"/>
              <w:spacing w:after="0"/>
              <w:rPr>
                <w:sz w:val="20"/>
                <w:szCs w:val="20"/>
                <w:color w:val="auto"/>
              </w:rPr>
            </w:pPr>
            <w:r>
              <w:rPr>
                <w:rFonts w:ascii="Arial" w:cs="Arial" w:eastAsia="Arial" w:hAnsi="Arial"/>
                <w:sz w:val="18"/>
                <w:szCs w:val="18"/>
                <w:color w:val="auto"/>
              </w:rPr>
              <w:t>309,077</w:t>
            </w:r>
          </w:p>
        </w:tc>
        <w:tc>
          <w:tcPr>
            <w:tcW w:w="380" w:type="dxa"/>
            <w:vAlign w:val="bottom"/>
            <w:shd w:val="clear" w:color="auto" w:fill="CFF0FC"/>
          </w:tcPr>
          <w:p>
            <w:pPr>
              <w:jc w:val="right"/>
              <w:ind w:right="113"/>
              <w:spacing w:after="0"/>
              <w:rPr>
                <w:sz w:val="20"/>
                <w:szCs w:val="20"/>
                <w:color w:val="auto"/>
              </w:rPr>
            </w:pPr>
            <w:r>
              <w:rPr>
                <w:rFonts w:ascii="Arial" w:cs="Arial" w:eastAsia="Arial" w:hAnsi="Arial"/>
                <w:sz w:val="18"/>
                <w:szCs w:val="18"/>
                <w:color w:val="auto"/>
              </w:rPr>
              <w:t>$</w:t>
            </w:r>
          </w:p>
        </w:tc>
        <w:tc>
          <w:tcPr>
            <w:tcW w:w="90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rPr>
              <w:t>(1,035)</w:t>
            </w:r>
          </w:p>
        </w:tc>
        <w:tc>
          <w:tcPr>
            <w:tcW w:w="8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$ 308,042</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00" w:type="dxa"/>
            <w:vAlign w:val="bottom"/>
          </w:tcPr>
          <w:p>
            <w:pPr>
              <w:spacing w:after="0"/>
              <w:rPr>
                <w:sz w:val="20"/>
                <w:szCs w:val="20"/>
                <w:color w:val="auto"/>
              </w:rPr>
            </w:pPr>
            <w:r>
              <w:rPr>
                <w:rFonts w:ascii="Arial" w:cs="Arial" w:eastAsia="Arial" w:hAnsi="Arial"/>
                <w:sz w:val="18"/>
                <w:szCs w:val="18"/>
                <w:color w:val="auto"/>
              </w:rPr>
              <w:t>Net loss attributable to BlackLine, Inc.</w:t>
            </w:r>
          </w:p>
        </w:tc>
        <w:tc>
          <w:tcPr>
            <w:tcW w:w="220" w:type="dxa"/>
            <w:vAlign w:val="bottom"/>
            <w:gridSpan w:val="2"/>
          </w:tcPr>
          <w:p>
            <w:pPr>
              <w:jc w:val="right"/>
              <w:ind w:right="120"/>
              <w:spacing w:after="0"/>
              <w:rPr>
                <w:sz w:val="20"/>
                <w:szCs w:val="20"/>
                <w:color w:val="auto"/>
              </w:rPr>
            </w:pPr>
            <w:r>
              <w:rPr>
                <w:rFonts w:ascii="Arial" w:cs="Arial" w:eastAsia="Arial" w:hAnsi="Arial"/>
                <w:sz w:val="18"/>
                <w:szCs w:val="18"/>
                <w:color w:val="auto"/>
                <w:w w:val="79"/>
              </w:rPr>
              <w:t>$</w:t>
            </w:r>
          </w:p>
        </w:tc>
        <w:tc>
          <w:tcPr>
            <w:tcW w:w="1540" w:type="dxa"/>
            <w:vAlign w:val="bottom"/>
          </w:tcPr>
          <w:p>
            <w:pPr>
              <w:jc w:val="right"/>
              <w:ind w:right="38"/>
              <w:spacing w:after="0"/>
              <w:rPr>
                <w:sz w:val="20"/>
                <w:szCs w:val="20"/>
                <w:color w:val="auto"/>
              </w:rPr>
            </w:pPr>
            <w:r>
              <w:rPr>
                <w:rFonts w:ascii="Arial" w:cs="Arial" w:eastAsia="Arial" w:hAnsi="Arial"/>
                <w:sz w:val="18"/>
                <w:szCs w:val="18"/>
                <w:color w:val="auto"/>
              </w:rPr>
              <w:t>(33,051)</w:t>
            </w:r>
          </w:p>
        </w:tc>
        <w:tc>
          <w:tcPr>
            <w:tcW w:w="380" w:type="dxa"/>
            <w:vAlign w:val="bottom"/>
          </w:tcPr>
          <w:p>
            <w:pPr>
              <w:jc w:val="right"/>
              <w:ind w:right="113"/>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70"/>
              <w:spacing w:after="0"/>
              <w:rPr>
                <w:sz w:val="20"/>
                <w:szCs w:val="20"/>
                <w:color w:val="auto"/>
              </w:rPr>
            </w:pPr>
            <w:r>
              <w:rPr>
                <w:rFonts w:ascii="Arial" w:cs="Arial" w:eastAsia="Arial" w:hAnsi="Arial"/>
                <w:sz w:val="18"/>
                <w:szCs w:val="18"/>
                <w:color w:val="auto"/>
              </w:rPr>
              <w:t>(357)</w:t>
            </w:r>
          </w:p>
        </w:tc>
        <w:tc>
          <w:tcPr>
            <w:tcW w:w="220" w:type="dxa"/>
            <w:vAlign w:val="bottom"/>
          </w:tcPr>
          <w:p>
            <w:pPr>
              <w:jc w:val="right"/>
              <w:ind w:right="13"/>
              <w:spacing w:after="0"/>
              <w:rPr>
                <w:sz w:val="20"/>
                <w:szCs w:val="20"/>
                <w:color w:val="auto"/>
              </w:rPr>
            </w:pPr>
            <w:r>
              <w:rPr>
                <w:rFonts w:ascii="Arial" w:cs="Arial" w:eastAsia="Arial" w:hAnsi="Arial"/>
                <w:sz w:val="18"/>
                <w:szCs w:val="18"/>
                <w:color w:val="auto"/>
                <w:w w:val="99"/>
              </w:rPr>
              <w:t>$</w:t>
            </w: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(33,408)</w:t>
            </w:r>
          </w:p>
        </w:tc>
        <w:tc>
          <w:tcPr>
            <w:tcW w:w="0" w:type="dxa"/>
            <w:vAlign w:val="bottom"/>
          </w:tcPr>
          <w:p>
            <w:pPr>
              <w:spacing w:after="0"/>
              <w:rPr>
                <w:sz w:val="1"/>
                <w:szCs w:val="1"/>
                <w:color w:val="auto"/>
              </w:rPr>
            </w:pPr>
          </w:p>
        </w:tc>
      </w:tr>
      <w:tr>
        <w:trPr>
          <w:trHeight w:val="216"/>
        </w:trPr>
        <w:tc>
          <w:tcPr>
            <w:tcW w:w="7400" w:type="dxa"/>
            <w:vAlign w:val="bottom"/>
            <w:shd w:val="clear" w:color="auto" w:fill="CFF0FC"/>
          </w:tcPr>
          <w:p>
            <w:pPr>
              <w:spacing w:after="0"/>
              <w:rPr>
                <w:sz w:val="20"/>
                <w:szCs w:val="20"/>
                <w:color w:val="auto"/>
              </w:rPr>
            </w:pPr>
            <w:r>
              <w:rPr>
                <w:rFonts w:ascii="Arial" w:cs="Arial" w:eastAsia="Arial" w:hAnsi="Arial"/>
                <w:sz w:val="18"/>
                <w:szCs w:val="18"/>
                <w:color w:val="auto"/>
              </w:rPr>
              <w:t>Balance at December 31, 2017</w:t>
            </w:r>
          </w:p>
        </w:tc>
        <w:tc>
          <w:tcPr>
            <w:tcW w:w="22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w w:val="79"/>
              </w:rPr>
              <w:t>$</w:t>
            </w:r>
          </w:p>
        </w:tc>
        <w:tc>
          <w:tcPr>
            <w:tcW w:w="1540" w:type="dxa"/>
            <w:vAlign w:val="bottom"/>
            <w:shd w:val="clear" w:color="auto" w:fill="CFF0FC"/>
          </w:tcPr>
          <w:p>
            <w:pPr>
              <w:jc w:val="right"/>
              <w:ind w:right="98"/>
              <w:spacing w:after="0"/>
              <w:rPr>
                <w:sz w:val="20"/>
                <w:szCs w:val="20"/>
                <w:color w:val="auto"/>
              </w:rPr>
            </w:pPr>
            <w:r>
              <w:rPr>
                <w:rFonts w:ascii="Arial" w:cs="Arial" w:eastAsia="Arial" w:hAnsi="Arial"/>
                <w:sz w:val="18"/>
                <w:szCs w:val="18"/>
                <w:color w:val="auto"/>
              </w:rPr>
              <w:t>317,305</w:t>
            </w:r>
          </w:p>
        </w:tc>
        <w:tc>
          <w:tcPr>
            <w:tcW w:w="380" w:type="dxa"/>
            <w:vAlign w:val="bottom"/>
            <w:shd w:val="clear" w:color="auto" w:fill="CFF0FC"/>
          </w:tcPr>
          <w:p>
            <w:pPr>
              <w:jc w:val="right"/>
              <w:ind w:right="113"/>
              <w:spacing w:after="0"/>
              <w:rPr>
                <w:sz w:val="20"/>
                <w:szCs w:val="20"/>
                <w:color w:val="auto"/>
              </w:rPr>
            </w:pPr>
            <w:r>
              <w:rPr>
                <w:rFonts w:ascii="Arial" w:cs="Arial" w:eastAsia="Arial" w:hAnsi="Arial"/>
                <w:sz w:val="18"/>
                <w:szCs w:val="18"/>
                <w:color w:val="auto"/>
              </w:rPr>
              <w:t>$</w:t>
            </w:r>
          </w:p>
        </w:tc>
        <w:tc>
          <w:tcPr>
            <w:tcW w:w="90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rPr>
              <w:t>(1,392)</w:t>
            </w:r>
          </w:p>
        </w:tc>
        <w:tc>
          <w:tcPr>
            <w:tcW w:w="8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$ 315,913</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473"/>
        </w:trPr>
        <w:tc>
          <w:tcPr>
            <w:tcW w:w="7400" w:type="dxa"/>
            <w:vAlign w:val="bottom"/>
          </w:tcPr>
          <w:p>
            <w:pPr>
              <w:spacing w:after="0"/>
              <w:rPr>
                <w:sz w:val="20"/>
                <w:szCs w:val="20"/>
                <w:color w:val="auto"/>
              </w:rPr>
            </w:pPr>
            <w:r>
              <w:rPr>
                <w:rFonts w:ascii="Arial" w:cs="Arial" w:eastAsia="Arial" w:hAnsi="Arial"/>
                <w:sz w:val="18"/>
                <w:szCs w:val="18"/>
                <w:b w:val="1"/>
                <w:bCs w:val="1"/>
                <w:color w:val="auto"/>
              </w:rPr>
              <w:t>Consolidated Statements of Cash Flows</w:t>
            </w: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74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2820" w:type="dxa"/>
            <w:vAlign w:val="bottom"/>
            <w:tcBorders>
              <w:bottom w:val="single" w:sz="8" w:color="auto"/>
            </w:tcBorders>
            <w:gridSpan w:val="3"/>
          </w:tcPr>
          <w:p>
            <w:pPr>
              <w:jc w:val="center"/>
              <w:ind w:left="618"/>
              <w:spacing w:after="0"/>
              <w:rPr>
                <w:sz w:val="20"/>
                <w:szCs w:val="20"/>
                <w:color w:val="auto"/>
              </w:rPr>
            </w:pPr>
            <w:r>
              <w:rPr>
                <w:rFonts w:ascii="Arial" w:cs="Arial" w:eastAsia="Arial" w:hAnsi="Arial"/>
                <w:sz w:val="14"/>
                <w:szCs w:val="14"/>
                <w:b w:val="1"/>
                <w:bCs w:val="1"/>
                <w:color w:val="auto"/>
              </w:rPr>
              <w:t>Year Ended December 31, 2018</w:t>
            </w:r>
          </w:p>
        </w:tc>
        <w:tc>
          <w:tcPr>
            <w:tcW w:w="22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56"/>
        </w:trPr>
        <w:tc>
          <w:tcPr>
            <w:tcW w:w="74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540" w:type="dxa"/>
            <w:vAlign w:val="bottom"/>
          </w:tcPr>
          <w:p>
            <w:pPr>
              <w:jc w:val="center"/>
              <w:ind w:right="218"/>
              <w:spacing w:after="0" w:line="156" w:lineRule="exact"/>
              <w:rPr>
                <w:sz w:val="20"/>
                <w:szCs w:val="20"/>
                <w:color w:val="auto"/>
              </w:rPr>
            </w:pPr>
            <w:r>
              <w:rPr>
                <w:rFonts w:ascii="Arial" w:cs="Arial" w:eastAsia="Arial" w:hAnsi="Arial"/>
                <w:sz w:val="14"/>
                <w:szCs w:val="14"/>
                <w:b w:val="1"/>
                <w:bCs w:val="1"/>
                <w:color w:val="auto"/>
              </w:rPr>
              <w:t>As Previously</w:t>
            </w:r>
          </w:p>
        </w:tc>
        <w:tc>
          <w:tcPr>
            <w:tcW w:w="3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5"/>
        </w:trPr>
        <w:tc>
          <w:tcPr>
            <w:tcW w:w="74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540" w:type="dxa"/>
            <w:vAlign w:val="bottom"/>
          </w:tcPr>
          <w:p>
            <w:pPr>
              <w:jc w:val="center"/>
              <w:ind w:right="218"/>
              <w:spacing w:after="0"/>
              <w:rPr>
                <w:sz w:val="20"/>
                <w:szCs w:val="20"/>
                <w:color w:val="auto"/>
              </w:rPr>
            </w:pPr>
            <w:r>
              <w:rPr>
                <w:rFonts w:ascii="Arial" w:cs="Arial" w:eastAsia="Arial" w:hAnsi="Arial"/>
                <w:sz w:val="14"/>
                <w:szCs w:val="14"/>
                <w:b w:val="1"/>
                <w:bCs w:val="1"/>
                <w:color w:val="auto"/>
              </w:rPr>
              <w:t>Reported</w:t>
            </w:r>
          </w:p>
        </w:tc>
        <w:tc>
          <w:tcPr>
            <w:tcW w:w="1280" w:type="dxa"/>
            <w:vAlign w:val="bottom"/>
            <w:gridSpan w:val="2"/>
          </w:tcPr>
          <w:p>
            <w:pPr>
              <w:jc w:val="right"/>
              <w:ind w:right="150"/>
              <w:spacing w:after="0"/>
              <w:rPr>
                <w:sz w:val="20"/>
                <w:szCs w:val="20"/>
                <w:color w:val="auto"/>
              </w:rPr>
            </w:pPr>
            <w:r>
              <w:rPr>
                <w:rFonts w:ascii="Arial" w:cs="Arial" w:eastAsia="Arial" w:hAnsi="Arial"/>
                <w:sz w:val="14"/>
                <w:szCs w:val="14"/>
                <w:b w:val="1"/>
                <w:bCs w:val="1"/>
                <w:color w:val="auto"/>
              </w:rPr>
              <w:t>Adjustments</w:t>
            </w:r>
          </w:p>
        </w:tc>
        <w:tc>
          <w:tcPr>
            <w:tcW w:w="980" w:type="dxa"/>
            <w:vAlign w:val="bottom"/>
            <w:gridSpan w:val="3"/>
          </w:tcPr>
          <w:p>
            <w:pPr>
              <w:jc w:val="right"/>
              <w:ind w:right="120"/>
              <w:spacing w:after="0"/>
              <w:rPr>
                <w:sz w:val="20"/>
                <w:szCs w:val="20"/>
                <w:color w:val="auto"/>
              </w:rPr>
            </w:pPr>
            <w:r>
              <w:rPr>
                <w:rFonts w:ascii="Arial" w:cs="Arial" w:eastAsia="Arial" w:hAnsi="Arial"/>
                <w:sz w:val="14"/>
                <w:szCs w:val="14"/>
                <w:b w:val="1"/>
                <w:bCs w:val="1"/>
                <w:color w:val="auto"/>
              </w:rPr>
              <w:t>As Revised</w:t>
            </w:r>
          </w:p>
        </w:tc>
        <w:tc>
          <w:tcPr>
            <w:tcW w:w="0" w:type="dxa"/>
            <w:vAlign w:val="bottom"/>
          </w:tcPr>
          <w:p>
            <w:pPr>
              <w:spacing w:after="0"/>
              <w:rPr>
                <w:sz w:val="1"/>
                <w:szCs w:val="1"/>
                <w:color w:val="auto"/>
              </w:rPr>
            </w:pPr>
          </w:p>
        </w:tc>
      </w:tr>
      <w:tr>
        <w:trPr>
          <w:trHeight w:val="210"/>
        </w:trPr>
        <w:tc>
          <w:tcPr>
            <w:tcW w:w="74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2820" w:type="dxa"/>
            <w:vAlign w:val="bottom"/>
            <w:tcBorders>
              <w:top w:val="single" w:sz="8" w:color="auto"/>
            </w:tcBorders>
            <w:gridSpan w:val="3"/>
          </w:tcPr>
          <w:p>
            <w:pPr>
              <w:jc w:val="center"/>
              <w:ind w:left="598"/>
              <w:spacing w:after="0"/>
              <w:rPr>
                <w:sz w:val="20"/>
                <w:szCs w:val="20"/>
                <w:color w:val="auto"/>
              </w:rPr>
            </w:pPr>
            <w:r>
              <w:rPr>
                <w:rFonts w:ascii="Arial" w:cs="Arial" w:eastAsia="Arial" w:hAnsi="Arial"/>
                <w:sz w:val="14"/>
                <w:szCs w:val="14"/>
                <w:b w:val="1"/>
                <w:bCs w:val="1"/>
                <w:color w:val="auto"/>
              </w:rPr>
              <w:t>(in thousands)</w:t>
            </w:r>
          </w:p>
        </w:tc>
        <w:tc>
          <w:tcPr>
            <w:tcW w:w="220" w:type="dxa"/>
            <w:vAlign w:val="bottom"/>
            <w:tcBorders>
              <w:top w:val="single" w:sz="8" w:color="auto"/>
            </w:tcBorders>
          </w:tcPr>
          <w:p>
            <w:pPr>
              <w:spacing w:after="0"/>
              <w:rPr>
                <w:sz w:val="18"/>
                <w:szCs w:val="18"/>
                <w:color w:val="auto"/>
              </w:rPr>
            </w:pPr>
          </w:p>
        </w:tc>
        <w:tc>
          <w:tcPr>
            <w:tcW w:w="6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00" w:type="dxa"/>
            <w:vAlign w:val="bottom"/>
            <w:shd w:val="clear" w:color="auto" w:fill="CFF0FC"/>
          </w:tcPr>
          <w:p>
            <w:pPr>
              <w:spacing w:after="0"/>
              <w:rPr>
                <w:sz w:val="20"/>
                <w:szCs w:val="20"/>
                <w:color w:val="auto"/>
              </w:rPr>
            </w:pPr>
            <w:r>
              <w:rPr>
                <w:rFonts w:ascii="Arial" w:cs="Arial" w:eastAsia="Arial" w:hAnsi="Arial"/>
                <w:sz w:val="18"/>
                <w:szCs w:val="18"/>
                <w:color w:val="auto"/>
              </w:rPr>
              <w:t>Net loss attributable to BlackLine, Inc.</w:t>
            </w:r>
          </w:p>
        </w:tc>
        <w:tc>
          <w:tcPr>
            <w:tcW w:w="22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w:t>
            </w:r>
          </w:p>
        </w:tc>
        <w:tc>
          <w:tcPr>
            <w:tcW w:w="15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(27,804)</w:t>
            </w:r>
          </w:p>
        </w:tc>
        <w:tc>
          <w:tcPr>
            <w:tcW w:w="38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9"/>
              </w:rPr>
              <w:t>$</w:t>
            </w:r>
          </w:p>
        </w:tc>
        <w:tc>
          <w:tcPr>
            <w:tcW w:w="90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(910)</w:t>
            </w:r>
          </w:p>
        </w:tc>
        <w:tc>
          <w:tcPr>
            <w:tcW w:w="980" w:type="dxa"/>
            <w:vAlign w:val="bottom"/>
            <w:gridSpan w:val="3"/>
            <w:shd w:val="clear" w:color="auto" w:fill="CFF0FC"/>
          </w:tcPr>
          <w:p>
            <w:pPr>
              <w:jc w:val="right"/>
              <w:ind w:right="40"/>
              <w:spacing w:after="0"/>
              <w:rPr>
                <w:sz w:val="20"/>
                <w:szCs w:val="20"/>
                <w:color w:val="auto"/>
              </w:rPr>
            </w:pPr>
            <w:r>
              <w:rPr>
                <w:rFonts w:ascii="Arial" w:cs="Arial" w:eastAsia="Arial" w:hAnsi="Arial"/>
                <w:sz w:val="18"/>
                <w:szCs w:val="18"/>
                <w:color w:val="auto"/>
              </w:rPr>
              <w:t>$ (28,714)</w:t>
            </w:r>
          </w:p>
        </w:tc>
        <w:tc>
          <w:tcPr>
            <w:tcW w:w="0" w:type="dxa"/>
            <w:vAlign w:val="bottom"/>
          </w:tcPr>
          <w:p>
            <w:pPr>
              <w:spacing w:after="0"/>
              <w:rPr>
                <w:sz w:val="1"/>
                <w:szCs w:val="1"/>
                <w:color w:val="auto"/>
              </w:rPr>
            </w:pPr>
          </w:p>
        </w:tc>
      </w:tr>
      <w:tr>
        <w:trPr>
          <w:trHeight w:val="216"/>
        </w:trPr>
        <w:tc>
          <w:tcPr>
            <w:tcW w:w="7400" w:type="dxa"/>
            <w:vAlign w:val="bottom"/>
          </w:tcPr>
          <w:p>
            <w:pPr>
              <w:spacing w:after="0"/>
              <w:rPr>
                <w:sz w:val="20"/>
                <w:szCs w:val="20"/>
                <w:color w:val="auto"/>
              </w:rPr>
            </w:pPr>
            <w:r>
              <w:rPr>
                <w:rFonts w:ascii="Arial" w:cs="Arial" w:eastAsia="Arial" w:hAnsi="Arial"/>
                <w:sz w:val="18"/>
                <w:szCs w:val="18"/>
                <w:color w:val="auto"/>
              </w:rPr>
              <w:t>Net loss</w:t>
            </w:r>
          </w:p>
        </w:tc>
        <w:tc>
          <w:tcPr>
            <w:tcW w:w="22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540" w:type="dxa"/>
            <w:vAlign w:val="bottom"/>
          </w:tcPr>
          <w:p>
            <w:pPr>
              <w:jc w:val="right"/>
              <w:spacing w:after="0"/>
              <w:rPr>
                <w:sz w:val="20"/>
                <w:szCs w:val="20"/>
                <w:color w:val="auto"/>
              </w:rPr>
            </w:pPr>
            <w:r>
              <w:rPr>
                <w:rFonts w:ascii="Arial" w:cs="Arial" w:eastAsia="Arial" w:hAnsi="Arial"/>
                <w:sz w:val="18"/>
                <w:szCs w:val="18"/>
                <w:color w:val="auto"/>
              </w:rPr>
              <w:t>(27,866)</w:t>
            </w:r>
          </w:p>
        </w:tc>
        <w:tc>
          <w:tcPr>
            <w:tcW w:w="38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(910)</w:t>
            </w:r>
          </w:p>
        </w:tc>
        <w:tc>
          <w:tcPr>
            <w:tcW w:w="980" w:type="dxa"/>
            <w:vAlign w:val="bottom"/>
            <w:gridSpan w:val="3"/>
          </w:tcPr>
          <w:p>
            <w:pPr>
              <w:jc w:val="right"/>
              <w:ind w:right="40"/>
              <w:spacing w:after="0"/>
              <w:rPr>
                <w:sz w:val="20"/>
                <w:szCs w:val="20"/>
                <w:color w:val="auto"/>
              </w:rPr>
            </w:pPr>
            <w:r>
              <w:rPr>
                <w:rFonts w:ascii="Arial" w:cs="Arial" w:eastAsia="Arial" w:hAnsi="Arial"/>
                <w:sz w:val="18"/>
                <w:szCs w:val="18"/>
                <w:color w:val="auto"/>
              </w:rPr>
              <w:t>$ (28,776)</w:t>
            </w:r>
          </w:p>
        </w:tc>
        <w:tc>
          <w:tcPr>
            <w:tcW w:w="0" w:type="dxa"/>
            <w:vAlign w:val="bottom"/>
          </w:tcPr>
          <w:p>
            <w:pPr>
              <w:spacing w:after="0"/>
              <w:rPr>
                <w:sz w:val="1"/>
                <w:szCs w:val="1"/>
                <w:color w:val="auto"/>
              </w:rPr>
            </w:pPr>
          </w:p>
        </w:tc>
      </w:tr>
      <w:tr>
        <w:trPr>
          <w:trHeight w:val="216"/>
        </w:trPr>
        <w:tc>
          <w:tcPr>
            <w:tcW w:w="7400" w:type="dxa"/>
            <w:vAlign w:val="bottom"/>
            <w:shd w:val="clear" w:color="auto" w:fill="CFF0FC"/>
          </w:tcPr>
          <w:p>
            <w:pPr>
              <w:spacing w:after="0"/>
              <w:rPr>
                <w:sz w:val="20"/>
                <w:szCs w:val="20"/>
                <w:color w:val="auto"/>
              </w:rPr>
            </w:pPr>
            <w:r>
              <w:rPr>
                <w:rFonts w:ascii="Arial" w:cs="Arial" w:eastAsia="Arial" w:hAnsi="Arial"/>
                <w:sz w:val="18"/>
                <w:szCs w:val="18"/>
                <w:color w:val="auto"/>
              </w:rPr>
              <w:t>Deferred income taxes</w:t>
            </w:r>
          </w:p>
        </w:tc>
        <w:tc>
          <w:tcPr>
            <w:tcW w:w="22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w:t>
            </w:r>
          </w:p>
        </w:tc>
        <w:tc>
          <w:tcPr>
            <w:tcW w:w="15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(923)</w:t>
            </w:r>
          </w:p>
        </w:tc>
        <w:tc>
          <w:tcPr>
            <w:tcW w:w="38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9"/>
              </w:rPr>
              <w:t>$</w:t>
            </w:r>
          </w:p>
        </w:tc>
        <w:tc>
          <w:tcPr>
            <w:tcW w:w="90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rPr>
              <w:t>1,136</w:t>
            </w:r>
          </w:p>
        </w:tc>
        <w:tc>
          <w:tcPr>
            <w:tcW w:w="220" w:type="dxa"/>
            <w:vAlign w:val="bottom"/>
            <w:shd w:val="clear" w:color="auto" w:fill="CFF0FC"/>
          </w:tcPr>
          <w:p>
            <w:pPr>
              <w:ind w:left="80"/>
              <w:spacing w:after="0"/>
              <w:rPr>
                <w:sz w:val="20"/>
                <w:szCs w:val="20"/>
                <w:color w:val="auto"/>
              </w:rPr>
            </w:pPr>
            <w:r>
              <w:rPr>
                <w:rFonts w:ascii="Arial" w:cs="Arial" w:eastAsia="Arial" w:hAnsi="Arial"/>
                <w:sz w:val="18"/>
                <w:szCs w:val="18"/>
                <w:color w:val="auto"/>
              </w:rPr>
              <w:t>$</w:t>
            </w: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213</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400" w:type="dxa"/>
            <w:vAlign w:val="bottom"/>
          </w:tcPr>
          <w:p>
            <w:pPr>
              <w:spacing w:after="0"/>
              <w:rPr>
                <w:sz w:val="20"/>
                <w:szCs w:val="20"/>
                <w:color w:val="auto"/>
              </w:rPr>
            </w:pPr>
            <w:r>
              <w:rPr>
                <w:rFonts w:ascii="Arial" w:cs="Arial" w:eastAsia="Arial" w:hAnsi="Arial"/>
                <w:sz w:val="18"/>
                <w:szCs w:val="18"/>
                <w:color w:val="auto"/>
              </w:rPr>
              <w:t>Accrued expenses and other current liabilities</w:t>
            </w:r>
          </w:p>
        </w:tc>
        <w:tc>
          <w:tcPr>
            <w:tcW w:w="22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540" w:type="dxa"/>
            <w:vAlign w:val="bottom"/>
          </w:tcPr>
          <w:p>
            <w:pPr>
              <w:jc w:val="right"/>
              <w:ind w:right="58"/>
              <w:spacing w:after="0"/>
              <w:rPr>
                <w:sz w:val="20"/>
                <w:szCs w:val="20"/>
                <w:color w:val="auto"/>
              </w:rPr>
            </w:pPr>
            <w:r>
              <w:rPr>
                <w:rFonts w:ascii="Arial" w:cs="Arial" w:eastAsia="Arial" w:hAnsi="Arial"/>
                <w:sz w:val="18"/>
                <w:szCs w:val="18"/>
                <w:color w:val="auto"/>
              </w:rPr>
              <w:t>4,417</w:t>
            </w:r>
          </w:p>
        </w:tc>
        <w:tc>
          <w:tcPr>
            <w:tcW w:w="38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(226)</w:t>
            </w:r>
          </w:p>
        </w:tc>
        <w:tc>
          <w:tcPr>
            <w:tcW w:w="220" w:type="dxa"/>
            <w:vAlign w:val="bottom"/>
          </w:tcPr>
          <w:p>
            <w:pPr>
              <w:ind w:left="80"/>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4,191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59"/>
        </w:trPr>
        <w:tc>
          <w:tcPr>
            <w:tcW w:w="74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820" w:type="dxa"/>
            <w:vAlign w:val="bottom"/>
            <w:tcBorders>
              <w:bottom w:val="single" w:sz="8" w:color="auto"/>
            </w:tcBorders>
            <w:gridSpan w:val="3"/>
          </w:tcPr>
          <w:p>
            <w:pPr>
              <w:jc w:val="center"/>
              <w:ind w:left="618"/>
              <w:spacing w:after="0"/>
              <w:rPr>
                <w:sz w:val="20"/>
                <w:szCs w:val="20"/>
                <w:color w:val="auto"/>
              </w:rPr>
            </w:pPr>
            <w:r>
              <w:rPr>
                <w:rFonts w:ascii="Arial" w:cs="Arial" w:eastAsia="Arial" w:hAnsi="Arial"/>
                <w:sz w:val="14"/>
                <w:szCs w:val="14"/>
                <w:b w:val="1"/>
                <w:bCs w:val="1"/>
                <w:color w:val="auto"/>
              </w:rPr>
              <w:t>Year Ended December 31, 2017</w:t>
            </w:r>
          </w:p>
        </w:tc>
        <w:tc>
          <w:tcPr>
            <w:tcW w:w="22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6"/>
        </w:trPr>
        <w:tc>
          <w:tcPr>
            <w:tcW w:w="74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540" w:type="dxa"/>
            <w:vAlign w:val="bottom"/>
          </w:tcPr>
          <w:p>
            <w:pPr>
              <w:jc w:val="center"/>
              <w:ind w:right="218"/>
              <w:spacing w:after="0" w:line="156" w:lineRule="exact"/>
              <w:rPr>
                <w:sz w:val="20"/>
                <w:szCs w:val="20"/>
                <w:color w:val="auto"/>
              </w:rPr>
            </w:pPr>
            <w:r>
              <w:rPr>
                <w:rFonts w:ascii="Arial" w:cs="Arial" w:eastAsia="Arial" w:hAnsi="Arial"/>
                <w:sz w:val="14"/>
                <w:szCs w:val="14"/>
                <w:b w:val="1"/>
                <w:bCs w:val="1"/>
                <w:color w:val="auto"/>
              </w:rPr>
              <w:t>As Previously</w:t>
            </w:r>
          </w:p>
        </w:tc>
        <w:tc>
          <w:tcPr>
            <w:tcW w:w="3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5"/>
        </w:trPr>
        <w:tc>
          <w:tcPr>
            <w:tcW w:w="74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540" w:type="dxa"/>
            <w:vAlign w:val="bottom"/>
          </w:tcPr>
          <w:p>
            <w:pPr>
              <w:jc w:val="center"/>
              <w:ind w:right="218"/>
              <w:spacing w:after="0"/>
              <w:rPr>
                <w:sz w:val="20"/>
                <w:szCs w:val="20"/>
                <w:color w:val="auto"/>
              </w:rPr>
            </w:pPr>
            <w:r>
              <w:rPr>
                <w:rFonts w:ascii="Arial" w:cs="Arial" w:eastAsia="Arial" w:hAnsi="Arial"/>
                <w:sz w:val="14"/>
                <w:szCs w:val="14"/>
                <w:b w:val="1"/>
                <w:bCs w:val="1"/>
                <w:color w:val="auto"/>
              </w:rPr>
              <w:t>Reported</w:t>
            </w:r>
          </w:p>
        </w:tc>
        <w:tc>
          <w:tcPr>
            <w:tcW w:w="1280" w:type="dxa"/>
            <w:vAlign w:val="bottom"/>
            <w:gridSpan w:val="2"/>
          </w:tcPr>
          <w:p>
            <w:pPr>
              <w:jc w:val="right"/>
              <w:ind w:right="150"/>
              <w:spacing w:after="0"/>
              <w:rPr>
                <w:sz w:val="20"/>
                <w:szCs w:val="20"/>
                <w:color w:val="auto"/>
              </w:rPr>
            </w:pPr>
            <w:r>
              <w:rPr>
                <w:rFonts w:ascii="Arial" w:cs="Arial" w:eastAsia="Arial" w:hAnsi="Arial"/>
                <w:sz w:val="14"/>
                <w:szCs w:val="14"/>
                <w:b w:val="1"/>
                <w:bCs w:val="1"/>
                <w:color w:val="auto"/>
              </w:rPr>
              <w:t>Adjustments</w:t>
            </w:r>
          </w:p>
        </w:tc>
        <w:tc>
          <w:tcPr>
            <w:tcW w:w="980" w:type="dxa"/>
            <w:vAlign w:val="bottom"/>
            <w:gridSpan w:val="3"/>
          </w:tcPr>
          <w:p>
            <w:pPr>
              <w:jc w:val="right"/>
              <w:ind w:right="120"/>
              <w:spacing w:after="0"/>
              <w:rPr>
                <w:sz w:val="20"/>
                <w:szCs w:val="20"/>
                <w:color w:val="auto"/>
              </w:rPr>
            </w:pPr>
            <w:r>
              <w:rPr>
                <w:rFonts w:ascii="Arial" w:cs="Arial" w:eastAsia="Arial" w:hAnsi="Arial"/>
                <w:sz w:val="14"/>
                <w:szCs w:val="14"/>
                <w:b w:val="1"/>
                <w:bCs w:val="1"/>
                <w:color w:val="auto"/>
              </w:rPr>
              <w:t>As Revised</w:t>
            </w:r>
          </w:p>
        </w:tc>
        <w:tc>
          <w:tcPr>
            <w:tcW w:w="0" w:type="dxa"/>
            <w:vAlign w:val="bottom"/>
          </w:tcPr>
          <w:p>
            <w:pPr>
              <w:spacing w:after="0"/>
              <w:rPr>
                <w:sz w:val="1"/>
                <w:szCs w:val="1"/>
                <w:color w:val="auto"/>
              </w:rPr>
            </w:pPr>
          </w:p>
        </w:tc>
      </w:tr>
      <w:tr>
        <w:trPr>
          <w:trHeight w:val="169"/>
        </w:trPr>
        <w:tc>
          <w:tcPr>
            <w:tcW w:w="74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2820" w:type="dxa"/>
            <w:vAlign w:val="bottom"/>
            <w:tcBorders>
              <w:top w:val="single" w:sz="8" w:color="auto"/>
            </w:tcBorders>
            <w:gridSpan w:val="3"/>
          </w:tcPr>
          <w:p>
            <w:pPr>
              <w:jc w:val="center"/>
              <w:ind w:left="598"/>
              <w:spacing w:after="0"/>
              <w:rPr>
                <w:sz w:val="20"/>
                <w:szCs w:val="20"/>
                <w:color w:val="auto"/>
              </w:rPr>
            </w:pPr>
            <w:r>
              <w:rPr>
                <w:rFonts w:ascii="Arial" w:cs="Arial" w:eastAsia="Arial" w:hAnsi="Arial"/>
                <w:sz w:val="14"/>
                <w:szCs w:val="14"/>
                <w:b w:val="1"/>
                <w:bCs w:val="1"/>
                <w:color w:val="auto"/>
              </w:rPr>
              <w:t>(in thousands)</w:t>
            </w:r>
          </w:p>
        </w:tc>
        <w:tc>
          <w:tcPr>
            <w:tcW w:w="220" w:type="dxa"/>
            <w:vAlign w:val="bottom"/>
            <w:tcBorders>
              <w:top w:val="single" w:sz="8" w:color="auto"/>
            </w:tcBorders>
          </w:tcPr>
          <w:p>
            <w:pPr>
              <w:spacing w:after="0"/>
              <w:rPr>
                <w:sz w:val="14"/>
                <w:szCs w:val="14"/>
                <w:color w:val="auto"/>
              </w:rPr>
            </w:pPr>
          </w:p>
        </w:tc>
        <w:tc>
          <w:tcPr>
            <w:tcW w:w="66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7400" w:type="dxa"/>
            <w:vAlign w:val="bottom"/>
            <w:shd w:val="clear" w:color="auto" w:fill="CFF0FC"/>
          </w:tcPr>
          <w:p>
            <w:pPr>
              <w:spacing w:after="0"/>
              <w:rPr>
                <w:sz w:val="20"/>
                <w:szCs w:val="20"/>
                <w:color w:val="auto"/>
              </w:rPr>
            </w:pPr>
            <w:r>
              <w:rPr>
                <w:rFonts w:ascii="Arial" w:cs="Arial" w:eastAsia="Arial" w:hAnsi="Arial"/>
                <w:sz w:val="18"/>
                <w:szCs w:val="18"/>
                <w:color w:val="auto"/>
              </w:rPr>
              <w:t>Net loss attributable to BlackLine, Inc.</w:t>
            </w:r>
          </w:p>
        </w:tc>
        <w:tc>
          <w:tcPr>
            <w:tcW w:w="22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w:t>
            </w:r>
          </w:p>
        </w:tc>
        <w:tc>
          <w:tcPr>
            <w:tcW w:w="15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(33,051)</w:t>
            </w:r>
          </w:p>
        </w:tc>
        <w:tc>
          <w:tcPr>
            <w:tcW w:w="38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9"/>
              </w:rPr>
              <w:t>$</w:t>
            </w:r>
          </w:p>
        </w:tc>
        <w:tc>
          <w:tcPr>
            <w:tcW w:w="90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(357)</w:t>
            </w:r>
          </w:p>
        </w:tc>
        <w:tc>
          <w:tcPr>
            <w:tcW w:w="980" w:type="dxa"/>
            <w:vAlign w:val="bottom"/>
            <w:gridSpan w:val="3"/>
            <w:shd w:val="clear" w:color="auto" w:fill="CFF0FC"/>
          </w:tcPr>
          <w:p>
            <w:pPr>
              <w:jc w:val="right"/>
              <w:ind w:right="40"/>
              <w:spacing w:after="0"/>
              <w:rPr>
                <w:sz w:val="20"/>
                <w:szCs w:val="20"/>
                <w:color w:val="auto"/>
              </w:rPr>
            </w:pPr>
            <w:r>
              <w:rPr>
                <w:rFonts w:ascii="Arial" w:cs="Arial" w:eastAsia="Arial" w:hAnsi="Arial"/>
                <w:sz w:val="18"/>
                <w:szCs w:val="18"/>
                <w:color w:val="auto"/>
              </w:rPr>
              <w:t>$ (33,408)</w:t>
            </w:r>
          </w:p>
        </w:tc>
        <w:tc>
          <w:tcPr>
            <w:tcW w:w="0" w:type="dxa"/>
            <w:vAlign w:val="bottom"/>
          </w:tcPr>
          <w:p>
            <w:pPr>
              <w:spacing w:after="0"/>
              <w:rPr>
                <w:sz w:val="1"/>
                <w:szCs w:val="1"/>
                <w:color w:val="auto"/>
              </w:rPr>
            </w:pPr>
          </w:p>
        </w:tc>
      </w:tr>
      <w:tr>
        <w:trPr>
          <w:trHeight w:val="216"/>
        </w:trPr>
        <w:tc>
          <w:tcPr>
            <w:tcW w:w="7400" w:type="dxa"/>
            <w:vAlign w:val="bottom"/>
          </w:tcPr>
          <w:p>
            <w:pPr>
              <w:spacing w:after="0"/>
              <w:rPr>
                <w:sz w:val="20"/>
                <w:szCs w:val="20"/>
                <w:color w:val="auto"/>
              </w:rPr>
            </w:pPr>
            <w:r>
              <w:rPr>
                <w:rFonts w:ascii="Arial" w:cs="Arial" w:eastAsia="Arial" w:hAnsi="Arial"/>
                <w:sz w:val="18"/>
                <w:szCs w:val="18"/>
                <w:color w:val="auto"/>
              </w:rPr>
              <w:t>Net loss</w:t>
            </w:r>
          </w:p>
        </w:tc>
        <w:tc>
          <w:tcPr>
            <w:tcW w:w="22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540" w:type="dxa"/>
            <w:vAlign w:val="bottom"/>
          </w:tcPr>
          <w:p>
            <w:pPr>
              <w:jc w:val="right"/>
              <w:spacing w:after="0"/>
              <w:rPr>
                <w:sz w:val="20"/>
                <w:szCs w:val="20"/>
                <w:color w:val="auto"/>
              </w:rPr>
            </w:pPr>
            <w:r>
              <w:rPr>
                <w:rFonts w:ascii="Arial" w:cs="Arial" w:eastAsia="Arial" w:hAnsi="Arial"/>
                <w:sz w:val="18"/>
                <w:szCs w:val="18"/>
                <w:color w:val="auto"/>
              </w:rPr>
              <w:t>(33,051)</w:t>
            </w:r>
          </w:p>
        </w:tc>
        <w:tc>
          <w:tcPr>
            <w:tcW w:w="38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(357)</w:t>
            </w:r>
          </w:p>
        </w:tc>
        <w:tc>
          <w:tcPr>
            <w:tcW w:w="980" w:type="dxa"/>
            <w:vAlign w:val="bottom"/>
            <w:gridSpan w:val="3"/>
          </w:tcPr>
          <w:p>
            <w:pPr>
              <w:jc w:val="right"/>
              <w:ind w:right="40"/>
              <w:spacing w:after="0"/>
              <w:rPr>
                <w:sz w:val="20"/>
                <w:szCs w:val="20"/>
                <w:color w:val="auto"/>
              </w:rPr>
            </w:pPr>
            <w:r>
              <w:rPr>
                <w:rFonts w:ascii="Arial" w:cs="Arial" w:eastAsia="Arial" w:hAnsi="Arial"/>
                <w:sz w:val="18"/>
                <w:szCs w:val="18"/>
                <w:color w:val="auto"/>
              </w:rPr>
              <w:t>$ (33,408)</w:t>
            </w:r>
          </w:p>
        </w:tc>
        <w:tc>
          <w:tcPr>
            <w:tcW w:w="0" w:type="dxa"/>
            <w:vAlign w:val="bottom"/>
          </w:tcPr>
          <w:p>
            <w:pPr>
              <w:spacing w:after="0"/>
              <w:rPr>
                <w:sz w:val="1"/>
                <w:szCs w:val="1"/>
                <w:color w:val="auto"/>
              </w:rPr>
            </w:pPr>
          </w:p>
        </w:tc>
      </w:tr>
      <w:tr>
        <w:trPr>
          <w:trHeight w:val="216"/>
        </w:trPr>
        <w:tc>
          <w:tcPr>
            <w:tcW w:w="7400" w:type="dxa"/>
            <w:vAlign w:val="bottom"/>
            <w:shd w:val="clear" w:color="auto" w:fill="CFF0FC"/>
          </w:tcPr>
          <w:p>
            <w:pPr>
              <w:spacing w:after="0"/>
              <w:rPr>
                <w:sz w:val="20"/>
                <w:szCs w:val="20"/>
                <w:color w:val="auto"/>
              </w:rPr>
            </w:pPr>
            <w:r>
              <w:rPr>
                <w:rFonts w:ascii="Arial" w:cs="Arial" w:eastAsia="Arial" w:hAnsi="Arial"/>
                <w:sz w:val="18"/>
                <w:szCs w:val="18"/>
                <w:color w:val="auto"/>
              </w:rPr>
              <w:t>Deferred income taxes</w:t>
            </w:r>
          </w:p>
        </w:tc>
        <w:tc>
          <w:tcPr>
            <w:tcW w:w="22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w:t>
            </w:r>
          </w:p>
        </w:tc>
        <w:tc>
          <w:tcPr>
            <w:tcW w:w="15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(272)</w:t>
            </w:r>
          </w:p>
        </w:tc>
        <w:tc>
          <w:tcPr>
            <w:tcW w:w="38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9"/>
              </w:rPr>
              <w:t>$</w:t>
            </w:r>
          </w:p>
        </w:tc>
        <w:tc>
          <w:tcPr>
            <w:tcW w:w="90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rPr>
              <w:t>357</w:t>
            </w:r>
          </w:p>
        </w:tc>
        <w:tc>
          <w:tcPr>
            <w:tcW w:w="220" w:type="dxa"/>
            <w:vAlign w:val="bottom"/>
            <w:shd w:val="clear" w:color="auto" w:fill="CFF0FC"/>
          </w:tcPr>
          <w:p>
            <w:pPr>
              <w:ind w:left="80"/>
              <w:spacing w:after="0"/>
              <w:rPr>
                <w:sz w:val="20"/>
                <w:szCs w:val="20"/>
                <w:color w:val="auto"/>
              </w:rPr>
            </w:pPr>
            <w:r>
              <w:rPr>
                <w:rFonts w:ascii="Arial" w:cs="Arial" w:eastAsia="Arial" w:hAnsi="Arial"/>
                <w:sz w:val="18"/>
                <w:szCs w:val="18"/>
                <w:color w:val="auto"/>
              </w:rPr>
              <w:t>$</w:t>
            </w: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85</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4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Leases</w:t>
      </w:r>
    </w:p>
    <w:p>
      <w:pPr>
        <w:spacing w:after="0" w:line="108" w:lineRule="exact"/>
        <w:rPr>
          <w:sz w:val="20"/>
          <w:szCs w:val="20"/>
          <w:color w:val="auto"/>
        </w:rPr>
      </w:pPr>
    </w:p>
    <w:p>
      <w:pPr>
        <w:ind w:left="520"/>
        <w:spacing w:after="0"/>
        <w:rPr>
          <w:sz w:val="20"/>
          <w:szCs w:val="20"/>
          <w:color w:val="auto"/>
        </w:rPr>
      </w:pPr>
      <w:r>
        <w:rPr>
          <w:rFonts w:ascii="Arial" w:cs="Arial" w:eastAsia="Arial" w:hAnsi="Arial"/>
          <w:sz w:val="18"/>
          <w:szCs w:val="18"/>
          <w:color w:val="auto"/>
        </w:rPr>
        <w:t xml:space="preserve">On January 1, 2019, the Company adopted Accounting Standards Codification No. 842, </w:t>
      </w:r>
      <w:r>
        <w:rPr>
          <w:rFonts w:ascii="Arial" w:cs="Arial" w:eastAsia="Arial" w:hAnsi="Arial"/>
          <w:sz w:val="18"/>
          <w:szCs w:val="18"/>
          <w:i w:val="1"/>
          <w:iCs w:val="1"/>
          <w:color w:val="auto"/>
        </w:rPr>
        <w:t>Leases</w:t>
      </w:r>
      <w:r>
        <w:rPr>
          <w:rFonts w:ascii="Arial" w:cs="Arial" w:eastAsia="Arial" w:hAnsi="Arial"/>
          <w:sz w:val="18"/>
          <w:szCs w:val="18"/>
          <w:color w:val="auto"/>
        </w:rPr>
        <w:t>, on a modified retrospective basis.</w:t>
      </w:r>
    </w:p>
    <w:p>
      <w:pPr>
        <w:spacing w:after="0" w:line="212" w:lineRule="exact"/>
        <w:rPr>
          <w:sz w:val="20"/>
          <w:szCs w:val="20"/>
          <w:color w:val="auto"/>
        </w:rPr>
      </w:pPr>
    </w:p>
    <w:p>
      <w:pPr>
        <w:ind w:right="240" w:firstLine="518"/>
        <w:spacing w:after="0" w:line="242" w:lineRule="auto"/>
        <w:rPr>
          <w:sz w:val="20"/>
          <w:szCs w:val="20"/>
          <w:color w:val="auto"/>
        </w:rPr>
      </w:pPr>
      <w:r>
        <w:rPr>
          <w:rFonts w:ascii="Arial" w:cs="Arial" w:eastAsia="Arial" w:hAnsi="Arial"/>
          <w:sz w:val="18"/>
          <w:szCs w:val="18"/>
          <w:color w:val="auto"/>
        </w:rPr>
        <w:t xml:space="preserve">Financial information related to periods prior to adoption are as originally reported under ASC 840, </w:t>
      </w:r>
      <w:r>
        <w:rPr>
          <w:rFonts w:ascii="Arial" w:cs="Arial" w:eastAsia="Arial" w:hAnsi="Arial"/>
          <w:sz w:val="18"/>
          <w:szCs w:val="18"/>
          <w:i w:val="1"/>
          <w:iCs w:val="1"/>
          <w:color w:val="auto"/>
        </w:rPr>
        <w:t>Leases</w:t>
      </w:r>
      <w:r>
        <w:rPr>
          <w:rFonts w:ascii="Arial" w:cs="Arial" w:eastAsia="Arial" w:hAnsi="Arial"/>
          <w:sz w:val="18"/>
          <w:szCs w:val="18"/>
          <w:color w:val="auto"/>
        </w:rPr>
        <w:t>. At January 1, 2019, the Company recorded operating lease right-of-use (“ROU”) assets of $14.9 million and operating lease liabilities of $18.3 million. The difference between the leased assets and lease liabilities represents the existing deferred rent liabilities balance at adoption, resulting from historical straight-line recognition of operating leases, which was reclassified upon adoption to reduce the measurement of the leased assets. The adoption of the standard did not have an impact on the Company’s stockholders’ equity, results of operations, or cash flows.</w:t>
      </w: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272020"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346" w:right="239" w:bottom="1440" w:gutter="0" w:footer="0" w:header="0"/>
        </w:sectPr>
      </w:pPr>
    </w:p>
    <w:bookmarkStart w:id="65" w:name="page66"/>
    <w:bookmarkEnd w:id="65"/>
    <w:p>
      <w:pPr>
        <w:jc w:val="both"/>
        <w:ind w:right="440" w:firstLine="518"/>
        <w:spacing w:after="0"/>
        <w:rPr>
          <w:sz w:val="20"/>
          <w:szCs w:val="20"/>
          <w:color w:val="auto"/>
        </w:rPr>
      </w:pPr>
      <w:r>
        <w:rPr>
          <w:rFonts w:ascii="Arial" w:cs="Arial" w:eastAsia="Arial" w:hAnsi="Arial"/>
          <w:sz w:val="18"/>
          <w:szCs w:val="18"/>
          <w:color w:val="auto"/>
        </w:rPr>
        <w:t>The new standard provides several optional practical expedients in transition. The Company elected the package of three practical expedients permitted under the transition guidance, which eliminates the requirement to reassess whether a contract contains a lease and lease classification.</w:t>
      </w:r>
    </w:p>
    <w:p>
      <w:pPr>
        <w:spacing w:after="0" w:line="203" w:lineRule="exact"/>
        <w:rPr>
          <w:sz w:val="20"/>
          <w:szCs w:val="20"/>
          <w:color w:val="auto"/>
        </w:rPr>
      </w:pPr>
    </w:p>
    <w:p>
      <w:pPr>
        <w:ind w:right="40" w:firstLine="518"/>
        <w:spacing w:after="0" w:line="238" w:lineRule="auto"/>
        <w:rPr>
          <w:sz w:val="20"/>
          <w:szCs w:val="20"/>
          <w:color w:val="auto"/>
        </w:rPr>
      </w:pPr>
      <w:r>
        <w:rPr>
          <w:rFonts w:ascii="Arial" w:cs="Arial" w:eastAsia="Arial" w:hAnsi="Arial"/>
          <w:sz w:val="18"/>
          <w:szCs w:val="18"/>
          <w:color w:val="auto"/>
        </w:rPr>
        <w:t>The Company has also made accounting policy elections, including a short-term lease exception policy, permitting the Company to not apply the recognition requirements of this standard to short-term leases (i.e. leases with expected terms of 12 months or less), and an accounting policy to account for lease and certain non-lease components as a single component for certain classes of assets. The portfolio approach, which allows a lessee to account for its leases at a portfolio level, was elected for certain equipment leases in which the difference in accounting for each asset separately would not have been materially different from accounting for the assets as a combined unit.</w:t>
      </w:r>
    </w:p>
    <w:p>
      <w:pPr>
        <w:spacing w:after="0" w:line="203" w:lineRule="exact"/>
        <w:rPr>
          <w:sz w:val="20"/>
          <w:szCs w:val="20"/>
          <w:color w:val="auto"/>
        </w:rPr>
      </w:pPr>
    </w:p>
    <w:p>
      <w:pPr>
        <w:ind w:right="360" w:firstLine="518"/>
        <w:spacing w:after="0"/>
        <w:rPr>
          <w:sz w:val="20"/>
          <w:szCs w:val="20"/>
          <w:color w:val="auto"/>
        </w:rPr>
      </w:pPr>
      <w:r>
        <w:rPr>
          <w:rFonts w:ascii="Arial" w:cs="Arial" w:eastAsia="Arial" w:hAnsi="Arial"/>
          <w:sz w:val="18"/>
          <w:szCs w:val="18"/>
          <w:color w:val="auto"/>
        </w:rPr>
        <w:t>The Company has leases for office space, equipment, and data centers. The Company’s leases have remaining initial lease terms of less than one year to approximately six years, some of which include options to extend the leases for up to ten years, and some of which include options to terminate the leases within one year.</w:t>
      </w:r>
    </w:p>
    <w:p>
      <w:pPr>
        <w:spacing w:after="0" w:line="203" w:lineRule="exact"/>
        <w:rPr>
          <w:sz w:val="20"/>
          <w:szCs w:val="20"/>
          <w:color w:val="auto"/>
        </w:rPr>
      </w:pPr>
    </w:p>
    <w:p>
      <w:pPr>
        <w:ind w:right="60" w:firstLine="518"/>
        <w:spacing w:after="0" w:line="239" w:lineRule="auto"/>
        <w:rPr>
          <w:sz w:val="20"/>
          <w:szCs w:val="20"/>
          <w:color w:val="auto"/>
        </w:rPr>
      </w:pPr>
      <w:r>
        <w:rPr>
          <w:rFonts w:ascii="Arial" w:cs="Arial" w:eastAsia="Arial" w:hAnsi="Arial"/>
          <w:sz w:val="18"/>
          <w:szCs w:val="18"/>
          <w:color w:val="auto"/>
        </w:rPr>
        <w:t>The Company determines whether an arrangement is a lease, or contains a lease, at inception if the Company is both able to identify an asset and can conclude it has the right to control the identified asset for a period of time. Leases are included in operating lease ROU assets and operating lease liabilities on the Company’s consolidated balance sheets. Leases with an initial term of 12 months or less are not recorded on the consolidated balance sheet.</w:t>
      </w:r>
    </w:p>
    <w:p>
      <w:pPr>
        <w:spacing w:after="0" w:line="202" w:lineRule="exact"/>
        <w:rPr>
          <w:sz w:val="20"/>
          <w:szCs w:val="20"/>
          <w:color w:val="auto"/>
        </w:rPr>
      </w:pPr>
    </w:p>
    <w:p>
      <w:pPr>
        <w:ind w:right="160" w:firstLine="518"/>
        <w:spacing w:after="0" w:line="236" w:lineRule="auto"/>
        <w:rPr>
          <w:sz w:val="20"/>
          <w:szCs w:val="20"/>
          <w:color w:val="auto"/>
        </w:rPr>
      </w:pPr>
      <w:r>
        <w:rPr>
          <w:rFonts w:ascii="Arial" w:cs="Arial" w:eastAsia="Arial" w:hAnsi="Arial"/>
          <w:sz w:val="18"/>
          <w:szCs w:val="18"/>
          <w:color w:val="auto"/>
        </w:rPr>
        <w:t>ROU assets represent the Company’s right to control an underlying asset for the lease term, and lease liabilities represent the Company’s obligation to make lease payments arising from the lease. ROU assets and operating lease liabilities are recognized at commencement date based on the present value of lease payments over the lease term. As the Company’s leases do not provide an implicit rate, the Company used its incremental borrowing rate based on the information available at commencement date in determining the discount rate used to present value lease payments. The Company used the incremental borrowing rate on January 1, 2019 for operating leases that commenced on or prior to that date. The Company uses the incremental borrowing rate at the commencement date, or remeasurement date, for operating leases. The incremental borrowing rate used is estimated based on what the Company would be required to pay for a collateralized loan over a similar term. Additionally, the Company used the portfolio approach when applying the discount rate selected based on the dollar amount and term of the obligation. The Company’s leases typically do not include any residual value guarantees, bargain purchase options, or asset retirement obligations.</w:t>
      </w:r>
    </w:p>
    <w:p>
      <w:pPr>
        <w:spacing w:after="0" w:line="207" w:lineRule="exact"/>
        <w:rPr>
          <w:sz w:val="20"/>
          <w:szCs w:val="20"/>
          <w:color w:val="auto"/>
        </w:rPr>
      </w:pPr>
    </w:p>
    <w:p>
      <w:pPr>
        <w:ind w:right="180" w:firstLine="518"/>
        <w:spacing w:after="0" w:line="257" w:lineRule="auto"/>
        <w:rPr>
          <w:sz w:val="20"/>
          <w:szCs w:val="20"/>
          <w:color w:val="auto"/>
        </w:rPr>
      </w:pPr>
      <w:r>
        <w:rPr>
          <w:rFonts w:ascii="Arial" w:cs="Arial" w:eastAsia="Arial" w:hAnsi="Arial"/>
          <w:sz w:val="17"/>
          <w:szCs w:val="17"/>
          <w:color w:val="auto"/>
        </w:rPr>
        <w:t>The Company’s lease terms are only for periods in which it has enforceable rights. A lease is no longer enforceable when both the lessee and the lessor each have the right to terminate the lease without permission from the other party with no more than an insignificant penalty. The Company’s lease terms are impacted by options to extend or terminate the lease when it is reasonably certain that the Company will exercise that option. The Company generally uses the base, non-cancelable lease term when determining the lease assets and liabilities.</w:t>
      </w:r>
    </w:p>
    <w:p>
      <w:pPr>
        <w:spacing w:after="0" w:line="189" w:lineRule="exact"/>
        <w:rPr>
          <w:sz w:val="20"/>
          <w:szCs w:val="20"/>
          <w:color w:val="auto"/>
        </w:rPr>
      </w:pPr>
    </w:p>
    <w:p>
      <w:pPr>
        <w:ind w:right="40" w:firstLine="518"/>
        <w:spacing w:after="0" w:line="239" w:lineRule="auto"/>
        <w:rPr>
          <w:sz w:val="20"/>
          <w:szCs w:val="20"/>
          <w:color w:val="auto"/>
        </w:rPr>
      </w:pPr>
      <w:r>
        <w:rPr>
          <w:rFonts w:ascii="Arial" w:cs="Arial" w:eastAsia="Arial" w:hAnsi="Arial"/>
          <w:sz w:val="18"/>
          <w:szCs w:val="18"/>
          <w:color w:val="auto"/>
        </w:rPr>
        <w:t>The Company’s agreements may contain variable lease payments. The Company includes variable lease payments that depend on an index or a rate and excludes those which depend on facts or circumstances occurring after the commencement date, other than the passage of time. Additionally, for certain equipment leases, the Company applies a portfolio approach to effectively account for the operating lease ROU assets and operating lease liabilities.</w:t>
      </w:r>
    </w:p>
    <w:p>
      <w:pPr>
        <w:spacing w:after="0" w:line="202" w:lineRule="exact"/>
        <w:rPr>
          <w:sz w:val="20"/>
          <w:szCs w:val="20"/>
          <w:color w:val="auto"/>
        </w:rPr>
      </w:pPr>
    </w:p>
    <w:p>
      <w:pPr>
        <w:ind w:right="20" w:firstLine="518"/>
        <w:spacing w:after="0"/>
        <w:rPr>
          <w:sz w:val="20"/>
          <w:szCs w:val="20"/>
          <w:color w:val="auto"/>
        </w:rPr>
      </w:pPr>
      <w:r>
        <w:rPr>
          <w:rFonts w:ascii="Arial" w:cs="Arial" w:eastAsia="Arial" w:hAnsi="Arial"/>
          <w:sz w:val="18"/>
          <w:szCs w:val="18"/>
          <w:color w:val="auto"/>
        </w:rPr>
        <w:t>Judgment is required when determining whether any of the Company’s data center contracts contain a lease. The Company concluded a lease exists when the asset is specifically identifiable, substantially all the economic benefit of the asset is obtained, and the right to direct the use of the asset exists during the term of the lease.</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Redeemable non-controlling interest</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Company's Japanese subsidiary (“BlackLine K.K.”) is not wholly owned. The agreements with the minority investors of BlackLine</w:t>
      </w:r>
    </w:p>
    <w:p>
      <w:pPr>
        <w:ind w:firstLine="8"/>
        <w:spacing w:after="0" w:line="237" w:lineRule="auto"/>
        <w:tabs>
          <w:tab w:leader="none" w:pos="390" w:val="left"/>
        </w:tabs>
        <w:numPr>
          <w:ilvl w:val="0"/>
          <w:numId w:val="24"/>
        </w:numPr>
        <w:rPr>
          <w:rFonts w:ascii="Arial" w:cs="Arial" w:eastAsia="Arial" w:hAnsi="Arial"/>
          <w:sz w:val="18"/>
          <w:szCs w:val="18"/>
          <w:color w:val="auto"/>
        </w:rPr>
      </w:pPr>
      <w:r>
        <w:rPr>
          <w:rFonts w:ascii="Arial" w:cs="Arial" w:eastAsia="Arial" w:hAnsi="Arial"/>
          <w:sz w:val="18"/>
          <w:szCs w:val="18"/>
          <w:color w:val="auto"/>
        </w:rPr>
        <w:t>contain redemption features whereby the interest held by the minority investors are redeemable either (i) at the option of the minority investors or (ii) at the option of the Company, both beginning on the seventh anniversary of the initial capital contribution. If the interest of the minority investors were to be redeemed under these agreements, the Company would be required to redeem the interest based on a prescribed formula derived from the relative revenue of BlackLine K.K. and the Company. The balance of the redeemable non-controlling interest is reported at the greater of the initial carrying amount adjusted for the redeemable non-controlling interest's share of earnings or losses and other comprehensive income or loss, or its estimated redemption value. The resulting changes in the estimated redemption amount (increases or decreases) are recorded with corresponding adjustments against retained</w:t>
      </w: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272020"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571" w:right="239" w:bottom="1440" w:gutter="0" w:footer="0" w:header="0"/>
        </w:sectPr>
      </w:pPr>
    </w:p>
    <w:bookmarkStart w:id="66" w:name="page67"/>
    <w:bookmarkEnd w:id="66"/>
    <w:p>
      <w:pPr>
        <w:ind w:right="200"/>
        <w:spacing w:after="0" w:line="246" w:lineRule="auto"/>
        <w:rPr>
          <w:sz w:val="20"/>
          <w:szCs w:val="20"/>
          <w:color w:val="auto"/>
        </w:rPr>
      </w:pPr>
      <w:r>
        <w:rPr>
          <w:rFonts w:ascii="Arial" w:cs="Arial" w:eastAsia="Arial" w:hAnsi="Arial"/>
          <w:sz w:val="18"/>
          <w:szCs w:val="18"/>
          <w:color w:val="auto"/>
        </w:rPr>
        <w:t>earnings or, in the absence of retained earnings, additional paid-in-capital. These interests are presented on the consolidated balance sheets outside of equity under the caption "Redeemable non-controlling interest."</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Convertible Senior Notes</w:t>
      </w:r>
    </w:p>
    <w:p>
      <w:pPr>
        <w:spacing w:after="0" w:line="126" w:lineRule="exact"/>
        <w:rPr>
          <w:sz w:val="20"/>
          <w:szCs w:val="20"/>
          <w:color w:val="auto"/>
        </w:rPr>
      </w:pPr>
    </w:p>
    <w:p>
      <w:pPr>
        <w:ind w:right="140" w:firstLine="518"/>
        <w:spacing w:after="0" w:line="236" w:lineRule="auto"/>
        <w:rPr>
          <w:sz w:val="20"/>
          <w:szCs w:val="20"/>
          <w:color w:val="auto"/>
        </w:rPr>
      </w:pPr>
      <w:r>
        <w:rPr>
          <w:rFonts w:ascii="Arial" w:cs="Arial" w:eastAsia="Arial" w:hAnsi="Arial"/>
          <w:sz w:val="18"/>
          <w:szCs w:val="18"/>
          <w:color w:val="auto"/>
        </w:rPr>
        <w:t>The Company accounts for the issued Convertible Senior Notes (the “Notes”) as separate liability and equity components. The carrying amount of the liability component was calculated by measuring the fair value of a similar liability that does not have an associated convertible feature. The carrying amount of the equity component representing the difference between the proceeds and the fair value of a similar liability that does not have an associated convertible feature. This difference represents a debt discount that is amortized to interest expense over the term of the Notes using the effective interest rate method. The equity component is not remeasured as long as it continues to meet the conditions for equity classification. The Company has allocated issuance costs incurred to the liability and equity components. Issuance costs attributable to the liability component are being amortized to expense over the respective term of the Notes, and issuance costs attributable to the equity components were netted with the respective equity component in additional paid-in capital.</w:t>
      </w:r>
    </w:p>
    <w:p>
      <w:pPr>
        <w:spacing w:after="0" w:line="2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Use of estimates</w:t>
      </w:r>
    </w:p>
    <w:p>
      <w:pPr>
        <w:spacing w:after="0" w:line="126" w:lineRule="exact"/>
        <w:rPr>
          <w:sz w:val="20"/>
          <w:szCs w:val="20"/>
          <w:color w:val="auto"/>
        </w:rPr>
      </w:pPr>
    </w:p>
    <w:p>
      <w:pPr>
        <w:ind w:firstLine="518"/>
        <w:spacing w:after="0"/>
        <w:rPr>
          <w:sz w:val="20"/>
          <w:szCs w:val="20"/>
          <w:color w:val="auto"/>
        </w:rPr>
      </w:pPr>
      <w:r>
        <w:rPr>
          <w:rFonts w:ascii="Arial" w:cs="Arial" w:eastAsia="Arial" w:hAnsi="Arial"/>
          <w:sz w:val="18"/>
          <w:szCs w:val="18"/>
          <w:color w:val="auto"/>
        </w:rPr>
        <w:t>The preparation of consolidated financial statements in conformity with GAAP requires management to make estimates and assumptions that affect the reported amounts of assets and liabilities and the disclosure of contingent assets and liabilities at the dates of the consolidated financial statements, and the reported amounts of revenues and expenses during the reporting period.</w:t>
      </w:r>
    </w:p>
    <w:p>
      <w:pPr>
        <w:spacing w:after="0" w:line="203" w:lineRule="exact"/>
        <w:rPr>
          <w:sz w:val="20"/>
          <w:szCs w:val="20"/>
          <w:color w:val="auto"/>
        </w:rPr>
      </w:pPr>
    </w:p>
    <w:p>
      <w:pPr>
        <w:ind w:right="40" w:firstLine="518"/>
        <w:spacing w:after="0" w:line="237" w:lineRule="auto"/>
        <w:rPr>
          <w:sz w:val="20"/>
          <w:szCs w:val="20"/>
          <w:color w:val="auto"/>
        </w:rPr>
      </w:pPr>
      <w:r>
        <w:rPr>
          <w:rFonts w:ascii="Arial" w:cs="Arial" w:eastAsia="Arial" w:hAnsi="Arial"/>
          <w:sz w:val="18"/>
          <w:szCs w:val="18"/>
          <w:color w:val="auto"/>
        </w:rPr>
        <w:t>On an ongoing basis, management evaluates its estimates, primarily those related to determining the stand alone selling price (“SSP”) for separate deliverables in the Company’s subscription revenue arrangements, allowance for doubtful accounts, fair value of assets and liabilities assumed in a business combination, recoverability of goodwill and long-lived assets, useful lives associated with long-lived assets, income taxes, contingencies, fair value of contingent consideration, fair value of convertible senior notes, redemption value of redeemable non-controlling interest, and the valuation and assumptions underlying stock-based compensation and common stock warrants. These estimates are based on historical data and experience, as well as various other factors that management believes to be reasonable under the circumstances. Actual results could differ from those estimates.</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Segments</w:t>
      </w:r>
    </w:p>
    <w:p>
      <w:pPr>
        <w:spacing w:after="0" w:line="126" w:lineRule="exact"/>
        <w:rPr>
          <w:sz w:val="20"/>
          <w:szCs w:val="20"/>
          <w:color w:val="auto"/>
        </w:rPr>
      </w:pPr>
    </w:p>
    <w:p>
      <w:pPr>
        <w:ind w:firstLine="518"/>
        <w:spacing w:after="0"/>
        <w:rPr>
          <w:sz w:val="20"/>
          <w:szCs w:val="20"/>
          <w:color w:val="auto"/>
        </w:rPr>
      </w:pPr>
      <w:r>
        <w:rPr>
          <w:rFonts w:ascii="Arial" w:cs="Arial" w:eastAsia="Arial" w:hAnsi="Arial"/>
          <w:sz w:val="18"/>
          <w:szCs w:val="18"/>
          <w:color w:val="auto"/>
        </w:rPr>
        <w:t>Management has determined that the Company has one operating segment. The Company’s chief executive officer, who is the Company’s chief operating decision maker, reviews financial information on a consolidated and aggregate basis, together with certain operating metrics principally to make decisions about how to allocate resources and to measure the Company’s performance.</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and cash equivalents</w:t>
      </w:r>
    </w:p>
    <w:p>
      <w:pPr>
        <w:spacing w:after="0" w:line="126" w:lineRule="exact"/>
        <w:rPr>
          <w:sz w:val="20"/>
          <w:szCs w:val="20"/>
          <w:color w:val="auto"/>
        </w:rPr>
      </w:pPr>
    </w:p>
    <w:p>
      <w:pPr>
        <w:ind w:right="160" w:firstLine="518"/>
        <w:spacing w:after="0"/>
        <w:rPr>
          <w:sz w:val="20"/>
          <w:szCs w:val="20"/>
          <w:color w:val="auto"/>
        </w:rPr>
      </w:pPr>
      <w:r>
        <w:rPr>
          <w:rFonts w:ascii="Arial" w:cs="Arial" w:eastAsia="Arial" w:hAnsi="Arial"/>
          <w:sz w:val="18"/>
          <w:szCs w:val="18"/>
          <w:color w:val="auto"/>
        </w:rPr>
        <w:t>The Company considers all highly liquid investments with an original or remaining maturity of three months or less at the date of purchase to be cash equivalents. Cash includes cash held in checking and savings accounts. Cash equivalents are comprised of investments in money market mutual funds. The carrying value of cash and cash equivalents approximates fair value.</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Restricted cash</w:t>
      </w:r>
    </w:p>
    <w:p>
      <w:pPr>
        <w:spacing w:after="0" w:line="126" w:lineRule="exact"/>
        <w:rPr>
          <w:sz w:val="20"/>
          <w:szCs w:val="20"/>
          <w:color w:val="auto"/>
        </w:rPr>
      </w:pPr>
    </w:p>
    <w:p>
      <w:pPr>
        <w:ind w:right="260" w:firstLine="518"/>
        <w:spacing w:after="0" w:line="243" w:lineRule="auto"/>
        <w:rPr>
          <w:sz w:val="20"/>
          <w:szCs w:val="20"/>
          <w:color w:val="auto"/>
        </w:rPr>
      </w:pPr>
      <w:r>
        <w:rPr>
          <w:rFonts w:ascii="Arial" w:cs="Arial" w:eastAsia="Arial" w:hAnsi="Arial"/>
          <w:sz w:val="18"/>
          <w:szCs w:val="18"/>
          <w:color w:val="auto"/>
        </w:rPr>
        <w:t>Included in prepaid expenses and other current assets and other assets at December 31, 2019 and in other assets at December 31, 2018 was cash totaling $0.3 million, the vast majority of which was required to be restricted as to use by the Company’s office leaseholder to collateralize a standby letter of credit, the remainder was required to be restricted under the terms of the Company’s corporate credit card program.</w:t>
      </w:r>
    </w:p>
    <w:p>
      <w:pPr>
        <w:spacing w:after="0" w:line="2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272020"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463" w:right="239" w:bottom="1440" w:gutter="0" w:footer="0" w:header="0"/>
        </w:sectPr>
      </w:pPr>
    </w:p>
    <w:bookmarkStart w:id="67" w:name="page68"/>
    <w:bookmarkEnd w:id="67"/>
    <w:p>
      <w:pPr>
        <w:spacing w:after="0"/>
        <w:rPr>
          <w:sz w:val="20"/>
          <w:szCs w:val="20"/>
          <w:color w:val="auto"/>
        </w:rPr>
      </w:pPr>
      <w:r>
        <w:rPr>
          <w:rFonts w:ascii="Arial" w:cs="Arial" w:eastAsia="Arial" w:hAnsi="Arial"/>
          <w:sz w:val="18"/>
          <w:szCs w:val="18"/>
          <w:b w:val="1"/>
          <w:bCs w:val="1"/>
          <w:i w:val="1"/>
          <w:iCs w:val="1"/>
          <w:color w:val="auto"/>
        </w:rPr>
        <w:t>Investments in Marketable Securities</w:t>
      </w:r>
    </w:p>
    <w:p>
      <w:pPr>
        <w:spacing w:after="0" w:line="126" w:lineRule="exact"/>
        <w:rPr>
          <w:sz w:val="20"/>
          <w:szCs w:val="20"/>
          <w:color w:val="auto"/>
        </w:rPr>
      </w:pPr>
    </w:p>
    <w:p>
      <w:pPr>
        <w:ind w:right="160" w:firstLine="518"/>
        <w:spacing w:after="0" w:line="236" w:lineRule="auto"/>
        <w:rPr>
          <w:sz w:val="20"/>
          <w:szCs w:val="20"/>
          <w:color w:val="auto"/>
        </w:rPr>
      </w:pPr>
      <w:r>
        <w:rPr>
          <w:rFonts w:ascii="Arial" w:cs="Arial" w:eastAsia="Arial" w:hAnsi="Arial"/>
          <w:sz w:val="18"/>
          <w:szCs w:val="18"/>
          <w:color w:val="auto"/>
        </w:rPr>
        <w:t>The Company’s marketable securities consist of commercial paper, corporate bonds, and U.S. treasury securities. The Company classifies its marketable securities as available-for-sale at the time of purchase, and the Company reevaluates such classification at each balance sheet date. All marketable securities are recorded at their estimated fair value, with any unrealized gains and losses reported as a component of stockholders’ equity until realized or until a determination is made that an other-than-temporary decline in market value has occurred. Impairments are considered to be other than temporary if they are related to deterioration in credit risk or if it is likely the Company will sell the securities before the recovery of their cost basis. Realized gains and losses and declines in value deemed to be other than temporary are determined based on the specific identification method and are reported in other income (expense), net in the consolidated statements of operations.</w:t>
      </w:r>
    </w:p>
    <w:p>
      <w:pPr>
        <w:spacing w:after="0" w:line="208" w:lineRule="exact"/>
        <w:rPr>
          <w:sz w:val="20"/>
          <w:szCs w:val="20"/>
          <w:color w:val="auto"/>
        </w:rPr>
      </w:pPr>
    </w:p>
    <w:p>
      <w:pPr>
        <w:ind w:right="60" w:firstLine="518"/>
        <w:spacing w:after="0" w:line="246" w:lineRule="auto"/>
        <w:rPr>
          <w:sz w:val="20"/>
          <w:szCs w:val="20"/>
          <w:color w:val="auto"/>
        </w:rPr>
      </w:pPr>
      <w:r>
        <w:rPr>
          <w:rFonts w:ascii="Arial" w:cs="Arial" w:eastAsia="Arial" w:hAnsi="Arial"/>
          <w:sz w:val="18"/>
          <w:szCs w:val="18"/>
          <w:color w:val="auto"/>
        </w:rPr>
        <w:t>The Company classifies its investments in marketable securities in current assets as the investments are available for use, if needed, in current operations.</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Accounts receivable and allowance for doubtful accounts</w:t>
      </w:r>
    </w:p>
    <w:p>
      <w:pPr>
        <w:spacing w:after="0" w:line="126" w:lineRule="exact"/>
        <w:rPr>
          <w:sz w:val="20"/>
          <w:szCs w:val="20"/>
          <w:color w:val="auto"/>
        </w:rPr>
      </w:pPr>
    </w:p>
    <w:p>
      <w:pPr>
        <w:jc w:val="both"/>
        <w:ind w:firstLine="518"/>
        <w:spacing w:after="0"/>
        <w:rPr>
          <w:sz w:val="20"/>
          <w:szCs w:val="20"/>
          <w:color w:val="auto"/>
        </w:rPr>
      </w:pPr>
      <w:r>
        <w:rPr>
          <w:rFonts w:ascii="Arial" w:cs="Arial" w:eastAsia="Arial" w:hAnsi="Arial"/>
          <w:sz w:val="18"/>
          <w:szCs w:val="18"/>
          <w:color w:val="auto"/>
        </w:rPr>
        <w:t>Accounts receivable are recorded at the invoiced amount, do not require collateral and do not bear interest. The Company estimates its allowance for doubtful accounts by evaluating specific accounts where information indicates the Company’s customers may have an inability to meet financial obligations, such as bankruptcy and significantly aged receivables outstanding.</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Concentration of credit risk and significant customers</w:t>
      </w:r>
    </w:p>
    <w:p>
      <w:pPr>
        <w:spacing w:after="0" w:line="126" w:lineRule="exact"/>
        <w:rPr>
          <w:sz w:val="20"/>
          <w:szCs w:val="20"/>
          <w:color w:val="auto"/>
        </w:rPr>
      </w:pPr>
    </w:p>
    <w:p>
      <w:pPr>
        <w:ind w:right="800" w:firstLine="518"/>
        <w:spacing w:after="0" w:line="246" w:lineRule="auto"/>
        <w:rPr>
          <w:sz w:val="20"/>
          <w:szCs w:val="20"/>
          <w:color w:val="auto"/>
        </w:rPr>
      </w:pPr>
      <w:r>
        <w:rPr>
          <w:rFonts w:ascii="Arial" w:cs="Arial" w:eastAsia="Arial" w:hAnsi="Arial"/>
          <w:sz w:val="18"/>
          <w:szCs w:val="18"/>
          <w:color w:val="auto"/>
        </w:rPr>
        <w:t>Financial instruments that potentially subject the Company to a significant concentration of credit risk consist of cash and cash equivalents, investments in marketable securities and accounts receivable.</w:t>
      </w:r>
    </w:p>
    <w:p>
      <w:pPr>
        <w:spacing w:after="0" w:line="197" w:lineRule="exact"/>
        <w:rPr>
          <w:sz w:val="20"/>
          <w:szCs w:val="20"/>
          <w:color w:val="auto"/>
        </w:rPr>
      </w:pPr>
    </w:p>
    <w:p>
      <w:pPr>
        <w:ind w:right="100" w:firstLine="518"/>
        <w:spacing w:after="0" w:line="246" w:lineRule="auto"/>
        <w:rPr>
          <w:sz w:val="20"/>
          <w:szCs w:val="20"/>
          <w:color w:val="auto"/>
        </w:rPr>
      </w:pPr>
      <w:r>
        <w:rPr>
          <w:rFonts w:ascii="Arial" w:cs="Arial" w:eastAsia="Arial" w:hAnsi="Arial"/>
          <w:sz w:val="18"/>
          <w:szCs w:val="18"/>
          <w:color w:val="auto"/>
        </w:rPr>
        <w:t>The Company maintains the majority of its cash balances with one major commercial bank in interest bearing accounts, which exceeds the Federal Deposit Insurance Corporation, or FDIC, federally insured limits.</w:t>
      </w:r>
    </w:p>
    <w:p>
      <w:pPr>
        <w:spacing w:after="0" w:line="193"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Company invests its excess cash in money market mutual funds, commercial paper, corporate bonds, and U.S. treasury securities.</w:t>
      </w:r>
    </w:p>
    <w:p>
      <w:pPr>
        <w:spacing w:after="0"/>
        <w:rPr>
          <w:sz w:val="20"/>
          <w:szCs w:val="20"/>
          <w:color w:val="auto"/>
        </w:rPr>
      </w:pPr>
      <w:r>
        <w:rPr>
          <w:rFonts w:ascii="Arial" w:cs="Arial" w:eastAsia="Arial" w:hAnsi="Arial"/>
          <w:sz w:val="18"/>
          <w:szCs w:val="18"/>
          <w:color w:val="auto"/>
        </w:rPr>
        <w:t>To date, the Company has not experienced any impairment losses on its investments.</w:t>
      </w:r>
    </w:p>
    <w:p>
      <w:pPr>
        <w:spacing w:after="0" w:line="212" w:lineRule="exact"/>
        <w:rPr>
          <w:sz w:val="20"/>
          <w:szCs w:val="20"/>
          <w:color w:val="auto"/>
        </w:rPr>
      </w:pPr>
    </w:p>
    <w:p>
      <w:pPr>
        <w:ind w:left="520"/>
        <w:spacing w:after="0"/>
        <w:rPr>
          <w:sz w:val="20"/>
          <w:szCs w:val="20"/>
          <w:color w:val="auto"/>
        </w:rPr>
      </w:pPr>
      <w:r>
        <w:rPr>
          <w:rFonts w:ascii="Arial" w:cs="Arial" w:eastAsia="Arial" w:hAnsi="Arial"/>
          <w:sz w:val="17"/>
          <w:szCs w:val="17"/>
          <w:color w:val="auto"/>
        </w:rPr>
        <w:t>For the years ended December 31, 2019, 2018, and 2017, no single customer comprised 10% or more of the Company’s total revenues.</w:t>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color w:val="auto"/>
        </w:rPr>
        <w:t>No single customer had an accounts receivable balance of 10% or greater of total accounts receivable at December 31, 2019 or 2018.</w:t>
      </w:r>
    </w:p>
    <w:p>
      <w:pPr>
        <w:spacing w:after="0" w:line="29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Property and equipment</w:t>
      </w:r>
    </w:p>
    <w:p>
      <w:pPr>
        <w:spacing w:after="0" w:line="126" w:lineRule="exact"/>
        <w:rPr>
          <w:sz w:val="20"/>
          <w:szCs w:val="20"/>
          <w:color w:val="auto"/>
        </w:rPr>
      </w:pPr>
    </w:p>
    <w:p>
      <w:pPr>
        <w:ind w:right="200" w:firstLine="518"/>
        <w:spacing w:after="0" w:line="238" w:lineRule="auto"/>
        <w:rPr>
          <w:sz w:val="20"/>
          <w:szCs w:val="20"/>
          <w:color w:val="auto"/>
        </w:rPr>
      </w:pPr>
      <w:r>
        <w:rPr>
          <w:rFonts w:ascii="Arial" w:cs="Arial" w:eastAsia="Arial" w:hAnsi="Arial"/>
          <w:sz w:val="18"/>
          <w:szCs w:val="18"/>
          <w:color w:val="auto"/>
        </w:rPr>
        <w:t>Property and equipment is stated at cost less accumulated depreciation. Depreciation is computed using the straight-line method over the estimated useful lives of the assets, which is generally three to five years for machinery and equipment and purchased software and five years for furniture and fixtures. Leasehold improvements are amortized using the straight-line method over the shorter of the lease term or seven years. Expenditures for repairs and maintenance are expensed as incurred, while renewals and betterments are capitalized. Depreciation expense is charged to operations on a straight-line basis over the estimated useful lives of the assets.</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Capitalized internal-use software costs</w:t>
      </w:r>
    </w:p>
    <w:p>
      <w:pPr>
        <w:spacing w:after="0" w:line="126" w:lineRule="exact"/>
        <w:rPr>
          <w:sz w:val="20"/>
          <w:szCs w:val="20"/>
          <w:color w:val="auto"/>
        </w:rPr>
      </w:pPr>
    </w:p>
    <w:p>
      <w:pPr>
        <w:ind w:right="40" w:firstLine="518"/>
        <w:spacing w:after="0" w:line="236" w:lineRule="auto"/>
        <w:rPr>
          <w:sz w:val="20"/>
          <w:szCs w:val="20"/>
          <w:color w:val="auto"/>
        </w:rPr>
      </w:pPr>
      <w:r>
        <w:rPr>
          <w:rFonts w:ascii="Arial" w:cs="Arial" w:eastAsia="Arial" w:hAnsi="Arial"/>
          <w:sz w:val="18"/>
          <w:szCs w:val="18"/>
          <w:color w:val="auto"/>
        </w:rPr>
        <w:t xml:space="preserve">The Company accounts for the costs of computer software obtained or developed for internal use in accordance with ASC 350, </w:t>
      </w:r>
      <w:r>
        <w:rPr>
          <w:rFonts w:ascii="Arial" w:cs="Arial" w:eastAsia="Arial" w:hAnsi="Arial"/>
          <w:sz w:val="18"/>
          <w:szCs w:val="18"/>
          <w:i w:val="1"/>
          <w:iCs w:val="1"/>
          <w:color w:val="auto"/>
        </w:rPr>
        <w:t xml:space="preserve">Intangibles—Goodwill and Other </w:t>
      </w:r>
      <w:r>
        <w:rPr>
          <w:rFonts w:ascii="Arial" w:cs="Arial" w:eastAsia="Arial" w:hAnsi="Arial"/>
          <w:sz w:val="18"/>
          <w:szCs w:val="18"/>
          <w:color w:val="auto"/>
        </w:rPr>
        <w:t>(“ASC 350”). The Company capitalizes certain costs in the development of its Software as a Service (“SaaS”)</w:t>
      </w:r>
      <w:r>
        <w:rPr>
          <w:rFonts w:ascii="Arial" w:cs="Arial" w:eastAsia="Arial" w:hAnsi="Arial"/>
          <w:sz w:val="18"/>
          <w:szCs w:val="18"/>
          <w:i w:val="1"/>
          <w:iCs w:val="1"/>
          <w:color w:val="auto"/>
        </w:rPr>
        <w:t xml:space="preserve"> </w:t>
      </w:r>
      <w:r>
        <w:rPr>
          <w:rFonts w:ascii="Arial" w:cs="Arial" w:eastAsia="Arial" w:hAnsi="Arial"/>
          <w:sz w:val="18"/>
          <w:szCs w:val="18"/>
          <w:color w:val="auto"/>
        </w:rPr>
        <w:t>subscription solution when (i) the preliminary project stage is completed, (ii) management has authorized further funding for the completion of the project and (iii) it is probable that the project will be completed and performed as intended. These capitalized costs include personnel and related expenses for employees and costs of third-party contractors who are directly associated with and who devote time to internal-use software projects. Capitalization of these costs ceases once the project is substantially complete and the software is ready for its intended purpose. Costs incurred for significant upgrades and enhancements to the Company’s SaaS software solutions are also capitalized. Costs incurred for training, maintenance and minor modifications or enhancements are expensed as incurred. Capitalized software development costs are amortized using the straight-line method over an estimated useful life of three years.</w:t>
      </w:r>
    </w:p>
    <w:p>
      <w:pPr>
        <w:spacing w:after="0" w:line="20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272020"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360"/>
          </w:cols>
          <w:pgMar w:left="240" w:top="657" w:right="299" w:bottom="1440" w:gutter="0" w:footer="0" w:header="0"/>
        </w:sectPr>
      </w:pPr>
    </w:p>
    <w:bookmarkStart w:id="68" w:name="page69"/>
    <w:bookmarkEnd w:id="68"/>
    <w:p>
      <w:pPr>
        <w:ind w:right="300" w:firstLine="518"/>
        <w:spacing w:after="0"/>
        <w:rPr>
          <w:sz w:val="20"/>
          <w:szCs w:val="20"/>
          <w:color w:val="auto"/>
        </w:rPr>
      </w:pPr>
      <w:r>
        <w:rPr>
          <w:rFonts w:ascii="Arial" w:cs="Arial" w:eastAsia="Arial" w:hAnsi="Arial"/>
          <w:sz w:val="18"/>
          <w:szCs w:val="18"/>
          <w:color w:val="auto"/>
        </w:rPr>
        <w:t>During the years ended December 31, 2019, 2018, and 2017, the Company amortized $4.7 million, $3.9 million, and $2.7 million, respectively, of internal-use software development costs to subscription and support cost of revenues. At December 31, 2019 and 2018, the accumulated amortization of capitalized internal-use software development costs was $14.3 million and $9.5 million, respectively.</w:t>
      </w:r>
    </w:p>
    <w:p>
      <w:pPr>
        <w:spacing w:after="0" w:line="203" w:lineRule="exact"/>
        <w:rPr>
          <w:sz w:val="20"/>
          <w:szCs w:val="20"/>
          <w:color w:val="auto"/>
        </w:rPr>
      </w:pPr>
    </w:p>
    <w:p>
      <w:pPr>
        <w:jc w:val="both"/>
        <w:ind w:right="280" w:firstLine="518"/>
        <w:spacing w:after="0"/>
        <w:rPr>
          <w:sz w:val="20"/>
          <w:szCs w:val="20"/>
          <w:color w:val="auto"/>
        </w:rPr>
      </w:pPr>
      <w:r>
        <w:rPr>
          <w:rFonts w:ascii="Arial" w:cs="Arial" w:eastAsia="Arial" w:hAnsi="Arial"/>
          <w:sz w:val="18"/>
          <w:szCs w:val="18"/>
          <w:color w:val="auto"/>
        </w:rPr>
        <w:t>The Company capitalizes certain implementation costs incurred in a hosting arrangement that is a service contract. These capitalized costs exclude training costs, project management costs, and data migration costs. Capitalized software implementation costs are amortized using the straight-line method over the terms of the associated hosting arrangements.</w:t>
      </w:r>
    </w:p>
    <w:p>
      <w:pPr>
        <w:spacing w:after="0" w:line="203" w:lineRule="exact"/>
        <w:rPr>
          <w:sz w:val="20"/>
          <w:szCs w:val="20"/>
          <w:color w:val="auto"/>
        </w:rPr>
      </w:pPr>
    </w:p>
    <w:p>
      <w:pPr>
        <w:jc w:val="both"/>
        <w:ind w:right="140" w:firstLine="518"/>
        <w:spacing w:after="0"/>
        <w:rPr>
          <w:sz w:val="20"/>
          <w:szCs w:val="20"/>
          <w:color w:val="auto"/>
        </w:rPr>
      </w:pPr>
      <w:r>
        <w:rPr>
          <w:rFonts w:ascii="Arial" w:cs="Arial" w:eastAsia="Arial" w:hAnsi="Arial"/>
          <w:sz w:val="18"/>
          <w:szCs w:val="18"/>
          <w:color w:val="auto"/>
        </w:rPr>
        <w:t>Amortization of internal-use software implementation costs to subscription and support costs of revenues was not material for the year ended December 31, 2019. During the years ended December 31, 2018 and 2017, the Company had no amortization of internal-use software implementation costs.</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Intangible assets</w:t>
      </w:r>
    </w:p>
    <w:p>
      <w:pPr>
        <w:spacing w:after="0" w:line="126" w:lineRule="exact"/>
        <w:rPr>
          <w:sz w:val="20"/>
          <w:szCs w:val="20"/>
          <w:color w:val="auto"/>
        </w:rPr>
      </w:pPr>
    </w:p>
    <w:p>
      <w:pPr>
        <w:ind w:right="120" w:firstLine="518"/>
        <w:spacing w:after="0" w:line="239" w:lineRule="auto"/>
        <w:rPr>
          <w:sz w:val="20"/>
          <w:szCs w:val="20"/>
          <w:color w:val="auto"/>
        </w:rPr>
      </w:pPr>
      <w:r>
        <w:rPr>
          <w:rFonts w:ascii="Arial" w:cs="Arial" w:eastAsia="Arial" w:hAnsi="Arial"/>
          <w:sz w:val="18"/>
          <w:szCs w:val="18"/>
          <w:color w:val="auto"/>
        </w:rPr>
        <w:t>Intangible assets primarily consist of acquired developed technology, customer relationships, and trade names, which were acquired as part of the 2013 Acquisition and the Runbook Acquisition. The Company determines the appropriate useful life of its intangible assets by performing an analysis of expected cash flows of the acquired assets. Intangible assets are amortized on a straight-line basis over their estimated useful lives, ranging from one to ten years.</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Impairment of long-lived assets</w:t>
      </w:r>
    </w:p>
    <w:p>
      <w:pPr>
        <w:spacing w:after="0" w:line="126" w:lineRule="exact"/>
        <w:rPr>
          <w:sz w:val="20"/>
          <w:szCs w:val="20"/>
          <w:color w:val="auto"/>
        </w:rPr>
      </w:pPr>
    </w:p>
    <w:p>
      <w:pPr>
        <w:ind w:right="80" w:firstLine="518"/>
        <w:spacing w:after="0" w:line="236" w:lineRule="auto"/>
        <w:rPr>
          <w:sz w:val="20"/>
          <w:szCs w:val="20"/>
          <w:color w:val="auto"/>
        </w:rPr>
      </w:pPr>
      <w:r>
        <w:rPr>
          <w:rFonts w:ascii="Arial" w:cs="Arial" w:eastAsia="Arial" w:hAnsi="Arial"/>
          <w:sz w:val="18"/>
          <w:szCs w:val="18"/>
          <w:color w:val="auto"/>
        </w:rPr>
        <w:t>Management evaluates the recoverability of the Company’s property and equipment, finite-lived intangible assets and capitalized internal-software costs when events or changes in circumstances indicate a potential impairment exists. Events and changes in circumstances considered by the Company in determining whether the carrying value of long-lived assets may not be recoverable include, but are not limited to, significant changes in performance relative to expected operating results, significant changes in the use of the assets, significant negative industry or economic trends, and changes in the Company’s business strategy. Impairment testing is performed at an asset level that represents the lowest level for which identifiable cash flows are largely independent of the cash flows of other assets and liabilities (an “asset group”). In determining if impairment exists, the Company estimates the undiscounted cash flows to be generated from the use and ultimate disposition of the asset group. If impairment is indicated based on a comparison of the assets’ carrying values and the undiscounted cash flows, the impairment loss is measured as the amount by which the carrying amount of the assets exceeds the fair value of the assets. The Company determined that there were no events or changes in circumstances that potentially indicated that the Company’s long-lived assets were impaired during the years ended December 31, 2019, 2018, and 2017.</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Goodwill</w:t>
      </w:r>
    </w:p>
    <w:p>
      <w:pPr>
        <w:spacing w:after="0" w:line="126" w:lineRule="exact"/>
        <w:rPr>
          <w:sz w:val="20"/>
          <w:szCs w:val="20"/>
          <w:color w:val="auto"/>
        </w:rPr>
      </w:pPr>
    </w:p>
    <w:p>
      <w:pPr>
        <w:ind w:firstLine="518"/>
        <w:spacing w:after="0" w:line="237" w:lineRule="auto"/>
        <w:rPr>
          <w:sz w:val="20"/>
          <w:szCs w:val="20"/>
          <w:color w:val="auto"/>
        </w:rPr>
      </w:pPr>
      <w:r>
        <w:rPr>
          <w:rFonts w:ascii="Arial" w:cs="Arial" w:eastAsia="Arial" w:hAnsi="Arial"/>
          <w:sz w:val="18"/>
          <w:szCs w:val="18"/>
          <w:color w:val="auto"/>
        </w:rPr>
        <w:t xml:space="preserve">Goodwill represents the excess of the purchase price over the fair value of net assets acquired in a business combination. The Company tests goodwill for impairment in accordance with the provisions of Accounting Standards Codification (“ASC”) 350, </w:t>
      </w:r>
      <w:r>
        <w:rPr>
          <w:rFonts w:ascii="Arial" w:cs="Arial" w:eastAsia="Arial" w:hAnsi="Arial"/>
          <w:sz w:val="18"/>
          <w:szCs w:val="18"/>
          <w:i w:val="1"/>
          <w:iCs w:val="1"/>
          <w:color w:val="auto"/>
        </w:rPr>
        <w:t>Intangibles—Goodwill and</w:t>
      </w:r>
      <w:r>
        <w:rPr>
          <w:rFonts w:ascii="Arial" w:cs="Arial" w:eastAsia="Arial" w:hAnsi="Arial"/>
          <w:sz w:val="18"/>
          <w:szCs w:val="18"/>
          <w:color w:val="auto"/>
        </w:rPr>
        <w:t xml:space="preserve"> </w:t>
      </w:r>
      <w:r>
        <w:rPr>
          <w:rFonts w:ascii="Arial" w:cs="Arial" w:eastAsia="Arial" w:hAnsi="Arial"/>
          <w:sz w:val="18"/>
          <w:szCs w:val="18"/>
          <w:i w:val="1"/>
          <w:iCs w:val="1"/>
          <w:color w:val="auto"/>
        </w:rPr>
        <w:t>Other</w:t>
      </w:r>
      <w:r>
        <w:rPr>
          <w:rFonts w:ascii="Arial" w:cs="Arial" w:eastAsia="Arial" w:hAnsi="Arial"/>
          <w:sz w:val="18"/>
          <w:szCs w:val="18"/>
          <w:color w:val="auto"/>
        </w:rPr>
        <w:t>. Goodwill is tested for impairment at least annually at the reporting unit level or whenever events or changes in circumstances indicate</w:t>
      </w:r>
      <w:r>
        <w:rPr>
          <w:rFonts w:ascii="Arial" w:cs="Arial" w:eastAsia="Arial" w:hAnsi="Arial"/>
          <w:sz w:val="18"/>
          <w:szCs w:val="18"/>
          <w:i w:val="1"/>
          <w:iCs w:val="1"/>
          <w:color w:val="auto"/>
        </w:rPr>
        <w:t xml:space="preserve"> </w:t>
      </w:r>
      <w:r>
        <w:rPr>
          <w:rFonts w:ascii="Arial" w:cs="Arial" w:eastAsia="Arial" w:hAnsi="Arial"/>
          <w:sz w:val="18"/>
          <w:szCs w:val="18"/>
          <w:color w:val="auto"/>
        </w:rPr>
        <w:t>that goodwill might be impaired. Events or changes in circumstances which could trigger an impairment review include a significant adverse change in legal factors or in the business climate, unanticipated competition, loss of key personnel, significant changes in the use of the acquired assets or the Company’s strategy, significant negative industry or economic trends, or significant underperformance relative to expected historical or projected future results of operations.</w:t>
      </w:r>
    </w:p>
    <w:p>
      <w:pPr>
        <w:spacing w:after="0" w:line="203" w:lineRule="exact"/>
        <w:rPr>
          <w:sz w:val="20"/>
          <w:szCs w:val="20"/>
          <w:color w:val="auto"/>
        </w:rPr>
      </w:pPr>
    </w:p>
    <w:p>
      <w:pPr>
        <w:ind w:right="40" w:firstLine="518"/>
        <w:spacing w:after="0" w:line="238" w:lineRule="auto"/>
        <w:rPr>
          <w:sz w:val="20"/>
          <w:szCs w:val="20"/>
          <w:color w:val="auto"/>
        </w:rPr>
      </w:pPr>
      <w:r>
        <w:rPr>
          <w:rFonts w:ascii="Arial" w:cs="Arial" w:eastAsia="Arial" w:hAnsi="Arial"/>
          <w:sz w:val="18"/>
          <w:szCs w:val="18"/>
          <w:color w:val="auto"/>
        </w:rPr>
        <w:t>ASC 350 provides that an entity has the option to first assess qualitative factors to determine whether the existence of events or circumstances leads to a determination that it is more likely than not that the fair value of a reporting unit is less than its carrying amount. If, after assessing the totality of events or circumstances, an entity determines it is not more likely than not that the fair value of a reporting unit is less than its carrying amount, then additional impairment testing is not required. However, if an entity concludes otherwise, then it is required to perform the first of a two-step impairment test.</w:t>
      </w:r>
    </w:p>
    <w:p>
      <w:pPr>
        <w:spacing w:after="0" w:line="203" w:lineRule="exact"/>
        <w:rPr>
          <w:sz w:val="20"/>
          <w:szCs w:val="20"/>
          <w:color w:val="auto"/>
        </w:rPr>
      </w:pPr>
    </w:p>
    <w:p>
      <w:pPr>
        <w:ind w:right="160" w:firstLine="518"/>
        <w:spacing w:after="0" w:line="239" w:lineRule="auto"/>
        <w:rPr>
          <w:sz w:val="20"/>
          <w:szCs w:val="20"/>
          <w:color w:val="auto"/>
        </w:rPr>
      </w:pPr>
      <w:r>
        <w:rPr>
          <w:rFonts w:ascii="Arial" w:cs="Arial" w:eastAsia="Arial" w:hAnsi="Arial"/>
          <w:sz w:val="18"/>
          <w:szCs w:val="18"/>
          <w:color w:val="auto"/>
        </w:rPr>
        <w:t>The first step involves comparing the estimated fair value of a reporting unit with its book value, including goodwill. If the estimated fair value exceeds book value, goodwill is considered not to be impaired and no additional steps are necessary. If, however, the fair value of the reporting unit is less than book value, then, under the second step, the carrying amount of the goodwill is compared with its implied fair value. The estimate of implied fair value of goodwill may</w:t>
      </w:r>
    </w:p>
    <w:p>
      <w:pPr>
        <w:spacing w:after="0" w:line="2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272020"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00"/>
          </w:cols>
          <w:pgMar w:left="240" w:top="571" w:right="259" w:bottom="1440" w:gutter="0" w:footer="0" w:header="0"/>
        </w:sectPr>
      </w:pPr>
    </w:p>
    <w:bookmarkStart w:id="69" w:name="page70"/>
    <w:bookmarkEnd w:id="69"/>
    <w:p>
      <w:pPr>
        <w:spacing w:after="0" w:line="246" w:lineRule="auto"/>
        <w:rPr>
          <w:sz w:val="20"/>
          <w:szCs w:val="20"/>
          <w:color w:val="auto"/>
        </w:rPr>
      </w:pPr>
      <w:r>
        <w:rPr>
          <w:rFonts w:ascii="Arial" w:cs="Arial" w:eastAsia="Arial" w:hAnsi="Arial"/>
          <w:sz w:val="18"/>
          <w:szCs w:val="18"/>
          <w:color w:val="auto"/>
        </w:rPr>
        <w:t>require valuations of certain internally-generated and unrecognized intangible assets. If the carrying amount of goodwill exceeds the implied fair value of that goodwill, an impairment loss is recognized in an amount equal to the excess.</w:t>
      </w:r>
    </w:p>
    <w:p>
      <w:pPr>
        <w:spacing w:after="0" w:line="197" w:lineRule="exact"/>
        <w:rPr>
          <w:sz w:val="20"/>
          <w:szCs w:val="20"/>
          <w:color w:val="auto"/>
        </w:rPr>
      </w:pPr>
    </w:p>
    <w:p>
      <w:pPr>
        <w:ind w:right="20" w:firstLine="518"/>
        <w:spacing w:after="0"/>
        <w:rPr>
          <w:sz w:val="20"/>
          <w:szCs w:val="20"/>
          <w:color w:val="auto"/>
        </w:rPr>
      </w:pPr>
      <w:r>
        <w:rPr>
          <w:rFonts w:ascii="Arial" w:cs="Arial" w:eastAsia="Arial" w:hAnsi="Arial"/>
          <w:sz w:val="18"/>
          <w:szCs w:val="18"/>
          <w:color w:val="auto"/>
        </w:rPr>
        <w:t>The Company has one reporting unit and it tests its goodwill for impairment annually, during the fourth quarter of the calendar year. At December 31, 2019 and 2018, the Company used the quantitative approach to perform its annual goodwill impairment test. The Company’s fair value significantly exceeded the carrying value of its net assets and, accordingly, goodwill was not impaired.</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Fair value of financial instruments</w:t>
      </w:r>
    </w:p>
    <w:p>
      <w:pPr>
        <w:spacing w:after="0" w:line="108" w:lineRule="exact"/>
        <w:rPr>
          <w:sz w:val="20"/>
          <w:szCs w:val="20"/>
          <w:color w:val="auto"/>
        </w:rPr>
      </w:pPr>
    </w:p>
    <w:p>
      <w:pPr>
        <w:ind w:right="160" w:firstLine="518"/>
        <w:spacing w:after="0" w:line="245" w:lineRule="auto"/>
        <w:rPr>
          <w:sz w:val="20"/>
          <w:szCs w:val="20"/>
          <w:color w:val="auto"/>
        </w:rPr>
      </w:pPr>
      <w:r>
        <w:rPr>
          <w:rFonts w:ascii="Arial" w:cs="Arial" w:eastAsia="Arial" w:hAnsi="Arial"/>
          <w:sz w:val="18"/>
          <w:szCs w:val="18"/>
          <w:color w:val="auto"/>
        </w:rPr>
        <w:t xml:space="preserve">ASC 820, </w:t>
      </w:r>
      <w:r>
        <w:rPr>
          <w:rFonts w:ascii="Arial" w:cs="Arial" w:eastAsia="Arial" w:hAnsi="Arial"/>
          <w:sz w:val="18"/>
          <w:szCs w:val="18"/>
          <w:i w:val="1"/>
          <w:iCs w:val="1"/>
          <w:color w:val="auto"/>
        </w:rPr>
        <w:t>Fair Value Measurement,</w:t>
      </w:r>
      <w:r>
        <w:rPr>
          <w:rFonts w:ascii="Arial" w:cs="Arial" w:eastAsia="Arial" w:hAnsi="Arial"/>
          <w:sz w:val="18"/>
          <w:szCs w:val="18"/>
          <w:color w:val="auto"/>
        </w:rPr>
        <w:t xml:space="preserve"> requires entities to disclose the fair value of financial instruments, both assets and liabilities recognized and not recognized on the balance sheet, for which it is practicable to estimate fair value. Fair value is defined as the exchange price that would be received for an asset or paid to transfer a liability (an exit price) in the principal or most advantageous market for the asset or liability in an orderly transaction between market participants on the measurement date.</w:t>
      </w:r>
    </w:p>
    <w:p>
      <w:pPr>
        <w:spacing w:after="0" w:line="199" w:lineRule="exact"/>
        <w:rPr>
          <w:sz w:val="20"/>
          <w:szCs w:val="20"/>
          <w:color w:val="auto"/>
        </w:rPr>
      </w:pPr>
    </w:p>
    <w:p>
      <w:pPr>
        <w:ind w:right="200" w:firstLine="518"/>
        <w:spacing w:after="0"/>
        <w:rPr>
          <w:sz w:val="20"/>
          <w:szCs w:val="20"/>
          <w:color w:val="auto"/>
        </w:rPr>
      </w:pPr>
      <w:r>
        <w:rPr>
          <w:rFonts w:ascii="Arial" w:cs="Arial" w:eastAsia="Arial" w:hAnsi="Arial"/>
          <w:sz w:val="18"/>
          <w:szCs w:val="18"/>
          <w:color w:val="auto"/>
        </w:rPr>
        <w:t>Valuation techniques used to measure fair value must maximize the use of observable inputs and minimize the use of unobservable inputs. ASC 820 describes a fair value hierarchy based on three levels of inputs, of which the first two are considered observable and the last unobservable, that may be used to measure fair value, which are the following:</w:t>
      </w:r>
    </w:p>
    <w:p>
      <w:pPr>
        <w:spacing w:after="0" w:line="73" w:lineRule="exact"/>
        <w:rPr>
          <w:sz w:val="20"/>
          <w:szCs w:val="20"/>
          <w:color w:val="auto"/>
        </w:rPr>
      </w:pPr>
    </w:p>
    <w:p>
      <w:pPr>
        <w:ind w:left="520"/>
        <w:spacing w:after="0"/>
        <w:tabs>
          <w:tab w:leader="none" w:pos="1520" w:val="left"/>
        </w:tabs>
        <w:rPr>
          <w:sz w:val="20"/>
          <w:szCs w:val="20"/>
          <w:color w:val="auto"/>
        </w:rPr>
      </w:pPr>
      <w:r>
        <w:rPr>
          <w:rFonts w:ascii="Arial" w:cs="Arial" w:eastAsia="Arial" w:hAnsi="Arial"/>
          <w:sz w:val="18"/>
          <w:szCs w:val="18"/>
          <w:b w:val="1"/>
          <w:bCs w:val="1"/>
          <w:color w:val="auto"/>
        </w:rPr>
        <w:t>Level 1:</w:t>
      </w:r>
      <w:r>
        <w:rPr>
          <w:sz w:val="20"/>
          <w:szCs w:val="20"/>
          <w:color w:val="auto"/>
        </w:rPr>
        <w:tab/>
      </w:r>
      <w:r>
        <w:rPr>
          <w:rFonts w:ascii="Arial" w:cs="Arial" w:eastAsia="Arial" w:hAnsi="Arial"/>
          <w:sz w:val="18"/>
          <w:szCs w:val="18"/>
          <w:color w:val="auto"/>
        </w:rPr>
        <w:t>Quoted prices in active markets for identical or similar assets and liabilities.</w:t>
      </w:r>
    </w:p>
    <w:p>
      <w:pPr>
        <w:spacing w:after="0" w:line="104" w:lineRule="exact"/>
        <w:rPr>
          <w:sz w:val="20"/>
          <w:szCs w:val="20"/>
          <w:color w:val="auto"/>
        </w:rPr>
      </w:pPr>
    </w:p>
    <w:p>
      <w:pPr>
        <w:ind w:left="1540" w:right="460" w:hanging="1025"/>
        <w:spacing w:after="0" w:line="246" w:lineRule="auto"/>
        <w:tabs>
          <w:tab w:leader="none" w:pos="1520" w:val="left"/>
        </w:tabs>
        <w:rPr>
          <w:sz w:val="20"/>
          <w:szCs w:val="20"/>
          <w:color w:val="auto"/>
        </w:rPr>
      </w:pPr>
      <w:r>
        <w:rPr>
          <w:rFonts w:ascii="Arial" w:cs="Arial" w:eastAsia="Arial" w:hAnsi="Arial"/>
          <w:sz w:val="18"/>
          <w:szCs w:val="18"/>
          <w:b w:val="1"/>
          <w:bCs w:val="1"/>
          <w:color w:val="auto"/>
        </w:rPr>
        <w:t>Level 2:</w:t>
      </w:r>
      <w:r>
        <w:rPr>
          <w:sz w:val="20"/>
          <w:szCs w:val="20"/>
          <w:color w:val="auto"/>
        </w:rPr>
        <w:tab/>
      </w:r>
      <w:r>
        <w:rPr>
          <w:rFonts w:ascii="Arial" w:cs="Arial" w:eastAsia="Arial" w:hAnsi="Arial"/>
          <w:sz w:val="18"/>
          <w:szCs w:val="18"/>
          <w:color w:val="auto"/>
        </w:rPr>
        <w:t>Quoted prices for identical or similar assets and liabilities in markets that are not active or observable inputs other than quoted prices in active markets for identical or similar assets or liabilities.</w:t>
      </w:r>
    </w:p>
    <w:p>
      <w:pPr>
        <w:spacing w:after="0" w:line="89" w:lineRule="exact"/>
        <w:rPr>
          <w:sz w:val="20"/>
          <w:szCs w:val="20"/>
          <w:color w:val="auto"/>
        </w:rPr>
      </w:pPr>
    </w:p>
    <w:p>
      <w:pPr>
        <w:ind w:left="1540" w:right="20" w:hanging="1025"/>
        <w:spacing w:after="0" w:line="246" w:lineRule="auto"/>
        <w:tabs>
          <w:tab w:leader="none" w:pos="1520" w:val="left"/>
        </w:tabs>
        <w:rPr>
          <w:sz w:val="20"/>
          <w:szCs w:val="20"/>
          <w:color w:val="auto"/>
        </w:rPr>
      </w:pPr>
      <w:r>
        <w:rPr>
          <w:rFonts w:ascii="Arial" w:cs="Arial" w:eastAsia="Arial" w:hAnsi="Arial"/>
          <w:sz w:val="18"/>
          <w:szCs w:val="18"/>
          <w:b w:val="1"/>
          <w:bCs w:val="1"/>
          <w:color w:val="auto"/>
        </w:rPr>
        <w:t>Level 3:</w:t>
      </w:r>
      <w:r>
        <w:rPr>
          <w:sz w:val="20"/>
          <w:szCs w:val="20"/>
          <w:color w:val="auto"/>
        </w:rPr>
        <w:tab/>
      </w:r>
      <w:r>
        <w:rPr>
          <w:rFonts w:ascii="Arial" w:cs="Arial" w:eastAsia="Arial" w:hAnsi="Arial"/>
          <w:sz w:val="18"/>
          <w:szCs w:val="18"/>
          <w:color w:val="auto"/>
        </w:rPr>
        <w:t>Unobservable inputs that are supported by little or no market activity and that are significant to the fair value of the assets or liabilities.</w:t>
      </w:r>
    </w:p>
    <w:p>
      <w:pPr>
        <w:spacing w:after="0" w:line="219" w:lineRule="exact"/>
        <w:rPr>
          <w:sz w:val="20"/>
          <w:szCs w:val="20"/>
          <w:color w:val="auto"/>
        </w:rPr>
      </w:pPr>
    </w:p>
    <w:p>
      <w:pPr>
        <w:ind w:right="800" w:firstLine="518"/>
        <w:spacing w:after="0" w:line="246" w:lineRule="auto"/>
        <w:rPr>
          <w:sz w:val="20"/>
          <w:szCs w:val="20"/>
          <w:color w:val="auto"/>
        </w:rPr>
      </w:pPr>
      <w:r>
        <w:rPr>
          <w:rFonts w:ascii="Arial" w:cs="Arial" w:eastAsia="Arial" w:hAnsi="Arial"/>
          <w:sz w:val="18"/>
          <w:szCs w:val="18"/>
          <w:color w:val="auto"/>
        </w:rPr>
        <w:t>At December 31, 2019 and 2018, the carrying values of cash equivalents, accounts receivable, accounts payable, and accrued expenses, approximate fair values due to the short-term nature of such instruments.</w:t>
      </w:r>
    </w:p>
    <w:p>
      <w:pPr>
        <w:spacing w:after="0" w:line="197" w:lineRule="exact"/>
        <w:rPr>
          <w:sz w:val="20"/>
          <w:szCs w:val="20"/>
          <w:color w:val="auto"/>
        </w:rPr>
      </w:pPr>
    </w:p>
    <w:p>
      <w:pPr>
        <w:ind w:right="40" w:firstLine="518"/>
        <w:spacing w:after="0" w:line="236" w:lineRule="auto"/>
        <w:rPr>
          <w:sz w:val="20"/>
          <w:szCs w:val="20"/>
          <w:color w:val="auto"/>
        </w:rPr>
      </w:pPr>
      <w:r>
        <w:rPr>
          <w:rFonts w:ascii="Arial" w:cs="Arial" w:eastAsia="Arial" w:hAnsi="Arial"/>
          <w:sz w:val="18"/>
          <w:szCs w:val="18"/>
          <w:color w:val="auto"/>
        </w:rPr>
        <w:t>Contingent consideration relating to the 2013 Acquisition (see Note 13) is recorded as a liability and is measured at fair value each period, based on significant inputs not observable in the market, which represents a Level 3 measurement within the fair value hierarchy. The valuation of contingent consideration uses assumptions management believes would be made by a market participant. Management assesses these estimates on an ongoing basis as additional data impacting the assumptions becomes available. Changes in the fair value of contingent consideration related to updated assumptions and estimates are recognized within general and administrative expenses in the consolidated statements of operations. The Company determined the fair value of the contingent consideration by discounting estimated future taxable income. The significant inputs used in the fair value measurement of contingent consideration are the timing and amount of taxable income in any given period and determining an appropriate discount rate, which considers the risk associated with the forecasted taxable income. Significant changes in the estimated future taxable income and the periods in which they are generated would significantly impact the fair value of the contingent consideration liability.</w:t>
      </w:r>
    </w:p>
    <w:p>
      <w:pPr>
        <w:spacing w:after="0" w:line="207" w:lineRule="exact"/>
        <w:rPr>
          <w:sz w:val="20"/>
          <w:szCs w:val="20"/>
          <w:color w:val="auto"/>
        </w:rPr>
      </w:pPr>
    </w:p>
    <w:p>
      <w:pPr>
        <w:ind w:right="280" w:firstLine="518"/>
        <w:spacing w:after="0"/>
        <w:rPr>
          <w:sz w:val="20"/>
          <w:szCs w:val="20"/>
          <w:color w:val="auto"/>
        </w:rPr>
      </w:pPr>
      <w:r>
        <w:rPr>
          <w:rFonts w:ascii="Arial" w:cs="Arial" w:eastAsia="Arial" w:hAnsi="Arial"/>
          <w:sz w:val="18"/>
          <w:szCs w:val="18"/>
          <w:color w:val="auto"/>
        </w:rPr>
        <w:t>Certain assets, including goodwill and long-lived assets, are also subject to measurement at fair value on a non-recurring basis if they are deemed to be impaired as a result of an impairment review. For the years ended December 31, 2019, 2018, and 2017, no impairments were identified on those assets required to be measured at fair value on a non-recurring basis.</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126" w:lineRule="exact"/>
        <w:rPr>
          <w:sz w:val="20"/>
          <w:szCs w:val="20"/>
          <w:color w:val="auto"/>
        </w:rPr>
      </w:pPr>
    </w:p>
    <w:p>
      <w:pPr>
        <w:ind w:right="20" w:firstLine="518"/>
        <w:spacing w:after="0" w:line="238" w:lineRule="auto"/>
        <w:rPr>
          <w:sz w:val="20"/>
          <w:szCs w:val="20"/>
          <w:color w:val="auto"/>
        </w:rPr>
      </w:pPr>
      <w:r>
        <w:rPr>
          <w:rFonts w:ascii="Arial" w:cs="Arial" w:eastAsia="Arial" w:hAnsi="Arial"/>
          <w:sz w:val="18"/>
          <w:szCs w:val="18"/>
          <w:color w:val="auto"/>
        </w:rPr>
        <w:t>Revenue is recognized upon transfer of control of promised products or services to customers in an amount that reflects the consideration the Company expects to receive in exchange for those products or services. The Company enters into contracts that can include various combinations of subscription and support services and professional services, which are generally capable of being distinct and accounted for as separate performance obligations. The Company’s agreements do not contain any refund provisions other than in the event of the Company’s non-performance or breach.</w:t>
      </w: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272020"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571" w:right="239" w:bottom="1440" w:gutter="0" w:footer="0" w:header="0"/>
        </w:sectPr>
      </w:pPr>
    </w:p>
    <w:bookmarkStart w:id="70" w:name="page71"/>
    <w:bookmarkEnd w:id="70"/>
    <w:p>
      <w:pPr>
        <w:ind w:left="520"/>
        <w:spacing w:after="0"/>
        <w:rPr>
          <w:sz w:val="20"/>
          <w:szCs w:val="20"/>
          <w:color w:val="auto"/>
        </w:rPr>
      </w:pPr>
      <w:r>
        <w:rPr>
          <w:rFonts w:ascii="Arial" w:cs="Arial" w:eastAsia="Arial" w:hAnsi="Arial"/>
          <w:sz w:val="18"/>
          <w:szCs w:val="18"/>
          <w:color w:val="auto"/>
        </w:rPr>
        <w:t>The Company determines revenue recognition through the following steps:</w:t>
      </w:r>
    </w:p>
    <w:p>
      <w:pPr>
        <w:spacing w:after="0" w:line="104" w:lineRule="exact"/>
        <w:rPr>
          <w:sz w:val="20"/>
          <w:szCs w:val="20"/>
          <w:color w:val="auto"/>
        </w:rPr>
      </w:pPr>
    </w:p>
    <w:p>
      <w:pPr>
        <w:ind w:left="1040" w:hanging="519"/>
        <w:spacing w:after="0"/>
        <w:tabs>
          <w:tab w:leader="none" w:pos="10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Identification of the contract, or contracts, with a customer</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Identification of the performance obligations in the contract</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Determination of the transaction price</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Allocation of the transaction price to the performance obligations in the contract</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Recognition of revenue when, or as, the Company satisfies a performance obligation</w:t>
      </w:r>
    </w:p>
    <w:p>
      <w:pPr>
        <w:spacing w:after="0" w:line="203" w:lineRule="exact"/>
        <w:rPr>
          <w:sz w:val="20"/>
          <w:szCs w:val="20"/>
          <w:color w:val="auto"/>
        </w:rPr>
      </w:pPr>
    </w:p>
    <w:p>
      <w:pPr>
        <w:ind w:right="160" w:firstLine="518"/>
        <w:spacing w:after="0" w:line="244" w:lineRule="auto"/>
        <w:rPr>
          <w:sz w:val="20"/>
          <w:szCs w:val="20"/>
          <w:color w:val="auto"/>
        </w:rPr>
      </w:pPr>
      <w:r>
        <w:rPr>
          <w:rFonts w:ascii="Arial" w:cs="Arial" w:eastAsia="Arial" w:hAnsi="Arial"/>
          <w:sz w:val="18"/>
          <w:szCs w:val="18"/>
          <w:b w:val="1"/>
          <w:bCs w:val="1"/>
          <w:i w:val="1"/>
          <w:iCs w:val="1"/>
          <w:color w:val="auto"/>
        </w:rPr>
        <w:t xml:space="preserve">Subscription and support revenue </w:t>
      </w:r>
      <w:r>
        <w:rPr>
          <w:rFonts w:ascii="Arial" w:cs="Arial" w:eastAsia="Arial" w:hAnsi="Arial"/>
          <w:sz w:val="18"/>
          <w:szCs w:val="18"/>
          <w:color w:val="auto"/>
        </w:rPr>
        <w:t>– Customers pay subscription and support fees for access to the Company’s SaaS platform</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generally for a one-year period. In more limited cases, customers may pay for up to three years in advance. Fees are based on a number of factors, including the solutions subscribed for by the customer and the number of users having access to the solutions. Subscription services, which allow customers to use hosted software over the contract period without taking possession of the software, are considered distinct performance obligations and are recognized ratably as the Company transfers control evenly over the contract period.</w:t>
      </w:r>
    </w:p>
    <w:p>
      <w:pPr>
        <w:spacing w:after="0" w:line="199" w:lineRule="exact"/>
        <w:rPr>
          <w:sz w:val="20"/>
          <w:szCs w:val="20"/>
          <w:color w:val="auto"/>
        </w:rPr>
      </w:pPr>
    </w:p>
    <w:p>
      <w:pPr>
        <w:ind w:firstLine="518"/>
        <w:spacing w:after="0" w:line="238" w:lineRule="auto"/>
        <w:rPr>
          <w:sz w:val="20"/>
          <w:szCs w:val="20"/>
          <w:color w:val="auto"/>
        </w:rPr>
      </w:pPr>
      <w:r>
        <w:rPr>
          <w:rFonts w:ascii="Arial" w:cs="Arial" w:eastAsia="Arial" w:hAnsi="Arial"/>
          <w:sz w:val="18"/>
          <w:szCs w:val="18"/>
          <w:color w:val="auto"/>
        </w:rPr>
        <w:t>Subscription and support revenue also includes software and related maintenance and support fees on legacy BlackLine solutions and Runbook Company B.V. (“Runbook”) software. Software licenses for legacy BlackLine solutions and Runbook software provide the customer with a right to use the software as it exists when made available to the customer. Customers may have purchased perpetual licenses or term based licenses, which provide customers with the same functionality and differ mainly in the duration over which the customer benefits from the software.</w:t>
      </w:r>
    </w:p>
    <w:p>
      <w:pPr>
        <w:spacing w:after="0" w:line="203" w:lineRule="exact"/>
        <w:rPr>
          <w:sz w:val="20"/>
          <w:szCs w:val="20"/>
          <w:color w:val="auto"/>
        </w:rPr>
      </w:pPr>
    </w:p>
    <w:p>
      <w:pPr>
        <w:ind w:firstLine="518"/>
        <w:spacing w:after="0" w:line="237" w:lineRule="auto"/>
        <w:rPr>
          <w:sz w:val="20"/>
          <w:szCs w:val="20"/>
          <w:color w:val="auto"/>
        </w:rPr>
      </w:pPr>
      <w:r>
        <w:rPr>
          <w:rFonts w:ascii="Arial" w:cs="Arial" w:eastAsia="Arial" w:hAnsi="Arial"/>
          <w:sz w:val="18"/>
          <w:szCs w:val="18"/>
          <w:color w:val="auto"/>
        </w:rPr>
        <w:t>Software licenses are bundled with software maintenance and support, and the transaction price of the contract is allocated between the software licenses and the software maintenance and support. Maintenance and support convey rights to new software and upgrades released over the contract period and provide support, tools, and training to help customers deploy and use products more efficiently. Software licenses are considered distinct performance obligations and revenue is recognized at a point in time when control of the license has transferred and the license period commences. Maintenance and support are distinct performance obligations that are satisfied over time, and revenue is recognized ratably over the contract period as customers simultaneously consume and receive benefits.</w:t>
      </w:r>
    </w:p>
    <w:p>
      <w:pPr>
        <w:spacing w:after="0" w:line="183" w:lineRule="exact"/>
        <w:rPr>
          <w:sz w:val="20"/>
          <w:szCs w:val="20"/>
          <w:color w:val="auto"/>
        </w:rPr>
      </w:pPr>
    </w:p>
    <w:p>
      <w:pPr>
        <w:ind w:right="140" w:firstLine="518"/>
        <w:spacing w:after="0" w:line="247" w:lineRule="auto"/>
        <w:rPr>
          <w:sz w:val="20"/>
          <w:szCs w:val="20"/>
          <w:color w:val="auto"/>
        </w:rPr>
      </w:pPr>
      <w:r>
        <w:rPr>
          <w:rFonts w:ascii="Arial" w:cs="Arial" w:eastAsia="Arial" w:hAnsi="Arial"/>
          <w:sz w:val="18"/>
          <w:szCs w:val="18"/>
          <w:b w:val="1"/>
          <w:bCs w:val="1"/>
          <w:i w:val="1"/>
          <w:iCs w:val="1"/>
          <w:color w:val="auto"/>
        </w:rPr>
        <w:t xml:space="preserve">Professional services revenue </w:t>
      </w:r>
      <w:r>
        <w:rPr>
          <w:rFonts w:ascii="Arial" w:cs="Arial" w:eastAsia="Arial" w:hAnsi="Arial"/>
          <w:sz w:val="18"/>
          <w:szCs w:val="18"/>
          <w:color w:val="auto"/>
        </w:rPr>
        <w:t>– Professional services consist of implementation and consulting services to assist the Company’s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customers as they deploy its solutions. These services are considered distinct performance obligations. Professional services do not result in significant customization of the subscription service. The Company applies the practical expedient to recognize professional services revenue when it has the right to invoice based on time and materials incurred.</w:t>
      </w:r>
    </w:p>
    <w:p>
      <w:pPr>
        <w:spacing w:after="0" w:line="174" w:lineRule="exact"/>
        <w:rPr>
          <w:sz w:val="20"/>
          <w:szCs w:val="20"/>
          <w:color w:val="auto"/>
        </w:rPr>
      </w:pPr>
    </w:p>
    <w:p>
      <w:pPr>
        <w:ind w:firstLine="518"/>
        <w:spacing w:after="0" w:line="239" w:lineRule="auto"/>
        <w:rPr>
          <w:sz w:val="20"/>
          <w:szCs w:val="20"/>
          <w:color w:val="auto"/>
        </w:rPr>
      </w:pPr>
      <w:r>
        <w:rPr>
          <w:rFonts w:ascii="Arial" w:cs="Arial" w:eastAsia="Arial" w:hAnsi="Arial"/>
          <w:sz w:val="18"/>
          <w:szCs w:val="18"/>
          <w:b w:val="1"/>
          <w:bCs w:val="1"/>
          <w:i w:val="1"/>
          <w:iCs w:val="1"/>
          <w:color w:val="auto"/>
        </w:rPr>
        <w:t xml:space="preserve">Significant judgments </w:t>
      </w:r>
      <w:r>
        <w:rPr>
          <w:rFonts w:ascii="Arial" w:cs="Arial" w:eastAsia="Arial" w:hAnsi="Arial"/>
          <w:sz w:val="18"/>
          <w:szCs w:val="18"/>
          <w:color w:val="auto"/>
        </w:rPr>
        <w:t>– The Company’s contracts with customers often include promises to transfer multiple products and services.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Determining whether products and services are considered distinct performance obligations that should be accounted for separately versus together may require significant judgment. Judgment is also required to determine the SSP for each distinct performance obligation. The Company typically has more than one SSP for its SaaS solutions and professional services. Additionally, management has determined that there are no third-party offerings reasonably comparable to the Company’s solutions. Therefore, the Company determines the SSPs of subscriptions to the SaaS solutions and professional services based on numerous factors including the Company’s overall pricing objectives, geography, customer size and number of users, and discounting practices. The Company uses historical maintenance renewal fees to estimate SSP for maintenance and support fees bundled with software licenses. The Company uses the residual method to estimate SSP of software licenses, because license pricing is highly variable and not sold separately from maintenance and support.</w:t>
      </w:r>
    </w:p>
    <w:p>
      <w:pPr>
        <w:spacing w:after="0" w:line="184" w:lineRule="exact"/>
        <w:rPr>
          <w:sz w:val="20"/>
          <w:szCs w:val="20"/>
          <w:color w:val="auto"/>
        </w:rPr>
      </w:pPr>
    </w:p>
    <w:p>
      <w:pPr>
        <w:ind w:right="100" w:firstLine="518"/>
        <w:spacing w:after="0" w:line="244" w:lineRule="auto"/>
        <w:rPr>
          <w:sz w:val="20"/>
          <w:szCs w:val="20"/>
          <w:color w:val="auto"/>
        </w:rPr>
      </w:pPr>
      <w:r>
        <w:rPr>
          <w:rFonts w:ascii="Arial" w:cs="Arial" w:eastAsia="Arial" w:hAnsi="Arial"/>
          <w:sz w:val="18"/>
          <w:szCs w:val="18"/>
          <w:b w:val="1"/>
          <w:bCs w:val="1"/>
          <w:i w:val="1"/>
          <w:iCs w:val="1"/>
          <w:color w:val="auto"/>
        </w:rPr>
        <w:t xml:space="preserve">Contract balances </w:t>
      </w:r>
      <w:r>
        <w:rPr>
          <w:rFonts w:ascii="Arial" w:cs="Arial" w:eastAsia="Arial" w:hAnsi="Arial"/>
          <w:sz w:val="18"/>
          <w:szCs w:val="18"/>
          <w:color w:val="auto"/>
        </w:rPr>
        <w:t>– Timing of revenue recognition may differ from the timing of invoicing to customers. The Company records an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unbilled receivable when revenue is recognized prior to invoicing, and deferred revenue when revenue is recognized subsequent to invoicing. The Company generally invoices customers annually at the beginning of each annual contract period. The Company records a receivable related to revenue recognized for multi-year agreements as it has an unconditional right to invoice and receive payment in the future related to those services.</w:t>
      </w:r>
    </w:p>
    <w:p>
      <w:pPr>
        <w:spacing w:after="0" w:line="194" w:lineRule="exact"/>
        <w:rPr>
          <w:sz w:val="20"/>
          <w:szCs w:val="20"/>
          <w:color w:val="auto"/>
        </w:rPr>
      </w:pPr>
    </w:p>
    <w:p>
      <w:pPr>
        <w:ind w:left="520"/>
        <w:spacing w:after="0"/>
        <w:rPr>
          <w:sz w:val="20"/>
          <w:szCs w:val="20"/>
          <w:color w:val="auto"/>
        </w:rPr>
      </w:pPr>
      <w:r>
        <w:rPr>
          <w:rFonts w:ascii="Arial" w:cs="Arial" w:eastAsia="Arial" w:hAnsi="Arial"/>
          <w:sz w:val="18"/>
          <w:szCs w:val="18"/>
          <w:color w:val="auto"/>
        </w:rPr>
        <w:t>Deferred revenue is comprised mainly of billings related to the Company’s SaaS solutions in advance of revenue being recognized.</w:t>
      </w:r>
    </w:p>
    <w:p>
      <w:pPr>
        <w:spacing w:after="0" w:line="234" w:lineRule="auto"/>
        <w:rPr>
          <w:sz w:val="20"/>
          <w:szCs w:val="20"/>
          <w:color w:val="auto"/>
        </w:rPr>
      </w:pPr>
      <w:r>
        <w:rPr>
          <w:rFonts w:ascii="Arial" w:cs="Arial" w:eastAsia="Arial" w:hAnsi="Arial"/>
          <w:sz w:val="18"/>
          <w:szCs w:val="18"/>
          <w:color w:val="auto"/>
        </w:rPr>
        <w:t>Deferred revenue also includes payments for: professional services to be performed in the future; legacy BlackLine maintenance and support;</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Runbook maintenance, support, license, and implementation; and other</w:t>
      </w:r>
    </w:p>
    <w:p>
      <w:pPr>
        <w:spacing w:after="0" w:line="21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272020" cy="425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00"/>
          </w:cols>
          <w:pgMar w:left="240" w:top="571" w:right="259" w:bottom="1440" w:gutter="0" w:footer="0" w:header="0"/>
        </w:sectPr>
      </w:pPr>
    </w:p>
    <w:bookmarkStart w:id="71" w:name="page72"/>
    <w:bookmarkEnd w:id="71"/>
    <w:p>
      <w:pPr>
        <w:ind w:right="580"/>
        <w:spacing w:after="0" w:line="246" w:lineRule="auto"/>
        <w:rPr>
          <w:sz w:val="20"/>
          <w:szCs w:val="20"/>
          <w:color w:val="auto"/>
        </w:rPr>
      </w:pPr>
      <w:r>
        <w:rPr>
          <w:rFonts w:ascii="Arial" w:cs="Arial" w:eastAsia="Arial" w:hAnsi="Arial"/>
          <w:sz w:val="18"/>
          <w:szCs w:val="18"/>
          <w:color w:val="auto"/>
        </w:rPr>
        <w:t>offerings for which the Company has been paid in advance and earns the revenue when the Company transfers control of the product or service.</w:t>
      </w:r>
    </w:p>
    <w:p>
      <w:pPr>
        <w:spacing w:after="0" w:line="197" w:lineRule="exact"/>
        <w:rPr>
          <w:sz w:val="20"/>
          <w:szCs w:val="20"/>
          <w:color w:val="auto"/>
        </w:rPr>
      </w:pPr>
    </w:p>
    <w:p>
      <w:pPr>
        <w:ind w:right="140" w:firstLine="518"/>
        <w:spacing w:after="0"/>
        <w:rPr>
          <w:sz w:val="20"/>
          <w:szCs w:val="20"/>
          <w:color w:val="auto"/>
        </w:rPr>
      </w:pPr>
      <w:r>
        <w:rPr>
          <w:rFonts w:ascii="Arial" w:cs="Arial" w:eastAsia="Arial" w:hAnsi="Arial"/>
          <w:sz w:val="18"/>
          <w:szCs w:val="18"/>
          <w:color w:val="auto"/>
        </w:rPr>
        <w:t>Changes in deferred revenue for the years ended December 31, 2019, 2018, and 2017 were primarily due to additional billings in the periods, partially offset by revenue recognized of $129.3 million, $104.2 million, and $78.2 million, respectively, that was previously included in the deferred revenue balance at December 31, 2018, 2017, and 2016, respectively.</w:t>
      </w:r>
    </w:p>
    <w:p>
      <w:pPr>
        <w:spacing w:after="0" w:line="203" w:lineRule="exact"/>
        <w:rPr>
          <w:sz w:val="20"/>
          <w:szCs w:val="20"/>
          <w:color w:val="auto"/>
        </w:rPr>
      </w:pPr>
    </w:p>
    <w:p>
      <w:pPr>
        <w:ind w:right="180" w:firstLine="518"/>
        <w:spacing w:after="0" w:line="238" w:lineRule="auto"/>
        <w:rPr>
          <w:sz w:val="20"/>
          <w:szCs w:val="20"/>
          <w:color w:val="auto"/>
        </w:rPr>
      </w:pPr>
      <w:r>
        <w:rPr>
          <w:rFonts w:ascii="Arial" w:cs="Arial" w:eastAsia="Arial" w:hAnsi="Arial"/>
          <w:sz w:val="18"/>
          <w:szCs w:val="18"/>
          <w:color w:val="auto"/>
        </w:rPr>
        <w:t>The transaction price is generally determined by the stated fixed fees in the contract, excluding any related sales taxes. Transaction price allocated to remaining performance obligations represents contracted revenue that has not yet been recognized (“contracted not recognized”), which includes deferred revenue and amounts that will be invoiced and recognized as revenue in future periods. Contracted not recognized revenue was $366.9 million at December 31, 2019, of which the Company expects to recognize approximately 60% over the next 12 months and the remainder thereafter.</w:t>
      </w:r>
    </w:p>
    <w:p>
      <w:pPr>
        <w:spacing w:after="0" w:line="203" w:lineRule="exact"/>
        <w:rPr>
          <w:sz w:val="20"/>
          <w:szCs w:val="20"/>
          <w:color w:val="auto"/>
        </w:rPr>
      </w:pPr>
    </w:p>
    <w:p>
      <w:pPr>
        <w:ind w:right="400" w:firstLine="518"/>
        <w:spacing w:after="0" w:line="246" w:lineRule="auto"/>
        <w:rPr>
          <w:sz w:val="20"/>
          <w:szCs w:val="20"/>
          <w:color w:val="auto"/>
        </w:rPr>
      </w:pPr>
      <w:r>
        <w:rPr>
          <w:rFonts w:ascii="Arial" w:cs="Arial" w:eastAsia="Arial" w:hAnsi="Arial"/>
          <w:sz w:val="18"/>
          <w:szCs w:val="18"/>
          <w:color w:val="auto"/>
        </w:rPr>
        <w:t>Fees are generally due and payable upon receipt of invoice or within 30 days. None of the Company’s contracts include a significant financing component.</w:t>
      </w:r>
    </w:p>
    <w:p>
      <w:pPr>
        <w:spacing w:after="0" w:line="175" w:lineRule="exact"/>
        <w:rPr>
          <w:sz w:val="20"/>
          <w:szCs w:val="20"/>
          <w:color w:val="auto"/>
        </w:rPr>
      </w:pPr>
    </w:p>
    <w:p>
      <w:pPr>
        <w:ind w:firstLine="518"/>
        <w:spacing w:after="0" w:line="239" w:lineRule="auto"/>
        <w:rPr>
          <w:sz w:val="20"/>
          <w:szCs w:val="20"/>
          <w:color w:val="auto"/>
        </w:rPr>
      </w:pPr>
      <w:r>
        <w:rPr>
          <w:rFonts w:ascii="Arial" w:cs="Arial" w:eastAsia="Arial" w:hAnsi="Arial"/>
          <w:sz w:val="18"/>
          <w:szCs w:val="18"/>
          <w:b w:val="1"/>
          <w:bCs w:val="1"/>
          <w:i w:val="1"/>
          <w:iCs w:val="1"/>
          <w:color w:val="auto"/>
        </w:rPr>
        <w:t xml:space="preserve">Assets recognized from the costs to obtain a contract with a customer </w:t>
      </w:r>
      <w:r>
        <w:rPr>
          <w:rFonts w:ascii="Arial" w:cs="Arial" w:eastAsia="Arial" w:hAnsi="Arial"/>
          <w:sz w:val="18"/>
          <w:szCs w:val="18"/>
          <w:color w:val="auto"/>
        </w:rPr>
        <w:t>– The Company recognizes an asset for the incremental and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recoverable costs of obtaining a contract with a customer if the Company expects the benefit of those costs to be one year or longer. The Company has determined that certain sales incentive programs to the Company’s employees ("deferred customer contract acquisition costs") and its partners ("partner referral fees") meet the requirements to be capitalized. Deferred customer acquisition costs related to new revenue contracts and upsells are deferred and then amortized on a straight-line basis over the expected period of benefit, which the Company has determined to be five years, based upon both the product turnover rate and estimated customer life. Partner referral fees are deferred and then amortized on a straight-line basis over the related contractual period, as the fees for renewals are commensurate with fees incurred for the initial contract. Deferred customer acquisition costs and partner referral fees are included within other assets and prepaid expenses and other current assets, respectively, on the consolidated balance sheets. There were no impairment losses in relation to the costs capitalized for the periods presented.</w:t>
      </w:r>
    </w:p>
    <w:p>
      <w:pPr>
        <w:spacing w:after="0" w:line="203" w:lineRule="exact"/>
        <w:rPr>
          <w:sz w:val="20"/>
          <w:szCs w:val="20"/>
          <w:color w:val="auto"/>
        </w:rPr>
      </w:pPr>
    </w:p>
    <w:p>
      <w:pPr>
        <w:ind w:right="280" w:firstLine="518"/>
        <w:spacing w:after="0"/>
        <w:rPr>
          <w:sz w:val="20"/>
          <w:szCs w:val="20"/>
          <w:color w:val="auto"/>
        </w:rPr>
      </w:pPr>
      <w:r>
        <w:rPr>
          <w:rFonts w:ascii="Arial" w:cs="Arial" w:eastAsia="Arial" w:hAnsi="Arial"/>
          <w:sz w:val="18"/>
          <w:szCs w:val="18"/>
          <w:color w:val="auto"/>
        </w:rPr>
        <w:t>Amortization expense related to the asset recognized from the costs to obtain a contract with a customer is included in sales and marketing expenses in the consolidated statements of operations and was $18.1 million, $23.6 million, and $15.6 million for the years ended December 31, 2019, 2018, and 2017, respectively.</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Cost of revenues</w:t>
      </w:r>
    </w:p>
    <w:p>
      <w:pPr>
        <w:spacing w:after="0" w:line="126" w:lineRule="exact"/>
        <w:rPr>
          <w:sz w:val="20"/>
          <w:szCs w:val="20"/>
          <w:color w:val="auto"/>
        </w:rPr>
      </w:pPr>
    </w:p>
    <w:p>
      <w:pPr>
        <w:ind w:right="60" w:firstLine="518"/>
        <w:spacing w:after="0" w:line="238" w:lineRule="auto"/>
        <w:rPr>
          <w:sz w:val="20"/>
          <w:szCs w:val="20"/>
          <w:color w:val="auto"/>
        </w:rPr>
      </w:pPr>
      <w:r>
        <w:rPr>
          <w:rFonts w:ascii="Arial" w:cs="Arial" w:eastAsia="Arial" w:hAnsi="Arial"/>
          <w:sz w:val="18"/>
          <w:szCs w:val="18"/>
          <w:color w:val="auto"/>
        </w:rPr>
        <w:t>Cost of revenues primarily consists of costs related to hosting the Company’s cloud -based application suite, salaries and benefits of operations and support personnel, including stock-based compensation, and amortization of capitalized internal-use software costs. The Company allocates a portion of overhead, such as rent, information technology costs and depreciation and amortization to cost of revenues. Costs associated with providing professional services are expensed as incurred when the services are performed. In addition, subscription and support cost of revenues includes amortization of acquired developed technology.</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Sales and marketing</w:t>
      </w:r>
    </w:p>
    <w:p>
      <w:pPr>
        <w:spacing w:after="0" w:line="126" w:lineRule="exact"/>
        <w:rPr>
          <w:sz w:val="20"/>
          <w:szCs w:val="20"/>
          <w:color w:val="auto"/>
        </w:rPr>
      </w:pPr>
    </w:p>
    <w:p>
      <w:pPr>
        <w:ind w:right="140" w:firstLine="518"/>
        <w:spacing w:after="0" w:line="238" w:lineRule="auto"/>
        <w:rPr>
          <w:sz w:val="20"/>
          <w:szCs w:val="20"/>
          <w:color w:val="auto"/>
        </w:rPr>
      </w:pPr>
      <w:r>
        <w:rPr>
          <w:rFonts w:ascii="Arial" w:cs="Arial" w:eastAsia="Arial" w:hAnsi="Arial"/>
          <w:sz w:val="18"/>
          <w:szCs w:val="18"/>
          <w:color w:val="auto"/>
        </w:rPr>
        <w:t>Sales and marketing expenses consist primarily of compensation and employee benefits, including stock-based compensation, of sales and marketing personnel and related sales support teams, sales and partner commissions, marketing events, advertising costs, travel, trade shows, other marketing materials, and allocated overhead. Sales and marketing expenses also include amortization of customer relationship intangible assets. Advertising costs are expensed as incurred and totaled $10.9 million, $8.0 million, and $7.7 million for the years ended December 31, 2019, 2018, and 2017, respectively.</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Research and development</w:t>
      </w:r>
    </w:p>
    <w:p>
      <w:pPr>
        <w:spacing w:after="0" w:line="126" w:lineRule="exact"/>
        <w:rPr>
          <w:sz w:val="20"/>
          <w:szCs w:val="20"/>
          <w:color w:val="auto"/>
        </w:rPr>
      </w:pPr>
    </w:p>
    <w:p>
      <w:pPr>
        <w:ind w:right="140" w:firstLine="518"/>
        <w:spacing w:after="0" w:line="239" w:lineRule="auto"/>
        <w:rPr>
          <w:sz w:val="20"/>
          <w:szCs w:val="20"/>
          <w:color w:val="auto"/>
        </w:rPr>
      </w:pPr>
      <w:r>
        <w:rPr>
          <w:rFonts w:ascii="Arial" w:cs="Arial" w:eastAsia="Arial" w:hAnsi="Arial"/>
          <w:sz w:val="18"/>
          <w:szCs w:val="18"/>
          <w:color w:val="auto"/>
        </w:rPr>
        <w:t>Research and development expenses are comprised primarily of salaries, benefits and stock-based compensation associated with the Company’s engineering, product and quality assurance personnel. Research and development expenses also include third-party contractors and supplies and allocated overhead. Other than software development costs that qualify for capitalization, as discussed above, research and development costs are expensed as incurred.</w:t>
      </w: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272020" cy="425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571" w:right="239" w:bottom="1440" w:gutter="0" w:footer="0" w:header="0"/>
        </w:sectPr>
      </w:pPr>
    </w:p>
    <w:bookmarkStart w:id="72" w:name="page73"/>
    <w:bookmarkEnd w:id="72"/>
    <w:p>
      <w:pPr>
        <w:spacing w:after="0"/>
        <w:rPr>
          <w:sz w:val="20"/>
          <w:szCs w:val="20"/>
          <w:color w:val="auto"/>
        </w:rPr>
      </w:pPr>
      <w:r>
        <w:rPr>
          <w:rFonts w:ascii="Arial" w:cs="Arial" w:eastAsia="Arial" w:hAnsi="Arial"/>
          <w:sz w:val="18"/>
          <w:szCs w:val="18"/>
          <w:b w:val="1"/>
          <w:bCs w:val="1"/>
          <w:i w:val="1"/>
          <w:iCs w:val="1"/>
          <w:color w:val="auto"/>
        </w:rPr>
        <w:t>General and administrative</w:t>
      </w:r>
    </w:p>
    <w:p>
      <w:pPr>
        <w:spacing w:after="0" w:line="126" w:lineRule="exact"/>
        <w:rPr>
          <w:sz w:val="20"/>
          <w:szCs w:val="20"/>
          <w:color w:val="auto"/>
        </w:rPr>
      </w:pPr>
    </w:p>
    <w:p>
      <w:pPr>
        <w:ind w:right="60" w:firstLine="518"/>
        <w:spacing w:after="0" w:line="238" w:lineRule="auto"/>
        <w:rPr>
          <w:sz w:val="20"/>
          <w:szCs w:val="20"/>
          <w:color w:val="auto"/>
        </w:rPr>
      </w:pPr>
      <w:r>
        <w:rPr>
          <w:rFonts w:ascii="Arial" w:cs="Arial" w:eastAsia="Arial" w:hAnsi="Arial"/>
          <w:sz w:val="18"/>
          <w:szCs w:val="18"/>
          <w:color w:val="auto"/>
        </w:rPr>
        <w:t>General and administrative expenses consist primarily of personnel costs associated with the Company’s executive, finance, legal, human resources, compliance, and other administrative personnel, as well as accounting and legal professional services fees, other corporate-related expenses and allocated overhead. General and administrative expenses also include amortization of covenant not to compete and tradename intangible assets, the change in value of the contingent consideration, legal settlement gains, costs associated with the secondary offering, and costs associated with the shelf offerings.</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Stock-based compensation</w:t>
      </w:r>
    </w:p>
    <w:p>
      <w:pPr>
        <w:spacing w:after="0" w:line="126" w:lineRule="exact"/>
        <w:rPr>
          <w:sz w:val="20"/>
          <w:szCs w:val="20"/>
          <w:color w:val="auto"/>
        </w:rPr>
      </w:pPr>
    </w:p>
    <w:p>
      <w:pPr>
        <w:ind w:right="80" w:firstLine="518"/>
        <w:spacing w:after="0" w:line="237" w:lineRule="auto"/>
        <w:rPr>
          <w:sz w:val="20"/>
          <w:szCs w:val="20"/>
          <w:color w:val="auto"/>
        </w:rPr>
      </w:pPr>
      <w:r>
        <w:rPr>
          <w:rFonts w:ascii="Arial" w:cs="Arial" w:eastAsia="Arial" w:hAnsi="Arial"/>
          <w:sz w:val="18"/>
          <w:szCs w:val="18"/>
          <w:color w:val="auto"/>
        </w:rPr>
        <w:t>The Company accounts for stock-based compensation awards granted to employees and directors based on the awards’ estimated grant date fair value. The Company estimates the fair value of its stock options using the Black-Scholes option-pricing model. For awards that vest solely based on continued service (“service-only vesting conditions”), the resulting fair value is recognized on a straight-line basis over the period during which an employee is required to provide service in exchange for the award, usually the vesting period, which is generally four years. The Company recognizes the fair value of stock options which contain performance conditions based upon the probability of the performance conditions being met, using the graded vesting method. On January 1, 2017, the Company changed its accounting policy to account for forfeitures when they occur rather than estimate a forfeiture rate.</w:t>
      </w:r>
    </w:p>
    <w:p>
      <w:pPr>
        <w:spacing w:after="0" w:line="203" w:lineRule="exact"/>
        <w:rPr>
          <w:sz w:val="20"/>
          <w:szCs w:val="20"/>
          <w:color w:val="auto"/>
        </w:rPr>
      </w:pPr>
    </w:p>
    <w:p>
      <w:pPr>
        <w:ind w:right="760" w:firstLine="518"/>
        <w:spacing w:after="0"/>
        <w:rPr>
          <w:sz w:val="20"/>
          <w:szCs w:val="20"/>
          <w:color w:val="auto"/>
        </w:rPr>
      </w:pPr>
      <w:r>
        <w:rPr>
          <w:rFonts w:ascii="Arial" w:cs="Arial" w:eastAsia="Arial" w:hAnsi="Arial"/>
          <w:sz w:val="18"/>
          <w:szCs w:val="18"/>
          <w:color w:val="auto"/>
        </w:rPr>
        <w:t>Determining the grant date fair value of options using the Black-Scholes option-pricing model requires management to make assumptions and judgments. These estimates involve inherent uncertainties and, if different assumptions had been used, stock-based compensation expense could have been materially different from the amounts recorded.</w:t>
      </w:r>
    </w:p>
    <w:p>
      <w:pPr>
        <w:spacing w:after="0" w:line="203"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assumptions and estimates are as follows:</w:t>
      </w:r>
    </w:p>
    <w:p>
      <w:pPr>
        <w:spacing w:after="0" w:line="190" w:lineRule="exact"/>
        <w:rPr>
          <w:sz w:val="20"/>
          <w:szCs w:val="20"/>
          <w:color w:val="auto"/>
        </w:rPr>
      </w:pPr>
    </w:p>
    <w:p>
      <w:pPr>
        <w:jc w:val="both"/>
        <w:ind w:right="100" w:firstLine="518"/>
        <w:spacing w:after="0" w:line="283" w:lineRule="auto"/>
        <w:rPr>
          <w:sz w:val="20"/>
          <w:szCs w:val="20"/>
          <w:color w:val="auto"/>
        </w:rPr>
      </w:pPr>
      <w:r>
        <w:rPr>
          <w:rFonts w:ascii="Arial" w:cs="Arial" w:eastAsia="Arial" w:hAnsi="Arial"/>
          <w:sz w:val="17"/>
          <w:szCs w:val="17"/>
          <w:b w:val="1"/>
          <w:bCs w:val="1"/>
          <w:i w:val="1"/>
          <w:iCs w:val="1"/>
          <w:color w:val="auto"/>
        </w:rPr>
        <w:t>Value per share of the Company’s common stock</w:t>
      </w:r>
      <w:r>
        <w:rPr>
          <w:rFonts w:ascii="Arial" w:cs="Arial" w:eastAsia="Arial" w:hAnsi="Arial"/>
          <w:sz w:val="17"/>
          <w:szCs w:val="17"/>
          <w:i w:val="1"/>
          <w:iCs w:val="1"/>
          <w:color w:val="auto"/>
        </w:rPr>
        <w: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The fair value of the underlying common stock was determined by the Company’s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board of directors through the date of the initial public offering. For awards granted subsequent to the Company’s initial public offering, the fair value of common stock is based on the closing price of the Company’s common stock, as reported on the NASDAQ, on the date of grant.</w:t>
      </w:r>
    </w:p>
    <w:p>
      <w:pPr>
        <w:spacing w:after="0" w:line="146" w:lineRule="exact"/>
        <w:rPr>
          <w:sz w:val="20"/>
          <w:szCs w:val="20"/>
          <w:color w:val="auto"/>
        </w:rPr>
      </w:pPr>
    </w:p>
    <w:p>
      <w:pPr>
        <w:ind w:right="160" w:firstLine="518"/>
        <w:spacing w:after="0" w:line="253" w:lineRule="auto"/>
        <w:rPr>
          <w:sz w:val="20"/>
          <w:szCs w:val="20"/>
          <w:color w:val="auto"/>
        </w:rPr>
      </w:pPr>
      <w:r>
        <w:rPr>
          <w:rFonts w:ascii="Arial" w:cs="Arial" w:eastAsia="Arial" w:hAnsi="Arial"/>
          <w:sz w:val="18"/>
          <w:szCs w:val="18"/>
          <w:b w:val="1"/>
          <w:bCs w:val="1"/>
          <w:i w:val="1"/>
          <w:iCs w:val="1"/>
          <w:color w:val="auto"/>
        </w:rPr>
        <w:t xml:space="preserve">Expected volatility. </w:t>
      </w:r>
      <w:r>
        <w:rPr>
          <w:rFonts w:ascii="Arial" w:cs="Arial" w:eastAsia="Arial" w:hAnsi="Arial"/>
          <w:sz w:val="18"/>
          <w:szCs w:val="18"/>
          <w:color w:val="auto"/>
        </w:rPr>
        <w:t>The Company determines the expected volatility based on historical average volatilities of similar publicly-traded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companies corresponding to the expected term of the awards. The Company determines expected volatility for the Employee Stock Purchase Plan (“ESPP”) based on the historical volatility of its common stock.</w:t>
      </w:r>
    </w:p>
    <w:p>
      <w:pPr>
        <w:spacing w:after="0" w:line="169" w:lineRule="exact"/>
        <w:rPr>
          <w:sz w:val="20"/>
          <w:szCs w:val="20"/>
          <w:color w:val="auto"/>
        </w:rPr>
      </w:pPr>
    </w:p>
    <w:p>
      <w:pPr>
        <w:ind w:right="120" w:firstLine="518"/>
        <w:spacing w:after="0" w:line="247" w:lineRule="auto"/>
        <w:rPr>
          <w:sz w:val="20"/>
          <w:szCs w:val="20"/>
          <w:color w:val="auto"/>
        </w:rPr>
      </w:pPr>
      <w:r>
        <w:rPr>
          <w:rFonts w:ascii="Arial" w:cs="Arial" w:eastAsia="Arial" w:hAnsi="Arial"/>
          <w:sz w:val="18"/>
          <w:szCs w:val="18"/>
          <w:b w:val="1"/>
          <w:bCs w:val="1"/>
          <w:i w:val="1"/>
          <w:iCs w:val="1"/>
          <w:color w:val="auto"/>
        </w:rPr>
        <w:t xml:space="preserve">Expected term. </w:t>
      </w:r>
      <w:r>
        <w:rPr>
          <w:rFonts w:ascii="Arial" w:cs="Arial" w:eastAsia="Arial" w:hAnsi="Arial"/>
          <w:sz w:val="18"/>
          <w:szCs w:val="18"/>
          <w:color w:val="auto"/>
        </w:rPr>
        <w:t>The Company determines the expected term of awards which contain service-only vesting conditions using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simplified approach, in which the expected term of an award is presumed to be the mid-point between the vesting date and the expiration date of the award, as the Company does not have sufficient historical data relating to stock option exercises. The expected term for the Company’s ESPP represents the amount of time remaining in the 12-month offering period.</w:t>
      </w:r>
    </w:p>
    <w:p>
      <w:pPr>
        <w:spacing w:after="0" w:line="174" w:lineRule="exact"/>
        <w:rPr>
          <w:sz w:val="20"/>
          <w:szCs w:val="20"/>
          <w:color w:val="auto"/>
        </w:rPr>
      </w:pPr>
    </w:p>
    <w:p>
      <w:pPr>
        <w:ind w:right="480" w:firstLine="518"/>
        <w:spacing w:after="0" w:line="271" w:lineRule="auto"/>
        <w:rPr>
          <w:sz w:val="20"/>
          <w:szCs w:val="20"/>
          <w:color w:val="auto"/>
        </w:rPr>
      </w:pPr>
      <w:r>
        <w:rPr>
          <w:rFonts w:ascii="Arial" w:cs="Arial" w:eastAsia="Arial" w:hAnsi="Arial"/>
          <w:sz w:val="18"/>
          <w:szCs w:val="18"/>
          <w:b w:val="1"/>
          <w:bCs w:val="1"/>
          <w:i w:val="1"/>
          <w:iCs w:val="1"/>
          <w:color w:val="auto"/>
        </w:rPr>
        <w:t xml:space="preserve">Risk-free interest rate. </w:t>
      </w:r>
      <w:r>
        <w:rPr>
          <w:rFonts w:ascii="Arial" w:cs="Arial" w:eastAsia="Arial" w:hAnsi="Arial"/>
          <w:sz w:val="18"/>
          <w:szCs w:val="18"/>
          <w:color w:val="auto"/>
        </w:rPr>
        <w:t>The risk-free interest rate is based on the United States Treasury yield curve in effect during the period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options were granted corresponding to the expected term of the awards.</w:t>
      </w:r>
    </w:p>
    <w:p>
      <w:pPr>
        <w:spacing w:after="0" w:line="154" w:lineRule="exact"/>
        <w:rPr>
          <w:sz w:val="20"/>
          <w:szCs w:val="20"/>
          <w:color w:val="auto"/>
        </w:rPr>
      </w:pPr>
    </w:p>
    <w:p>
      <w:pPr>
        <w:ind w:right="240" w:firstLine="518"/>
        <w:spacing w:after="0" w:line="271" w:lineRule="auto"/>
        <w:rPr>
          <w:sz w:val="20"/>
          <w:szCs w:val="20"/>
          <w:color w:val="auto"/>
        </w:rPr>
      </w:pPr>
      <w:r>
        <w:rPr>
          <w:rFonts w:ascii="Arial" w:cs="Arial" w:eastAsia="Arial" w:hAnsi="Arial"/>
          <w:sz w:val="18"/>
          <w:szCs w:val="18"/>
          <w:b w:val="1"/>
          <w:bCs w:val="1"/>
          <w:i w:val="1"/>
          <w:iCs w:val="1"/>
          <w:color w:val="auto"/>
        </w:rPr>
        <w:t xml:space="preserve">Estimated dividend yield. </w:t>
      </w:r>
      <w:r>
        <w:rPr>
          <w:rFonts w:ascii="Arial" w:cs="Arial" w:eastAsia="Arial" w:hAnsi="Arial"/>
          <w:sz w:val="18"/>
          <w:szCs w:val="18"/>
          <w:color w:val="auto"/>
        </w:rPr>
        <w:t>The estimated dividend yield is zero, as the Company does not currently intend to declare dividends in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foreseeable future.</w:t>
      </w:r>
    </w:p>
    <w:p>
      <w:pPr>
        <w:spacing w:after="0" w:line="176" w:lineRule="exact"/>
        <w:rPr>
          <w:sz w:val="20"/>
          <w:szCs w:val="20"/>
          <w:color w:val="auto"/>
        </w:rPr>
      </w:pPr>
    </w:p>
    <w:p>
      <w:pPr>
        <w:ind w:right="140" w:firstLine="518"/>
        <w:spacing w:after="0" w:line="246" w:lineRule="auto"/>
        <w:rPr>
          <w:sz w:val="20"/>
          <w:szCs w:val="20"/>
          <w:color w:val="auto"/>
        </w:rPr>
      </w:pPr>
      <w:r>
        <w:rPr>
          <w:rFonts w:ascii="Arial" w:cs="Arial" w:eastAsia="Arial" w:hAnsi="Arial"/>
          <w:sz w:val="18"/>
          <w:szCs w:val="18"/>
          <w:color w:val="auto"/>
        </w:rPr>
        <w:t>The following information represents the weighted average of the assumptions used in the Black-Scholes option-pricing model for stock options granted:</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4840" w:type="dxa"/>
            <w:vAlign w:val="bottom"/>
          </w:tcPr>
          <w:p>
            <w:pPr>
              <w:spacing w:after="0"/>
              <w:rPr>
                <w:sz w:val="15"/>
                <w:szCs w:val="15"/>
                <w:color w:val="auto"/>
              </w:rPr>
            </w:pPr>
          </w:p>
        </w:tc>
        <w:tc>
          <w:tcPr>
            <w:tcW w:w="1840" w:type="dxa"/>
            <w:vAlign w:val="bottom"/>
            <w:tcBorders>
              <w:bottom w:val="single" w:sz="8" w:color="auto"/>
            </w:tcBorders>
          </w:tcPr>
          <w:p>
            <w:pPr>
              <w:spacing w:after="0"/>
              <w:rPr>
                <w:sz w:val="15"/>
                <w:szCs w:val="15"/>
                <w:color w:val="auto"/>
              </w:rPr>
            </w:pPr>
          </w:p>
        </w:tc>
        <w:tc>
          <w:tcPr>
            <w:tcW w:w="480" w:type="dxa"/>
            <w:vAlign w:val="bottom"/>
            <w:tcBorders>
              <w:bottom w:val="single" w:sz="8" w:color="auto"/>
            </w:tcBorders>
          </w:tcPr>
          <w:p>
            <w:pPr>
              <w:spacing w:after="0"/>
              <w:rPr>
                <w:sz w:val="15"/>
                <w:szCs w:val="15"/>
                <w:color w:val="auto"/>
              </w:rPr>
            </w:pPr>
          </w:p>
        </w:tc>
        <w:tc>
          <w:tcPr>
            <w:tcW w:w="230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b w:val="1"/>
                <w:bCs w:val="1"/>
                <w:color w:val="auto"/>
              </w:rPr>
              <w:t>Year Ended December 31,</w:t>
            </w:r>
          </w:p>
        </w:tc>
        <w:tc>
          <w:tcPr>
            <w:tcW w:w="184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r>
      <w:tr>
        <w:trPr>
          <w:trHeight w:val="210"/>
        </w:trPr>
        <w:tc>
          <w:tcPr>
            <w:tcW w:w="4840" w:type="dxa"/>
            <w:vAlign w:val="bottom"/>
            <w:tcBorders>
              <w:bottom w:val="single" w:sz="8" w:color="CFF0FC"/>
            </w:tcBorders>
          </w:tcPr>
          <w:p>
            <w:pPr>
              <w:spacing w:after="0"/>
              <w:rPr>
                <w:sz w:val="18"/>
                <w:szCs w:val="18"/>
                <w:color w:val="auto"/>
              </w:rPr>
            </w:pPr>
          </w:p>
        </w:tc>
        <w:tc>
          <w:tcPr>
            <w:tcW w:w="18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2019</w:t>
            </w:r>
          </w:p>
        </w:tc>
        <w:tc>
          <w:tcPr>
            <w:tcW w:w="480" w:type="dxa"/>
            <w:vAlign w:val="bottom"/>
            <w:tcBorders>
              <w:bottom w:val="single" w:sz="8" w:color="CFF0FC"/>
            </w:tcBorders>
          </w:tcPr>
          <w:p>
            <w:pPr>
              <w:spacing w:after="0"/>
              <w:rPr>
                <w:sz w:val="18"/>
                <w:szCs w:val="18"/>
                <w:color w:val="auto"/>
              </w:rPr>
            </w:pPr>
          </w:p>
        </w:tc>
        <w:tc>
          <w:tcPr>
            <w:tcW w:w="18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2018</w:t>
            </w:r>
          </w:p>
        </w:tc>
        <w:tc>
          <w:tcPr>
            <w:tcW w:w="480" w:type="dxa"/>
            <w:vAlign w:val="bottom"/>
            <w:tcBorders>
              <w:bottom w:val="single" w:sz="8" w:color="CFF0FC"/>
            </w:tcBorders>
          </w:tcPr>
          <w:p>
            <w:pPr>
              <w:spacing w:after="0"/>
              <w:rPr>
                <w:sz w:val="18"/>
                <w:szCs w:val="18"/>
                <w:color w:val="auto"/>
              </w:rPr>
            </w:pPr>
          </w:p>
        </w:tc>
        <w:tc>
          <w:tcPr>
            <w:tcW w:w="18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2017</w:t>
            </w:r>
          </w:p>
        </w:tc>
        <w:tc>
          <w:tcPr>
            <w:tcW w:w="120" w:type="dxa"/>
            <w:vAlign w:val="bottom"/>
            <w:tcBorders>
              <w:bottom w:val="single" w:sz="8" w:color="CFF0FC"/>
            </w:tcBorders>
          </w:tcPr>
          <w:p>
            <w:pPr>
              <w:spacing w:after="0"/>
              <w:rPr>
                <w:sz w:val="18"/>
                <w:szCs w:val="18"/>
                <w:color w:val="auto"/>
              </w:rPr>
            </w:pPr>
          </w:p>
        </w:tc>
      </w:tr>
      <w:tr>
        <w:trPr>
          <w:trHeight w:val="210"/>
        </w:trPr>
        <w:tc>
          <w:tcPr>
            <w:tcW w:w="4840" w:type="dxa"/>
            <w:vAlign w:val="bottom"/>
            <w:shd w:val="clear" w:color="auto" w:fill="CFF0FC"/>
          </w:tcPr>
          <w:p>
            <w:pPr>
              <w:spacing w:after="0"/>
              <w:rPr>
                <w:sz w:val="20"/>
                <w:szCs w:val="20"/>
                <w:color w:val="auto"/>
              </w:rPr>
            </w:pPr>
            <w:r>
              <w:rPr>
                <w:rFonts w:ascii="Arial" w:cs="Arial" w:eastAsia="Arial" w:hAnsi="Arial"/>
                <w:sz w:val="18"/>
                <w:szCs w:val="18"/>
                <w:color w:val="auto"/>
              </w:rPr>
              <w:t>Expected term (years)</w:t>
            </w:r>
          </w:p>
        </w:tc>
        <w:tc>
          <w:tcPr>
            <w:tcW w:w="1840" w:type="dxa"/>
            <w:vAlign w:val="bottom"/>
            <w:shd w:val="clear" w:color="auto" w:fill="CFF0FC"/>
          </w:tcPr>
          <w:p>
            <w:pPr>
              <w:jc w:val="right"/>
              <w:ind w:right="653"/>
              <w:spacing w:after="0"/>
              <w:rPr>
                <w:sz w:val="20"/>
                <w:szCs w:val="20"/>
                <w:color w:val="auto"/>
              </w:rPr>
            </w:pPr>
            <w:r>
              <w:rPr>
                <w:rFonts w:ascii="Arial" w:cs="Arial" w:eastAsia="Arial" w:hAnsi="Arial"/>
                <w:sz w:val="18"/>
                <w:szCs w:val="18"/>
                <w:color w:val="auto"/>
              </w:rPr>
              <w:t>6.1</w:t>
            </w:r>
          </w:p>
        </w:tc>
        <w:tc>
          <w:tcPr>
            <w:tcW w:w="480" w:type="dxa"/>
            <w:vAlign w:val="bottom"/>
            <w:shd w:val="clear" w:color="auto" w:fill="CFF0FC"/>
          </w:tcPr>
          <w:p>
            <w:pPr>
              <w:spacing w:after="0"/>
              <w:rPr>
                <w:sz w:val="18"/>
                <w:szCs w:val="18"/>
                <w:color w:val="auto"/>
              </w:rPr>
            </w:pPr>
          </w:p>
        </w:tc>
        <w:tc>
          <w:tcPr>
            <w:tcW w:w="1820" w:type="dxa"/>
            <w:vAlign w:val="bottom"/>
            <w:shd w:val="clear" w:color="auto" w:fill="CFF0FC"/>
          </w:tcPr>
          <w:p>
            <w:pPr>
              <w:jc w:val="right"/>
              <w:ind w:right="656"/>
              <w:spacing w:after="0"/>
              <w:rPr>
                <w:sz w:val="20"/>
                <w:szCs w:val="20"/>
                <w:color w:val="auto"/>
              </w:rPr>
            </w:pPr>
            <w:r>
              <w:rPr>
                <w:rFonts w:ascii="Arial" w:cs="Arial" w:eastAsia="Arial" w:hAnsi="Arial"/>
                <w:sz w:val="18"/>
                <w:szCs w:val="18"/>
                <w:color w:val="auto"/>
              </w:rPr>
              <w:t>6.1</w:t>
            </w:r>
          </w:p>
        </w:tc>
        <w:tc>
          <w:tcPr>
            <w:tcW w:w="480" w:type="dxa"/>
            <w:vAlign w:val="bottom"/>
            <w:shd w:val="clear" w:color="auto" w:fill="CFF0FC"/>
          </w:tcPr>
          <w:p>
            <w:pPr>
              <w:spacing w:after="0"/>
              <w:rPr>
                <w:sz w:val="18"/>
                <w:szCs w:val="18"/>
                <w:color w:val="auto"/>
              </w:rPr>
            </w:pPr>
          </w:p>
        </w:tc>
        <w:tc>
          <w:tcPr>
            <w:tcW w:w="1840" w:type="dxa"/>
            <w:vAlign w:val="bottom"/>
            <w:shd w:val="clear" w:color="auto" w:fill="CFF0FC"/>
          </w:tcPr>
          <w:p>
            <w:pPr>
              <w:jc w:val="right"/>
              <w:ind w:right="654"/>
              <w:spacing w:after="0"/>
              <w:rPr>
                <w:sz w:val="20"/>
                <w:szCs w:val="20"/>
                <w:color w:val="auto"/>
              </w:rPr>
            </w:pPr>
            <w:r>
              <w:rPr>
                <w:rFonts w:ascii="Arial" w:cs="Arial" w:eastAsia="Arial" w:hAnsi="Arial"/>
                <w:sz w:val="18"/>
                <w:szCs w:val="18"/>
                <w:color w:val="auto"/>
              </w:rPr>
              <w:t>6.2</w:t>
            </w:r>
          </w:p>
        </w:tc>
        <w:tc>
          <w:tcPr>
            <w:tcW w:w="120" w:type="dxa"/>
            <w:vAlign w:val="bottom"/>
            <w:shd w:val="clear" w:color="auto" w:fill="CFF0FC"/>
          </w:tcPr>
          <w:p>
            <w:pPr>
              <w:spacing w:after="0"/>
              <w:rPr>
                <w:sz w:val="18"/>
                <w:szCs w:val="18"/>
                <w:color w:val="auto"/>
              </w:rPr>
            </w:pPr>
          </w:p>
        </w:tc>
      </w:tr>
      <w:tr>
        <w:trPr>
          <w:trHeight w:val="216"/>
        </w:trPr>
        <w:tc>
          <w:tcPr>
            <w:tcW w:w="4840" w:type="dxa"/>
            <w:vAlign w:val="bottom"/>
          </w:tcPr>
          <w:p>
            <w:pPr>
              <w:spacing w:after="0"/>
              <w:rPr>
                <w:sz w:val="20"/>
                <w:szCs w:val="20"/>
                <w:color w:val="auto"/>
              </w:rPr>
            </w:pPr>
            <w:r>
              <w:rPr>
                <w:rFonts w:ascii="Arial" w:cs="Arial" w:eastAsia="Arial" w:hAnsi="Arial"/>
                <w:sz w:val="18"/>
                <w:szCs w:val="18"/>
                <w:color w:val="auto"/>
              </w:rPr>
              <w:t>Expected volatility</w:t>
            </w:r>
          </w:p>
        </w:tc>
        <w:tc>
          <w:tcPr>
            <w:tcW w:w="1840" w:type="dxa"/>
            <w:vAlign w:val="bottom"/>
          </w:tcPr>
          <w:p>
            <w:pPr>
              <w:jc w:val="center"/>
              <w:spacing w:after="0"/>
              <w:rPr>
                <w:sz w:val="20"/>
                <w:szCs w:val="20"/>
                <w:color w:val="auto"/>
              </w:rPr>
            </w:pPr>
            <w:r>
              <w:rPr>
                <w:rFonts w:ascii="Arial" w:cs="Arial" w:eastAsia="Arial" w:hAnsi="Arial"/>
                <w:sz w:val="18"/>
                <w:szCs w:val="18"/>
                <w:color w:val="auto"/>
                <w:w w:val="97"/>
              </w:rPr>
              <w:t>46.7%</w:t>
            </w:r>
          </w:p>
        </w:tc>
        <w:tc>
          <w:tcPr>
            <w:tcW w:w="480" w:type="dxa"/>
            <w:vAlign w:val="bottom"/>
          </w:tcPr>
          <w:p>
            <w:pPr>
              <w:spacing w:after="0"/>
              <w:rPr>
                <w:sz w:val="18"/>
                <w:szCs w:val="18"/>
                <w:color w:val="auto"/>
              </w:rPr>
            </w:pPr>
          </w:p>
        </w:tc>
        <w:tc>
          <w:tcPr>
            <w:tcW w:w="1820" w:type="dxa"/>
            <w:vAlign w:val="bottom"/>
          </w:tcPr>
          <w:p>
            <w:pPr>
              <w:jc w:val="center"/>
              <w:spacing w:after="0"/>
              <w:rPr>
                <w:sz w:val="20"/>
                <w:szCs w:val="20"/>
                <w:color w:val="auto"/>
              </w:rPr>
            </w:pPr>
            <w:r>
              <w:rPr>
                <w:rFonts w:ascii="Arial" w:cs="Arial" w:eastAsia="Arial" w:hAnsi="Arial"/>
                <w:sz w:val="18"/>
                <w:szCs w:val="18"/>
                <w:color w:val="auto"/>
              </w:rPr>
              <w:t>46.0%</w:t>
            </w:r>
          </w:p>
        </w:tc>
        <w:tc>
          <w:tcPr>
            <w:tcW w:w="480" w:type="dxa"/>
            <w:vAlign w:val="bottom"/>
          </w:tcPr>
          <w:p>
            <w:pPr>
              <w:spacing w:after="0"/>
              <w:rPr>
                <w:sz w:val="18"/>
                <w:szCs w:val="18"/>
                <w:color w:val="auto"/>
              </w:rPr>
            </w:pPr>
          </w:p>
        </w:tc>
        <w:tc>
          <w:tcPr>
            <w:tcW w:w="1840" w:type="dxa"/>
            <w:vAlign w:val="bottom"/>
          </w:tcPr>
          <w:p>
            <w:pPr>
              <w:jc w:val="center"/>
              <w:spacing w:after="0"/>
              <w:rPr>
                <w:sz w:val="20"/>
                <w:szCs w:val="20"/>
                <w:color w:val="auto"/>
              </w:rPr>
            </w:pPr>
            <w:r>
              <w:rPr>
                <w:rFonts w:ascii="Arial" w:cs="Arial" w:eastAsia="Arial" w:hAnsi="Arial"/>
                <w:sz w:val="18"/>
                <w:szCs w:val="18"/>
                <w:color w:val="auto"/>
                <w:w w:val="97"/>
              </w:rPr>
              <w:t>47.0%</w:t>
            </w:r>
          </w:p>
        </w:tc>
        <w:tc>
          <w:tcPr>
            <w:tcW w:w="120" w:type="dxa"/>
            <w:vAlign w:val="bottom"/>
          </w:tcPr>
          <w:p>
            <w:pPr>
              <w:spacing w:after="0"/>
              <w:rPr>
                <w:sz w:val="18"/>
                <w:szCs w:val="18"/>
                <w:color w:val="auto"/>
              </w:rPr>
            </w:pPr>
          </w:p>
        </w:tc>
      </w:tr>
      <w:tr>
        <w:trPr>
          <w:trHeight w:val="216"/>
        </w:trPr>
        <w:tc>
          <w:tcPr>
            <w:tcW w:w="4840" w:type="dxa"/>
            <w:vAlign w:val="bottom"/>
            <w:shd w:val="clear" w:color="auto" w:fill="CFF0FC"/>
          </w:tcPr>
          <w:p>
            <w:pPr>
              <w:spacing w:after="0"/>
              <w:rPr>
                <w:sz w:val="20"/>
                <w:szCs w:val="20"/>
                <w:color w:val="auto"/>
              </w:rPr>
            </w:pPr>
            <w:r>
              <w:rPr>
                <w:rFonts w:ascii="Arial" w:cs="Arial" w:eastAsia="Arial" w:hAnsi="Arial"/>
                <w:sz w:val="18"/>
                <w:szCs w:val="18"/>
                <w:color w:val="auto"/>
              </w:rPr>
              <w:t>Risk free interest rate</w:t>
            </w:r>
          </w:p>
        </w:tc>
        <w:tc>
          <w:tcPr>
            <w:tcW w:w="1840" w:type="dxa"/>
            <w:vAlign w:val="bottom"/>
            <w:shd w:val="clear" w:color="auto" w:fill="CFF0FC"/>
          </w:tcPr>
          <w:p>
            <w:pPr>
              <w:jc w:val="center"/>
              <w:spacing w:after="0"/>
              <w:rPr>
                <w:sz w:val="20"/>
                <w:szCs w:val="20"/>
                <w:color w:val="auto"/>
              </w:rPr>
            </w:pPr>
            <w:r>
              <w:rPr>
                <w:rFonts w:ascii="Arial" w:cs="Arial" w:eastAsia="Arial" w:hAnsi="Arial"/>
                <w:sz w:val="18"/>
                <w:szCs w:val="18"/>
                <w:color w:val="auto"/>
              </w:rPr>
              <w:t>2.2%</w:t>
            </w:r>
          </w:p>
        </w:tc>
        <w:tc>
          <w:tcPr>
            <w:tcW w:w="480" w:type="dxa"/>
            <w:vAlign w:val="bottom"/>
            <w:shd w:val="clear" w:color="auto" w:fill="CFF0FC"/>
          </w:tcPr>
          <w:p>
            <w:pPr>
              <w:spacing w:after="0"/>
              <w:rPr>
                <w:sz w:val="18"/>
                <w:szCs w:val="18"/>
                <w:color w:val="auto"/>
              </w:rPr>
            </w:pPr>
          </w:p>
        </w:tc>
        <w:tc>
          <w:tcPr>
            <w:tcW w:w="182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7"/>
              </w:rPr>
              <w:t>2.8%</w:t>
            </w:r>
          </w:p>
        </w:tc>
        <w:tc>
          <w:tcPr>
            <w:tcW w:w="480" w:type="dxa"/>
            <w:vAlign w:val="bottom"/>
            <w:shd w:val="clear" w:color="auto" w:fill="CFF0FC"/>
          </w:tcPr>
          <w:p>
            <w:pPr>
              <w:spacing w:after="0"/>
              <w:rPr>
                <w:sz w:val="18"/>
                <w:szCs w:val="18"/>
                <w:color w:val="auto"/>
              </w:rPr>
            </w:pPr>
          </w:p>
        </w:tc>
        <w:tc>
          <w:tcPr>
            <w:tcW w:w="1840" w:type="dxa"/>
            <w:vAlign w:val="bottom"/>
            <w:shd w:val="clear" w:color="auto" w:fill="CFF0FC"/>
          </w:tcPr>
          <w:p>
            <w:pPr>
              <w:jc w:val="center"/>
              <w:spacing w:after="0"/>
              <w:rPr>
                <w:sz w:val="20"/>
                <w:szCs w:val="20"/>
                <w:color w:val="auto"/>
              </w:rPr>
            </w:pPr>
            <w:r>
              <w:rPr>
                <w:rFonts w:ascii="Arial" w:cs="Arial" w:eastAsia="Arial" w:hAnsi="Arial"/>
                <w:sz w:val="18"/>
                <w:szCs w:val="18"/>
                <w:color w:val="auto"/>
              </w:rPr>
              <w:t>2.1%</w:t>
            </w:r>
          </w:p>
        </w:tc>
        <w:tc>
          <w:tcPr>
            <w:tcW w:w="120" w:type="dxa"/>
            <w:vAlign w:val="bottom"/>
            <w:shd w:val="clear" w:color="auto" w:fill="CFF0FC"/>
          </w:tcPr>
          <w:p>
            <w:pPr>
              <w:spacing w:after="0"/>
              <w:rPr>
                <w:sz w:val="18"/>
                <w:szCs w:val="18"/>
                <w:color w:val="auto"/>
              </w:rPr>
            </w:pPr>
          </w:p>
        </w:tc>
      </w:tr>
      <w:tr>
        <w:trPr>
          <w:trHeight w:val="230"/>
        </w:trPr>
        <w:tc>
          <w:tcPr>
            <w:tcW w:w="4840" w:type="dxa"/>
            <w:vAlign w:val="bottom"/>
          </w:tcPr>
          <w:p>
            <w:pPr>
              <w:spacing w:after="0"/>
              <w:rPr>
                <w:sz w:val="20"/>
                <w:szCs w:val="20"/>
                <w:color w:val="auto"/>
              </w:rPr>
            </w:pPr>
            <w:r>
              <w:rPr>
                <w:rFonts w:ascii="Arial" w:cs="Arial" w:eastAsia="Arial" w:hAnsi="Arial"/>
                <w:sz w:val="18"/>
                <w:szCs w:val="18"/>
                <w:color w:val="auto"/>
              </w:rPr>
              <w:t>Expected dividend yield</w:t>
            </w:r>
          </w:p>
        </w:tc>
        <w:tc>
          <w:tcPr>
            <w:tcW w:w="2320" w:type="dxa"/>
            <w:vAlign w:val="bottom"/>
            <w:gridSpan w:val="2"/>
          </w:tcPr>
          <w:p>
            <w:pPr>
              <w:jc w:val="center"/>
              <w:ind w:right="380"/>
              <w:spacing w:after="0"/>
              <w:rPr>
                <w:sz w:val="20"/>
                <w:szCs w:val="20"/>
                <w:color w:val="auto"/>
              </w:rPr>
            </w:pPr>
            <w:r>
              <w:rPr>
                <w:rFonts w:ascii="Arial" w:cs="Arial" w:eastAsia="Arial" w:hAnsi="Arial"/>
                <w:sz w:val="18"/>
                <w:szCs w:val="18"/>
                <w:color w:val="auto"/>
                <w:w w:val="99"/>
              </w:rPr>
              <w:t>—</w:t>
            </w:r>
          </w:p>
        </w:tc>
        <w:tc>
          <w:tcPr>
            <w:tcW w:w="2300" w:type="dxa"/>
            <w:vAlign w:val="bottom"/>
            <w:gridSpan w:val="2"/>
          </w:tcPr>
          <w:p>
            <w:pPr>
              <w:jc w:val="center"/>
              <w:ind w:right="400"/>
              <w:spacing w:after="0"/>
              <w:rPr>
                <w:sz w:val="20"/>
                <w:szCs w:val="20"/>
                <w:color w:val="auto"/>
              </w:rPr>
            </w:pPr>
            <w:r>
              <w:rPr>
                <w:rFonts w:ascii="Arial" w:cs="Arial" w:eastAsia="Arial" w:hAnsi="Arial"/>
                <w:sz w:val="18"/>
                <w:szCs w:val="18"/>
                <w:color w:val="auto"/>
                <w:w w:val="99"/>
              </w:rPr>
              <w:t>—</w:t>
            </w:r>
          </w:p>
        </w:tc>
        <w:tc>
          <w:tcPr>
            <w:tcW w:w="1960" w:type="dxa"/>
            <w:vAlign w:val="bottom"/>
            <w:gridSpan w:val="2"/>
          </w:tcPr>
          <w:p>
            <w:pPr>
              <w:jc w:val="center"/>
              <w:ind w:right="20"/>
              <w:spacing w:after="0"/>
              <w:rPr>
                <w:sz w:val="20"/>
                <w:szCs w:val="20"/>
                <w:color w:val="auto"/>
              </w:rPr>
            </w:pPr>
            <w:r>
              <w:rPr>
                <w:rFonts w:ascii="Arial" w:cs="Arial" w:eastAsia="Arial" w:hAnsi="Arial"/>
                <w:sz w:val="18"/>
                <w:szCs w:val="18"/>
                <w:color w:val="auto"/>
                <w:w w:val="99"/>
              </w:rPr>
              <w:t>—</w:t>
            </w:r>
          </w:p>
        </w:tc>
      </w:tr>
      <w:tr>
        <w:trPr>
          <w:trHeight w:val="662"/>
        </w:trPr>
        <w:tc>
          <w:tcPr>
            <w:tcW w:w="4840" w:type="dxa"/>
            <w:vAlign w:val="bottom"/>
          </w:tcPr>
          <w:p>
            <w:pPr>
              <w:spacing w:after="0"/>
              <w:rPr>
                <w:sz w:val="24"/>
                <w:szCs w:val="24"/>
                <w:color w:val="auto"/>
              </w:rPr>
            </w:pPr>
          </w:p>
        </w:tc>
        <w:tc>
          <w:tcPr>
            <w:tcW w:w="1840" w:type="dxa"/>
            <w:vAlign w:val="bottom"/>
          </w:tcPr>
          <w:p>
            <w:pPr>
              <w:jc w:val="right"/>
              <w:ind w:right="773"/>
              <w:spacing w:after="0"/>
              <w:rPr>
                <w:sz w:val="20"/>
                <w:szCs w:val="20"/>
                <w:color w:val="auto"/>
              </w:rPr>
            </w:pPr>
            <w:r>
              <w:rPr>
                <w:rFonts w:ascii="Arial" w:cs="Arial" w:eastAsia="Arial" w:hAnsi="Arial"/>
                <w:sz w:val="18"/>
                <w:szCs w:val="18"/>
                <w:color w:val="auto"/>
              </w:rPr>
              <w:t>73</w:t>
            </w:r>
          </w:p>
        </w:tc>
        <w:tc>
          <w:tcPr>
            <w:tcW w:w="48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102"/>
        </w:trPr>
        <w:tc>
          <w:tcPr>
            <w:tcW w:w="4840" w:type="dxa"/>
            <w:vAlign w:val="bottom"/>
            <w:tcBorders>
              <w:bottom w:val="single" w:sz="8" w:color="9A9A9A"/>
            </w:tcBorders>
          </w:tcPr>
          <w:p>
            <w:pPr>
              <w:spacing w:after="0"/>
              <w:rPr>
                <w:sz w:val="8"/>
                <w:szCs w:val="8"/>
                <w:color w:val="auto"/>
              </w:rPr>
            </w:pPr>
          </w:p>
        </w:tc>
        <w:tc>
          <w:tcPr>
            <w:tcW w:w="1840" w:type="dxa"/>
            <w:vAlign w:val="bottom"/>
            <w:tcBorders>
              <w:bottom w:val="single" w:sz="8" w:color="9A9A9A"/>
            </w:tcBorders>
          </w:tcPr>
          <w:p>
            <w:pPr>
              <w:spacing w:after="0"/>
              <w:rPr>
                <w:sz w:val="8"/>
                <w:szCs w:val="8"/>
                <w:color w:val="auto"/>
              </w:rPr>
            </w:pPr>
          </w:p>
        </w:tc>
        <w:tc>
          <w:tcPr>
            <w:tcW w:w="480" w:type="dxa"/>
            <w:vAlign w:val="bottom"/>
            <w:tcBorders>
              <w:bottom w:val="single" w:sz="8" w:color="9A9A9A"/>
            </w:tcBorders>
          </w:tcPr>
          <w:p>
            <w:pPr>
              <w:spacing w:after="0"/>
              <w:rPr>
                <w:sz w:val="8"/>
                <w:szCs w:val="8"/>
                <w:color w:val="auto"/>
              </w:rPr>
            </w:pPr>
          </w:p>
        </w:tc>
        <w:tc>
          <w:tcPr>
            <w:tcW w:w="1820" w:type="dxa"/>
            <w:vAlign w:val="bottom"/>
            <w:tcBorders>
              <w:bottom w:val="single" w:sz="8" w:color="9A9A9A"/>
            </w:tcBorders>
          </w:tcPr>
          <w:p>
            <w:pPr>
              <w:spacing w:after="0"/>
              <w:rPr>
                <w:sz w:val="8"/>
                <w:szCs w:val="8"/>
                <w:color w:val="auto"/>
              </w:rPr>
            </w:pPr>
          </w:p>
        </w:tc>
        <w:tc>
          <w:tcPr>
            <w:tcW w:w="480" w:type="dxa"/>
            <w:vAlign w:val="bottom"/>
            <w:tcBorders>
              <w:bottom w:val="single" w:sz="8" w:color="9A9A9A"/>
            </w:tcBorders>
          </w:tcPr>
          <w:p>
            <w:pPr>
              <w:spacing w:after="0"/>
              <w:rPr>
                <w:sz w:val="8"/>
                <w:szCs w:val="8"/>
                <w:color w:val="auto"/>
              </w:rPr>
            </w:pPr>
          </w:p>
        </w:tc>
        <w:tc>
          <w:tcPr>
            <w:tcW w:w="1840" w:type="dxa"/>
            <w:vAlign w:val="bottom"/>
            <w:tcBorders>
              <w:bottom w:val="single" w:sz="8" w:color="9A9A9A"/>
            </w:tcBorders>
          </w:tcPr>
          <w:p>
            <w:pPr>
              <w:spacing w:after="0"/>
              <w:rPr>
                <w:sz w:val="8"/>
                <w:szCs w:val="8"/>
                <w:color w:val="auto"/>
              </w:rPr>
            </w:pPr>
          </w:p>
        </w:tc>
        <w:tc>
          <w:tcPr>
            <w:tcW w:w="120" w:type="dxa"/>
            <w:vAlign w:val="bottom"/>
            <w:tcBorders>
              <w:bottom w:val="single" w:sz="8" w:color="9A9A9A"/>
            </w:tcBorders>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7230110</wp:posOffset>
            </wp:positionH>
            <wp:positionV relativeFrom="paragraph">
              <wp:posOffset>-29210</wp:posOffset>
            </wp:positionV>
            <wp:extent cx="34290" cy="425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20"/>
          </w:cols>
          <w:pgMar w:left="240" w:top="657" w:right="239" w:bottom="1440" w:gutter="0" w:footer="0" w:header="0"/>
        </w:sectPr>
      </w:pPr>
    </w:p>
    <w:bookmarkStart w:id="73" w:name="page74"/>
    <w:bookmarkEnd w:id="73"/>
    <w:p>
      <w:pPr>
        <w:spacing w:after="0"/>
        <w:rPr>
          <w:sz w:val="20"/>
          <w:szCs w:val="20"/>
          <w:color w:val="auto"/>
        </w:rPr>
      </w:pPr>
      <w:r>
        <w:rPr>
          <w:rFonts w:ascii="Arial" w:cs="Arial" w:eastAsia="Arial" w:hAnsi="Arial"/>
          <w:sz w:val="18"/>
          <w:szCs w:val="18"/>
          <w:b w:val="1"/>
          <w:bCs w:val="1"/>
          <w:i w:val="1"/>
          <w:iCs w:val="1"/>
          <w:color w:val="auto"/>
        </w:rPr>
        <w:t>Income taxes</w:t>
      </w:r>
    </w:p>
    <w:p>
      <w:pPr>
        <w:spacing w:after="0" w:line="108" w:lineRule="exact"/>
        <w:rPr>
          <w:sz w:val="20"/>
          <w:szCs w:val="20"/>
          <w:color w:val="auto"/>
        </w:rPr>
      </w:pPr>
    </w:p>
    <w:p>
      <w:pPr>
        <w:ind w:right="120" w:firstLine="518"/>
        <w:spacing w:after="0" w:line="241" w:lineRule="auto"/>
        <w:rPr>
          <w:sz w:val="20"/>
          <w:szCs w:val="20"/>
          <w:color w:val="auto"/>
        </w:rPr>
      </w:pPr>
      <w:r>
        <w:rPr>
          <w:rFonts w:ascii="Arial" w:cs="Arial" w:eastAsia="Arial" w:hAnsi="Arial"/>
          <w:sz w:val="18"/>
          <w:szCs w:val="18"/>
          <w:color w:val="auto"/>
        </w:rPr>
        <w:t xml:space="preserve">The Company accounts for income taxes in accordance with ASC 740, </w:t>
      </w:r>
      <w:r>
        <w:rPr>
          <w:rFonts w:ascii="Arial" w:cs="Arial" w:eastAsia="Arial" w:hAnsi="Arial"/>
          <w:sz w:val="18"/>
          <w:szCs w:val="18"/>
          <w:i w:val="1"/>
          <w:iCs w:val="1"/>
          <w:color w:val="auto"/>
        </w:rPr>
        <w:t>Income Taxes</w:t>
      </w:r>
      <w:r>
        <w:rPr>
          <w:rFonts w:ascii="Arial" w:cs="Arial" w:eastAsia="Arial" w:hAnsi="Arial"/>
          <w:sz w:val="18"/>
          <w:szCs w:val="18"/>
          <w:color w:val="auto"/>
        </w:rPr>
        <w:t>. ASC 740 requires the recognition of deferred tax assets and liabilities for the expected future tax consequences of temporary differences between the carrying amounts and the tax bases of assets and liabilities. Deferred income tax assets and liabilities are measured using enacted tax rates expected to apply to taxable income in the years in which those temporary differences are expected to be recovered or settled. The effect of a change in tax rates on deferred tax assets and liabilities is recognized in the consolidated statements of operations in the period that includes the enactment date. A valuation allowance is recorded when it is more likely than not that some of the deferred tax assets will not be realized.</w:t>
      </w:r>
    </w:p>
    <w:p>
      <w:pPr>
        <w:spacing w:after="0" w:line="202" w:lineRule="exact"/>
        <w:rPr>
          <w:sz w:val="20"/>
          <w:szCs w:val="20"/>
          <w:color w:val="auto"/>
        </w:rPr>
      </w:pPr>
    </w:p>
    <w:p>
      <w:pPr>
        <w:ind w:right="40" w:firstLine="518"/>
        <w:spacing w:after="0" w:line="238" w:lineRule="auto"/>
        <w:rPr>
          <w:sz w:val="20"/>
          <w:szCs w:val="20"/>
          <w:color w:val="auto"/>
        </w:rPr>
      </w:pPr>
      <w:r>
        <w:rPr>
          <w:rFonts w:ascii="Arial" w:cs="Arial" w:eastAsia="Arial" w:hAnsi="Arial"/>
          <w:sz w:val="18"/>
          <w:szCs w:val="18"/>
          <w:color w:val="auto"/>
        </w:rPr>
        <w:t>The Company recognizes the tax benefit from an uncertain tax position only if it is more likely than not that the tax position will be sustained on examination by the taxing authorities, based on the technical merits of the position. The tax benefits recognized in the consolidated financial statements from such positions are then measured based on the largest benefit that has a greater than 50% likelihood of being realized. The Company recognizes interest and penalties accrued with respect to uncertain tax positions, if any, in the provision for income taxes in the consolidated statements of operations.</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loss per share</w:t>
      </w:r>
    </w:p>
    <w:p>
      <w:pPr>
        <w:spacing w:after="0" w:line="126" w:lineRule="exact"/>
        <w:rPr>
          <w:sz w:val="20"/>
          <w:szCs w:val="20"/>
          <w:color w:val="auto"/>
        </w:rPr>
      </w:pPr>
    </w:p>
    <w:p>
      <w:pPr>
        <w:ind w:right="260" w:firstLine="518"/>
        <w:spacing w:after="0"/>
        <w:rPr>
          <w:sz w:val="20"/>
          <w:szCs w:val="20"/>
          <w:color w:val="auto"/>
        </w:rPr>
      </w:pPr>
      <w:r>
        <w:rPr>
          <w:rFonts w:ascii="Arial" w:cs="Arial" w:eastAsia="Arial" w:hAnsi="Arial"/>
          <w:sz w:val="18"/>
          <w:szCs w:val="18"/>
          <w:color w:val="auto"/>
        </w:rPr>
        <w:t>Basic and diluted loss per share is calculated by dividing net loss attributable to BlackLine, Inc. by the weighted average number of shares of common stock outstanding. As the Company has net losses for the periods presented, all potentially dilutive common stock, which are comprised of stock options and restricted stock units, are antidilutive.</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Foreign currency</w:t>
      </w:r>
    </w:p>
    <w:p>
      <w:pPr>
        <w:spacing w:after="0" w:line="126" w:lineRule="exact"/>
        <w:rPr>
          <w:sz w:val="20"/>
          <w:szCs w:val="20"/>
          <w:color w:val="auto"/>
        </w:rPr>
      </w:pPr>
    </w:p>
    <w:p>
      <w:pPr>
        <w:ind w:right="40" w:firstLine="518"/>
        <w:spacing w:after="0" w:line="236" w:lineRule="auto"/>
        <w:rPr>
          <w:sz w:val="20"/>
          <w:szCs w:val="20"/>
          <w:color w:val="auto"/>
        </w:rPr>
      </w:pPr>
      <w:r>
        <w:rPr>
          <w:rFonts w:ascii="Arial" w:cs="Arial" w:eastAsia="Arial" w:hAnsi="Arial"/>
          <w:sz w:val="18"/>
          <w:szCs w:val="18"/>
          <w:color w:val="auto"/>
        </w:rPr>
        <w:t>The Company’s functional currency for its foreign subsidiaries is the U.S. Dollar (“USD”), with the exception of its BlackLine K.K. subsidiary, for which the Japanese Yen is the functional currency. The foreign exchange impacts of remeasuring the local currency of the foreign subsidiaries to the functional currency is recorded in general and administrative expenses in the Company’s consolidated statements of operations. Monetary assets and liabilities of foreign operations are remeasured at balance sheet date exchange rates, non-monetary assets and liabilities and equity are remeasured at the historical exchange rates, while results of operations are remeasured at average exchange rates in effect for the period. Foreign currency transaction gains (losses) totaled $(0.5) million, $(0.1) million, and $0.6 million for the years ended December 31, 2019, 2018, and 2017, respectively. The financial statements of BlackLine K.K. are translated to USD using balance sheet date exchange rates for monetary assets and liabilities, historical rates of exchange for non-monetary assets and liabilities and equity, and average exchange rates in the period for revenues and expenses. Translation gains and losses are recorded in accumulated other comprehensive income (loss) as a component of stockholders’ equity in the consolidated balance sheets.</w:t>
      </w:r>
    </w:p>
    <w:p>
      <w:pPr>
        <w:spacing w:after="0" w:line="36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 accounting pronouncements</w:t>
      </w:r>
    </w:p>
    <w:p>
      <w:pPr>
        <w:spacing w:after="0" w:line="104"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Recently issued accounting pronouncements not yet adopted</w:t>
      </w:r>
    </w:p>
    <w:p>
      <w:pPr>
        <w:spacing w:after="0" w:line="126" w:lineRule="exact"/>
        <w:rPr>
          <w:sz w:val="20"/>
          <w:szCs w:val="20"/>
          <w:color w:val="auto"/>
        </w:rPr>
      </w:pPr>
    </w:p>
    <w:p>
      <w:pPr>
        <w:ind w:right="140" w:firstLine="518"/>
        <w:spacing w:after="0" w:line="237" w:lineRule="auto"/>
        <w:rPr>
          <w:sz w:val="20"/>
          <w:szCs w:val="20"/>
          <w:color w:val="auto"/>
        </w:rPr>
      </w:pPr>
      <w:r>
        <w:rPr>
          <w:rFonts w:ascii="Arial" w:cs="Arial" w:eastAsia="Arial" w:hAnsi="Arial"/>
          <w:sz w:val="18"/>
          <w:szCs w:val="18"/>
          <w:color w:val="auto"/>
        </w:rPr>
        <w:t>In June 2016, the Financial Accounting Standards Board (“FASB”) issued guidance which requires that financial assets measured at amortized cost be presented at the net amount expected to be collected. This guidance amends the accounting for credit losses for available-for-sale securities and purchased financial assets with credit deterioration. This guidance is effective for annual periods beginning after December 15, 2019, and interim periods within those annual periods. Early adoption is permitted for any interim or annual period after December 15, 2018. The Company does not expect the adoption of this Accounting Standard Update (“ASU”) to have a material impact on its consolidated financial statements.</w:t>
      </w:r>
    </w:p>
    <w:p>
      <w:pPr>
        <w:spacing w:after="0" w:line="187" w:lineRule="exact"/>
        <w:rPr>
          <w:sz w:val="20"/>
          <w:szCs w:val="20"/>
          <w:color w:val="auto"/>
        </w:rPr>
      </w:pPr>
    </w:p>
    <w:p>
      <w:pPr>
        <w:ind w:firstLine="518"/>
        <w:spacing w:after="0" w:line="239" w:lineRule="auto"/>
        <w:rPr>
          <w:sz w:val="20"/>
          <w:szCs w:val="20"/>
          <w:color w:val="auto"/>
        </w:rPr>
      </w:pPr>
      <w:r>
        <w:rPr>
          <w:rFonts w:ascii="Arial" w:cs="Arial" w:eastAsia="Arial" w:hAnsi="Arial"/>
          <w:sz w:val="18"/>
          <w:szCs w:val="18"/>
          <w:color w:val="auto"/>
        </w:rPr>
        <w:t xml:space="preserve">In August 2018, the FASB issued guidance which modifies the disclosure requirements on fair value measurements in Topic 820, </w:t>
      </w:r>
      <w:r>
        <w:rPr>
          <w:rFonts w:ascii="Arial" w:cs="Arial" w:eastAsia="Arial" w:hAnsi="Arial"/>
          <w:sz w:val="18"/>
          <w:szCs w:val="18"/>
          <w:i w:val="1"/>
          <w:iCs w:val="1"/>
          <w:color w:val="auto"/>
        </w:rPr>
        <w:t>Fair</w:t>
      </w:r>
      <w:r>
        <w:rPr>
          <w:rFonts w:ascii="Arial" w:cs="Arial" w:eastAsia="Arial" w:hAnsi="Arial"/>
          <w:sz w:val="18"/>
          <w:szCs w:val="18"/>
          <w:color w:val="auto"/>
        </w:rPr>
        <w:t xml:space="preserve"> </w:t>
      </w:r>
      <w:r>
        <w:rPr>
          <w:rFonts w:ascii="Arial" w:cs="Arial" w:eastAsia="Arial" w:hAnsi="Arial"/>
          <w:sz w:val="18"/>
          <w:szCs w:val="18"/>
          <w:i w:val="1"/>
          <w:iCs w:val="1"/>
          <w:color w:val="auto"/>
        </w:rPr>
        <w:t>Value Measurement</w:t>
      </w:r>
      <w:r>
        <w:rPr>
          <w:rFonts w:ascii="Arial" w:cs="Arial" w:eastAsia="Arial" w:hAnsi="Arial"/>
          <w:sz w:val="18"/>
          <w:szCs w:val="18"/>
          <w:color w:val="auto"/>
        </w:rPr>
        <w:t>, based on the concepts in FASB Concepts Statement,</w:t>
      </w:r>
      <w:r>
        <w:rPr>
          <w:rFonts w:ascii="Arial" w:cs="Arial" w:eastAsia="Arial" w:hAnsi="Arial"/>
          <w:sz w:val="18"/>
          <w:szCs w:val="18"/>
          <w:i w:val="1"/>
          <w:iCs w:val="1"/>
          <w:color w:val="auto"/>
        </w:rPr>
        <w:t xml:space="preserve"> Conceptual Framework for Financial Reporting—Chapter 8: Notes to Financial Statements</w:t>
      </w:r>
      <w:r>
        <w:rPr>
          <w:rFonts w:ascii="Arial" w:cs="Arial" w:eastAsia="Arial" w:hAnsi="Arial"/>
          <w:sz w:val="18"/>
          <w:szCs w:val="18"/>
          <w:color w:val="auto"/>
        </w:rPr>
        <w:t>, including the consideration of costs and benefits. The guidance will be effective for the Company for annual reporting</w:t>
      </w:r>
      <w:r>
        <w:rPr>
          <w:rFonts w:ascii="Arial" w:cs="Arial" w:eastAsia="Arial" w:hAnsi="Arial"/>
          <w:sz w:val="18"/>
          <w:szCs w:val="18"/>
          <w:i w:val="1"/>
          <w:iCs w:val="1"/>
          <w:color w:val="auto"/>
        </w:rPr>
        <w:t xml:space="preserve"> </w:t>
      </w:r>
      <w:r>
        <w:rPr>
          <w:rFonts w:ascii="Arial" w:cs="Arial" w:eastAsia="Arial" w:hAnsi="Arial"/>
          <w:sz w:val="18"/>
          <w:szCs w:val="18"/>
          <w:color w:val="auto"/>
        </w:rPr>
        <w:t>periods, and interim periods within those years, beginning after December 15, 2019. The amendments on changes in unrealized gains and losses, the range and weighted average of significant unobservable inputs used to develop Level 3 fair value measurements, and the narrative description of measurement uncertainty should be applied prospectively for only the most recent interim or annual period presented in the initial fiscal year of adoption. All other amendments should be applied retrospectively to all periods presented upon their effective date. The Company does not expect the adoption of this ASU to have a material impact on its consolidated financial statements.</w:t>
      </w:r>
    </w:p>
    <w:p>
      <w:pPr>
        <w:spacing w:after="0" w:line="2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272020" cy="425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00"/>
          </w:cols>
          <w:pgMar w:left="240" w:top="657" w:right="259" w:bottom="1440" w:gutter="0" w:footer="0" w:header="0"/>
        </w:sectPr>
      </w:pPr>
    </w:p>
    <w:bookmarkStart w:id="74" w:name="page75"/>
    <w:bookmarkEnd w:id="74"/>
    <w:p>
      <w:pPr>
        <w:ind w:left="520"/>
        <w:spacing w:after="0"/>
        <w:rPr>
          <w:sz w:val="20"/>
          <w:szCs w:val="20"/>
          <w:color w:val="auto"/>
        </w:rPr>
      </w:pPr>
      <w:r>
        <w:rPr>
          <w:rFonts w:ascii="Arial" w:cs="Arial" w:eastAsia="Arial" w:hAnsi="Arial"/>
          <w:sz w:val="18"/>
          <w:szCs w:val="18"/>
          <w:b w:val="1"/>
          <w:bCs w:val="1"/>
          <w:i w:val="1"/>
          <w:iCs w:val="1"/>
          <w:color w:val="auto"/>
        </w:rPr>
        <w:t>Recently adopted accounting pronouncements</w:t>
      </w:r>
    </w:p>
    <w:p>
      <w:pPr>
        <w:spacing w:after="0" w:line="126" w:lineRule="exact"/>
        <w:rPr>
          <w:sz w:val="20"/>
          <w:szCs w:val="20"/>
          <w:color w:val="auto"/>
        </w:rPr>
      </w:pPr>
    </w:p>
    <w:p>
      <w:pPr>
        <w:ind w:right="80" w:firstLine="518"/>
        <w:spacing w:after="0" w:line="237" w:lineRule="auto"/>
        <w:rPr>
          <w:sz w:val="20"/>
          <w:szCs w:val="20"/>
          <w:color w:val="auto"/>
        </w:rPr>
      </w:pPr>
      <w:r>
        <w:rPr>
          <w:rFonts w:ascii="Arial" w:cs="Arial" w:eastAsia="Arial" w:hAnsi="Arial"/>
          <w:sz w:val="18"/>
          <w:szCs w:val="18"/>
          <w:color w:val="auto"/>
        </w:rPr>
        <w:t>In August 2018, the FASB issued guidance which aligns the accounting for implementation costs incurred in a hosting arrangement that is a service contract with the accounting for implementation costs incurred to develop or obtain internal-use software under ASC 350-40, in order to determine which costs to capitalize and recognize as an asset. The guidance will be effective for the Company for annual reporting periods, and interim periods within those years, beginning after December 15, 2019, and can be applied either prospectively to implementation costs incurred after the date of adoption or retrospectively to all arrangements. The Company adopted this guidance on a prospective basis effective April 1, 2019.</w:t>
      </w:r>
    </w:p>
    <w:p>
      <w:pPr>
        <w:spacing w:after="0" w:line="205" w:lineRule="exact"/>
        <w:rPr>
          <w:sz w:val="20"/>
          <w:szCs w:val="20"/>
          <w:color w:val="auto"/>
        </w:rPr>
      </w:pPr>
    </w:p>
    <w:p>
      <w:pPr>
        <w:ind w:right="20" w:firstLine="588"/>
        <w:spacing w:after="0" w:line="238" w:lineRule="auto"/>
        <w:rPr>
          <w:sz w:val="20"/>
          <w:szCs w:val="20"/>
          <w:color w:val="auto"/>
        </w:rPr>
      </w:pPr>
      <w:r>
        <w:rPr>
          <w:rFonts w:ascii="Arial" w:cs="Arial" w:eastAsia="Arial" w:hAnsi="Arial"/>
          <w:sz w:val="18"/>
          <w:szCs w:val="18"/>
          <w:color w:val="auto"/>
        </w:rPr>
        <w:t>In February 2016, the FASB issued a new standard related to leases to increase transparency and comparability among organizations by requiring the recognition of ROU assets and lease liabilities on the balance sheet. Most prominent among the changes in the standard is the recognition of ROU assets and lease liabilities by lessees for those leases classified as operating leases. Under the standard, disclosures are required to meet the objective of enabling users of financial statements to assess the amount, timing, and uncertainty of cash flows arising from leases. The Company adopted this guidance effective January 1, 2019.</w:t>
      </w:r>
    </w:p>
    <w:p>
      <w:pPr>
        <w:spacing w:after="0" w:line="203" w:lineRule="exact"/>
        <w:rPr>
          <w:sz w:val="20"/>
          <w:szCs w:val="20"/>
          <w:color w:val="auto"/>
        </w:rPr>
      </w:pPr>
    </w:p>
    <w:p>
      <w:pPr>
        <w:ind w:right="340" w:firstLine="588"/>
        <w:spacing w:after="0" w:line="239" w:lineRule="auto"/>
        <w:rPr>
          <w:sz w:val="20"/>
          <w:szCs w:val="20"/>
          <w:color w:val="auto"/>
        </w:rPr>
      </w:pPr>
      <w:r>
        <w:rPr>
          <w:rFonts w:ascii="Arial" w:cs="Arial" w:eastAsia="Arial" w:hAnsi="Arial"/>
          <w:sz w:val="18"/>
          <w:szCs w:val="18"/>
          <w:color w:val="auto"/>
        </w:rPr>
        <w:t>In February 2018, the FASB issued an ASU that provides companies with an option to reclassify stranded tax effects resulting from enactment of the Tax Cuts and Jobs Act (the “Tax Act”) from accumulated other comprehensive income to retained earnings. The Company adopted this guidance effective January 1, 2019, and the adoption of this standard did not have a material impact on the Company’s consolidated financial statements.</w:t>
      </w:r>
    </w:p>
    <w:p>
      <w:pPr>
        <w:spacing w:after="0" w:line="184" w:lineRule="exact"/>
        <w:rPr>
          <w:sz w:val="20"/>
          <w:szCs w:val="20"/>
          <w:color w:val="auto"/>
        </w:rPr>
      </w:pPr>
    </w:p>
    <w:p>
      <w:pPr>
        <w:ind w:right="20" w:firstLine="588"/>
        <w:spacing w:after="0" w:line="242" w:lineRule="auto"/>
        <w:rPr>
          <w:sz w:val="20"/>
          <w:szCs w:val="20"/>
          <w:color w:val="auto"/>
        </w:rPr>
      </w:pPr>
      <w:r>
        <w:rPr>
          <w:rFonts w:ascii="Arial" w:cs="Arial" w:eastAsia="Arial" w:hAnsi="Arial"/>
          <w:sz w:val="18"/>
          <w:szCs w:val="18"/>
          <w:color w:val="auto"/>
        </w:rPr>
        <w:t xml:space="preserve">In June 2018, the FASB issued guidance which expands the scope of Accounting Standards Codification Topic 718, </w:t>
      </w:r>
      <w:r>
        <w:rPr>
          <w:rFonts w:ascii="Arial" w:cs="Arial" w:eastAsia="Arial" w:hAnsi="Arial"/>
          <w:sz w:val="18"/>
          <w:szCs w:val="18"/>
          <w:i w:val="1"/>
          <w:iCs w:val="1"/>
          <w:color w:val="auto"/>
        </w:rPr>
        <w:t>Compensation—</w:t>
      </w:r>
      <w:r>
        <w:rPr>
          <w:rFonts w:ascii="Arial" w:cs="Arial" w:eastAsia="Arial" w:hAnsi="Arial"/>
          <w:sz w:val="18"/>
          <w:szCs w:val="18"/>
          <w:color w:val="auto"/>
        </w:rPr>
        <w:t xml:space="preserve"> </w:t>
      </w:r>
      <w:r>
        <w:rPr>
          <w:rFonts w:ascii="Arial" w:cs="Arial" w:eastAsia="Arial" w:hAnsi="Arial"/>
          <w:sz w:val="18"/>
          <w:szCs w:val="18"/>
          <w:i w:val="1"/>
          <w:iCs w:val="1"/>
          <w:color w:val="auto"/>
        </w:rPr>
        <w:t>Stock Compensation</w:t>
      </w:r>
      <w:r>
        <w:rPr>
          <w:rFonts w:ascii="Arial" w:cs="Arial" w:eastAsia="Arial" w:hAnsi="Arial"/>
          <w:sz w:val="18"/>
          <w:szCs w:val="18"/>
          <w:color w:val="auto"/>
        </w:rPr>
        <w:t>, to include share-based payments granted to non-employees in exchange for goods or services. The fair value of awards</w:t>
      </w:r>
      <w:r>
        <w:rPr>
          <w:rFonts w:ascii="Arial" w:cs="Arial" w:eastAsia="Arial" w:hAnsi="Arial"/>
          <w:sz w:val="18"/>
          <w:szCs w:val="18"/>
          <w:i w:val="1"/>
          <w:iCs w:val="1"/>
          <w:color w:val="auto"/>
        </w:rPr>
        <w:t xml:space="preserve"> </w:t>
      </w:r>
      <w:r>
        <w:rPr>
          <w:rFonts w:ascii="Arial" w:cs="Arial" w:eastAsia="Arial" w:hAnsi="Arial"/>
          <w:sz w:val="18"/>
          <w:szCs w:val="18"/>
          <w:color w:val="auto"/>
        </w:rPr>
        <w:t>granted to non-employees will be determined as of the grant date, which will be recognized over the service period. Previous guidance required the awards to be remeasured at fair value periodically when determining the related expense. The Company adopted this guidance effective January 1, 2019, and the adoption of this standard did not have a material impact on the Company’s consolidated financial statements.</w:t>
      </w:r>
    </w:p>
    <w:p>
      <w:pPr>
        <w:spacing w:after="0" w:line="185" w:lineRule="exact"/>
        <w:rPr>
          <w:sz w:val="20"/>
          <w:szCs w:val="20"/>
          <w:color w:val="auto"/>
        </w:rPr>
      </w:pPr>
    </w:p>
    <w:p>
      <w:pPr>
        <w:ind w:right="20" w:firstLine="588"/>
        <w:spacing w:after="0" w:line="241" w:lineRule="auto"/>
        <w:rPr>
          <w:sz w:val="20"/>
          <w:szCs w:val="20"/>
          <w:color w:val="auto"/>
        </w:rPr>
      </w:pPr>
      <w:r>
        <w:rPr>
          <w:rFonts w:ascii="Arial" w:cs="Arial" w:eastAsia="Arial" w:hAnsi="Arial"/>
          <w:sz w:val="18"/>
          <w:szCs w:val="18"/>
          <w:color w:val="auto"/>
        </w:rPr>
        <w:t xml:space="preserve">In December 2019, the FASB issued ASU 2019-12, Income Taxes (Topic 740), </w:t>
      </w:r>
      <w:r>
        <w:rPr>
          <w:rFonts w:ascii="Arial" w:cs="Arial" w:eastAsia="Arial" w:hAnsi="Arial"/>
          <w:sz w:val="18"/>
          <w:szCs w:val="18"/>
          <w:i w:val="1"/>
          <w:iCs w:val="1"/>
          <w:color w:val="auto"/>
        </w:rPr>
        <w:t>Simplifying the Accounting for Income Taxes</w:t>
      </w:r>
      <w:r>
        <w:rPr>
          <w:rFonts w:ascii="Arial" w:cs="Arial" w:eastAsia="Arial" w:hAnsi="Arial"/>
          <w:sz w:val="18"/>
          <w:szCs w:val="18"/>
          <w:color w:val="auto"/>
        </w:rPr>
        <w:t>, which is intended to simplify various aspects related to accounting for income taxes. ASU 2019-12 removes certain exceptions to the general principles in Topic 740 and clarifies and amends existing guidance to improve consistent application. ASU 2019-12 is effective for fiscal years, and interim periods within those fiscal years, beginning after December 15, 2020. Early adoption is permitted, including adoption in an interim period. ASU 2019-12 is effective for us in the first quarter of fiscal 2022. The Company early adopted this guidance effective January 1, 2019, and the adoption of this standard did not have a material impact on the Company’s consolidated financial statements.</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Note 3—Revenues</w:t>
      </w:r>
    </w:p>
    <w:p>
      <w:pPr>
        <w:spacing w:after="0" w:line="126" w:lineRule="exact"/>
        <w:rPr>
          <w:sz w:val="20"/>
          <w:szCs w:val="20"/>
          <w:color w:val="auto"/>
        </w:rPr>
      </w:pPr>
    </w:p>
    <w:p>
      <w:pPr>
        <w:ind w:right="380" w:firstLine="518"/>
        <w:spacing w:after="0" w:line="246" w:lineRule="auto"/>
        <w:rPr>
          <w:sz w:val="20"/>
          <w:szCs w:val="20"/>
          <w:color w:val="auto"/>
        </w:rPr>
      </w:pPr>
      <w:r>
        <w:rPr>
          <w:rFonts w:ascii="Arial" w:cs="Arial" w:eastAsia="Arial" w:hAnsi="Arial"/>
          <w:sz w:val="18"/>
          <w:szCs w:val="18"/>
          <w:color w:val="auto"/>
        </w:rPr>
        <w:t>The Company disaggregates its revenue from contracts with customers by geographic location, as it believes it best depicts how the nature, amount, timing, and uncertainty of its revenues and cash flows are affected by economic factors.</w:t>
      </w:r>
    </w:p>
    <w:p>
      <w:pPr>
        <w:spacing w:after="0" w:line="19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following table sets forth the Company’s revenues by geographic region (in thousands):</w:t>
      </w:r>
    </w:p>
    <w:p>
      <w:pPr>
        <w:spacing w:after="0" w:line="294"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5380" w:type="dxa"/>
            <w:vAlign w:val="bottom"/>
          </w:tcPr>
          <w:p>
            <w:pPr>
              <w:spacing w:after="0"/>
              <w:rPr>
                <w:sz w:val="15"/>
                <w:szCs w:val="15"/>
                <w:color w:val="auto"/>
              </w:rPr>
            </w:pPr>
          </w:p>
        </w:tc>
        <w:tc>
          <w:tcPr>
            <w:tcW w:w="108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2080" w:type="dxa"/>
            <w:vAlign w:val="bottom"/>
            <w:tcBorders>
              <w:bottom w:val="single" w:sz="8" w:color="auto"/>
            </w:tcBorders>
            <w:gridSpan w:val="3"/>
          </w:tcPr>
          <w:p>
            <w:pPr>
              <w:ind w:left="20"/>
              <w:spacing w:after="0"/>
              <w:rPr>
                <w:sz w:val="20"/>
                <w:szCs w:val="20"/>
                <w:color w:val="auto"/>
              </w:rPr>
            </w:pPr>
            <w:r>
              <w:rPr>
                <w:rFonts w:ascii="Arial" w:cs="Arial" w:eastAsia="Arial" w:hAnsi="Arial"/>
                <w:sz w:val="14"/>
                <w:szCs w:val="14"/>
                <w:b w:val="1"/>
                <w:bCs w:val="1"/>
                <w:color w:val="auto"/>
              </w:rPr>
              <w:t>Year Ended December 31,</w:t>
            </w:r>
          </w:p>
        </w:tc>
        <w:tc>
          <w:tcPr>
            <w:tcW w:w="400" w:type="dxa"/>
            <w:vAlign w:val="bottom"/>
            <w:tcBorders>
              <w:bottom w:val="single" w:sz="8" w:color="auto"/>
            </w:tcBorders>
          </w:tcPr>
          <w:p>
            <w:pPr>
              <w:spacing w:after="0"/>
              <w:rPr>
                <w:sz w:val="15"/>
                <w:szCs w:val="15"/>
                <w:color w:val="auto"/>
              </w:rPr>
            </w:pPr>
          </w:p>
        </w:tc>
        <w:tc>
          <w:tcPr>
            <w:tcW w:w="138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r>
      <w:tr>
        <w:trPr>
          <w:trHeight w:val="210"/>
        </w:trPr>
        <w:tc>
          <w:tcPr>
            <w:tcW w:w="5380" w:type="dxa"/>
            <w:vAlign w:val="bottom"/>
            <w:tcBorders>
              <w:bottom w:val="single" w:sz="8" w:color="CFF0FC"/>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2019</w:t>
            </w:r>
          </w:p>
        </w:tc>
        <w:tc>
          <w:tcPr>
            <w:tcW w:w="700" w:type="dxa"/>
            <w:vAlign w:val="bottom"/>
            <w:tcBorders>
              <w:bottom w:val="single" w:sz="8" w:color="auto"/>
            </w:tcBorders>
          </w:tcPr>
          <w:p>
            <w:pPr>
              <w:spacing w:after="0"/>
              <w:rPr>
                <w:sz w:val="18"/>
                <w:szCs w:val="18"/>
                <w:color w:val="auto"/>
              </w:rPr>
            </w:pPr>
          </w:p>
        </w:tc>
        <w:tc>
          <w:tcPr>
            <w:tcW w:w="280" w:type="dxa"/>
            <w:vAlign w:val="bottom"/>
            <w:tcBorders>
              <w:bottom w:val="single" w:sz="8" w:color="CFF0FC"/>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ind w:right="654"/>
              <w:spacing w:after="0"/>
              <w:rPr>
                <w:sz w:val="20"/>
                <w:szCs w:val="20"/>
                <w:color w:val="auto"/>
              </w:rPr>
            </w:pPr>
            <w:r>
              <w:rPr>
                <w:rFonts w:ascii="Arial" w:cs="Arial" w:eastAsia="Arial" w:hAnsi="Arial"/>
                <w:sz w:val="14"/>
                <w:szCs w:val="14"/>
                <w:b w:val="1"/>
                <w:bCs w:val="1"/>
                <w:color w:val="auto"/>
              </w:rPr>
              <w:t>2018</w:t>
            </w:r>
          </w:p>
        </w:tc>
        <w:tc>
          <w:tcPr>
            <w:tcW w:w="300" w:type="dxa"/>
            <w:vAlign w:val="bottom"/>
            <w:tcBorders>
              <w:bottom w:val="single" w:sz="8" w:color="CFF0FC"/>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ind w:right="654"/>
              <w:spacing w:after="0"/>
              <w:rPr>
                <w:sz w:val="20"/>
                <w:szCs w:val="20"/>
                <w:color w:val="auto"/>
              </w:rPr>
            </w:pPr>
            <w:r>
              <w:rPr>
                <w:rFonts w:ascii="Arial" w:cs="Arial" w:eastAsia="Arial" w:hAnsi="Arial"/>
                <w:sz w:val="14"/>
                <w:szCs w:val="14"/>
                <w:b w:val="1"/>
                <w:bCs w:val="1"/>
                <w:color w:val="auto"/>
              </w:rPr>
              <w:t>2017</w:t>
            </w:r>
          </w:p>
        </w:tc>
        <w:tc>
          <w:tcPr>
            <w:tcW w:w="120" w:type="dxa"/>
            <w:vAlign w:val="bottom"/>
            <w:tcBorders>
              <w:bottom w:val="single" w:sz="8" w:color="CFF0FC"/>
            </w:tcBorders>
          </w:tcPr>
          <w:p>
            <w:pPr>
              <w:spacing w:after="0"/>
              <w:rPr>
                <w:sz w:val="18"/>
                <w:szCs w:val="18"/>
                <w:color w:val="auto"/>
              </w:rPr>
            </w:pPr>
          </w:p>
        </w:tc>
      </w:tr>
      <w:tr>
        <w:trPr>
          <w:trHeight w:val="210"/>
        </w:trPr>
        <w:tc>
          <w:tcPr>
            <w:tcW w:w="5380" w:type="dxa"/>
            <w:vAlign w:val="bottom"/>
            <w:shd w:val="clear" w:color="auto" w:fill="CFF0FC"/>
          </w:tcPr>
          <w:p>
            <w:pPr>
              <w:spacing w:after="0"/>
              <w:rPr>
                <w:sz w:val="20"/>
                <w:szCs w:val="20"/>
                <w:color w:val="auto"/>
              </w:rPr>
            </w:pPr>
            <w:r>
              <w:rPr>
                <w:rFonts w:ascii="Arial" w:cs="Arial" w:eastAsia="Arial" w:hAnsi="Arial"/>
                <w:sz w:val="18"/>
                <w:szCs w:val="18"/>
                <w:color w:val="auto"/>
              </w:rPr>
              <w:t>United States</w:t>
            </w:r>
          </w:p>
        </w:tc>
        <w:tc>
          <w:tcPr>
            <w:tcW w:w="1080" w:type="dxa"/>
            <w:vAlign w:val="bottom"/>
            <w:shd w:val="clear" w:color="auto" w:fill="CFF0FC"/>
          </w:tcPr>
          <w:p>
            <w:pPr>
              <w:jc w:val="right"/>
              <w:ind w:right="896"/>
              <w:spacing w:after="0"/>
              <w:rPr>
                <w:sz w:val="20"/>
                <w:szCs w:val="20"/>
                <w:color w:val="auto"/>
              </w:rPr>
            </w:pPr>
            <w:r>
              <w:rPr>
                <w:rFonts w:ascii="Arial" w:cs="Arial" w:eastAsia="Arial" w:hAnsi="Arial"/>
                <w:sz w:val="18"/>
                <w:szCs w:val="18"/>
                <w:color w:val="auto"/>
                <w:w w:val="79"/>
              </w:rPr>
              <w:t>$</w:t>
            </w: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223,375</w:t>
            </w:r>
          </w:p>
        </w:tc>
        <w:tc>
          <w:tcPr>
            <w:tcW w:w="700" w:type="dxa"/>
            <w:vAlign w:val="bottom"/>
            <w:gridSpan w:val="2"/>
            <w:shd w:val="clear" w:color="auto" w:fill="CFF0FC"/>
          </w:tcPr>
          <w:p>
            <w:pPr>
              <w:ind w:left="280"/>
              <w:spacing w:after="0"/>
              <w:rPr>
                <w:sz w:val="20"/>
                <w:szCs w:val="20"/>
                <w:color w:val="auto"/>
              </w:rPr>
            </w:pPr>
            <w:r>
              <w:rPr>
                <w:rFonts w:ascii="Arial" w:cs="Arial" w:eastAsia="Arial" w:hAnsi="Arial"/>
                <w:sz w:val="18"/>
                <w:szCs w:val="18"/>
                <w:color w:val="auto"/>
              </w:rPr>
              <w:t>$</w:t>
            </w: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180,152</w:t>
            </w:r>
          </w:p>
        </w:tc>
        <w:tc>
          <w:tcPr>
            <w:tcW w:w="300" w:type="dxa"/>
            <w:vAlign w:val="bottom"/>
            <w:shd w:val="clear" w:color="auto" w:fill="CFF0FC"/>
          </w:tcPr>
          <w:p>
            <w:pPr>
              <w:spacing w:after="0"/>
              <w:rPr>
                <w:sz w:val="18"/>
                <w:szCs w:val="18"/>
                <w:color w:val="auto"/>
              </w:rPr>
            </w:pPr>
          </w:p>
        </w:tc>
        <w:tc>
          <w:tcPr>
            <w:tcW w:w="400" w:type="dxa"/>
            <w:vAlign w:val="bottom"/>
            <w:shd w:val="clear" w:color="auto" w:fill="CFF0FC"/>
          </w:tcPr>
          <w:p>
            <w:pPr>
              <w:jc w:val="right"/>
              <w:ind w:right="210"/>
              <w:spacing w:after="0"/>
              <w:rPr>
                <w:sz w:val="20"/>
                <w:szCs w:val="20"/>
                <w:color w:val="auto"/>
              </w:rPr>
            </w:pPr>
            <w:r>
              <w:rPr>
                <w:rFonts w:ascii="Arial" w:cs="Arial" w:eastAsia="Arial" w:hAnsi="Arial"/>
                <w:sz w:val="18"/>
                <w:szCs w:val="18"/>
                <w:color w:val="auto"/>
                <w:w w:val="79"/>
              </w:rPr>
              <w:t>$</w:t>
            </w: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141,499</w:t>
            </w:r>
          </w:p>
        </w:tc>
        <w:tc>
          <w:tcPr>
            <w:tcW w:w="120" w:type="dxa"/>
            <w:vAlign w:val="bottom"/>
            <w:shd w:val="clear" w:color="auto" w:fill="CFF0FC"/>
          </w:tcPr>
          <w:p>
            <w:pPr>
              <w:spacing w:after="0"/>
              <w:rPr>
                <w:sz w:val="18"/>
                <w:szCs w:val="18"/>
                <w:color w:val="auto"/>
              </w:rPr>
            </w:pPr>
          </w:p>
        </w:tc>
      </w:tr>
      <w:tr>
        <w:trPr>
          <w:trHeight w:val="216"/>
        </w:trPr>
        <w:tc>
          <w:tcPr>
            <w:tcW w:w="538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International</w:t>
            </w:r>
          </w:p>
        </w:tc>
        <w:tc>
          <w:tcPr>
            <w:tcW w:w="108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65,601</w:t>
            </w:r>
          </w:p>
        </w:tc>
        <w:tc>
          <w:tcPr>
            <w:tcW w:w="280" w:type="dxa"/>
            <w:vAlign w:val="bottom"/>
            <w:tcBorders>
              <w:bottom w:val="single" w:sz="8" w:color="CFF0FC"/>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47,636</w:t>
            </w:r>
          </w:p>
        </w:tc>
        <w:tc>
          <w:tcPr>
            <w:tcW w:w="300" w:type="dxa"/>
            <w:vAlign w:val="bottom"/>
            <w:tcBorders>
              <w:bottom w:val="single" w:sz="8" w:color="CFF0FC"/>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34,104</w:t>
            </w:r>
          </w:p>
        </w:tc>
        <w:tc>
          <w:tcPr>
            <w:tcW w:w="120" w:type="dxa"/>
            <w:vAlign w:val="bottom"/>
            <w:tcBorders>
              <w:bottom w:val="single" w:sz="8" w:color="CFF0FC"/>
            </w:tcBorders>
          </w:tcPr>
          <w:p>
            <w:pPr>
              <w:spacing w:after="0"/>
              <w:rPr>
                <w:sz w:val="18"/>
                <w:szCs w:val="18"/>
                <w:color w:val="auto"/>
              </w:rPr>
            </w:pPr>
          </w:p>
        </w:tc>
      </w:tr>
      <w:tr>
        <w:trPr>
          <w:trHeight w:val="210"/>
        </w:trPr>
        <w:tc>
          <w:tcPr>
            <w:tcW w:w="5380" w:type="dxa"/>
            <w:vAlign w:val="bottom"/>
            <w:shd w:val="clear" w:color="auto" w:fill="CFF0FC"/>
          </w:tcPr>
          <w:p>
            <w:pPr>
              <w:spacing w:after="0"/>
              <w:rPr>
                <w:sz w:val="18"/>
                <w:szCs w:val="18"/>
                <w:color w:val="auto"/>
              </w:rPr>
            </w:pPr>
          </w:p>
        </w:tc>
        <w:tc>
          <w:tcPr>
            <w:tcW w:w="1080" w:type="dxa"/>
            <w:vAlign w:val="bottom"/>
            <w:shd w:val="clear" w:color="auto" w:fill="CFF0FC"/>
          </w:tcPr>
          <w:p>
            <w:pPr>
              <w:jc w:val="right"/>
              <w:ind w:right="896"/>
              <w:spacing w:after="0"/>
              <w:rPr>
                <w:sz w:val="20"/>
                <w:szCs w:val="20"/>
                <w:color w:val="auto"/>
              </w:rPr>
            </w:pPr>
            <w:r>
              <w:rPr>
                <w:rFonts w:ascii="Arial" w:cs="Arial" w:eastAsia="Arial" w:hAnsi="Arial"/>
                <w:sz w:val="18"/>
                <w:szCs w:val="18"/>
                <w:color w:val="auto"/>
                <w:w w:val="79"/>
              </w:rPr>
              <w:t>$</w:t>
            </w: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288,976</w:t>
            </w:r>
          </w:p>
        </w:tc>
        <w:tc>
          <w:tcPr>
            <w:tcW w:w="700" w:type="dxa"/>
            <w:vAlign w:val="bottom"/>
            <w:gridSpan w:val="2"/>
            <w:shd w:val="clear" w:color="auto" w:fill="CFF0FC"/>
          </w:tcPr>
          <w:p>
            <w:pPr>
              <w:ind w:left="280"/>
              <w:spacing w:after="0"/>
              <w:rPr>
                <w:sz w:val="20"/>
                <w:szCs w:val="20"/>
                <w:color w:val="auto"/>
              </w:rPr>
            </w:pPr>
            <w:r>
              <w:rPr>
                <w:rFonts w:ascii="Arial" w:cs="Arial" w:eastAsia="Arial" w:hAnsi="Arial"/>
                <w:sz w:val="18"/>
                <w:szCs w:val="18"/>
                <w:color w:val="auto"/>
              </w:rPr>
              <w:t>$</w:t>
            </w: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227,788</w:t>
            </w:r>
          </w:p>
        </w:tc>
        <w:tc>
          <w:tcPr>
            <w:tcW w:w="300" w:type="dxa"/>
            <w:vAlign w:val="bottom"/>
            <w:shd w:val="clear" w:color="auto" w:fill="CFF0FC"/>
          </w:tcPr>
          <w:p>
            <w:pPr>
              <w:spacing w:after="0"/>
              <w:rPr>
                <w:sz w:val="18"/>
                <w:szCs w:val="18"/>
                <w:color w:val="auto"/>
              </w:rPr>
            </w:pPr>
          </w:p>
        </w:tc>
        <w:tc>
          <w:tcPr>
            <w:tcW w:w="400" w:type="dxa"/>
            <w:vAlign w:val="bottom"/>
            <w:shd w:val="clear" w:color="auto" w:fill="CFF0FC"/>
          </w:tcPr>
          <w:p>
            <w:pPr>
              <w:jc w:val="right"/>
              <w:ind w:right="210"/>
              <w:spacing w:after="0"/>
              <w:rPr>
                <w:sz w:val="20"/>
                <w:szCs w:val="20"/>
                <w:color w:val="auto"/>
              </w:rPr>
            </w:pPr>
            <w:r>
              <w:rPr>
                <w:rFonts w:ascii="Arial" w:cs="Arial" w:eastAsia="Arial" w:hAnsi="Arial"/>
                <w:sz w:val="18"/>
                <w:szCs w:val="18"/>
                <w:color w:val="auto"/>
                <w:w w:val="79"/>
              </w:rPr>
              <w:t>$</w:t>
            </w: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175,603</w:t>
            </w:r>
          </w:p>
        </w:tc>
        <w:tc>
          <w:tcPr>
            <w:tcW w:w="120" w:type="dxa"/>
            <w:vAlign w:val="bottom"/>
            <w:shd w:val="clear" w:color="auto" w:fill="CFF0FC"/>
          </w:tcPr>
          <w:p>
            <w:pPr>
              <w:spacing w:after="0"/>
              <w:rPr>
                <w:sz w:val="18"/>
                <w:szCs w:val="18"/>
                <w:color w:val="auto"/>
              </w:rPr>
            </w:pPr>
          </w:p>
        </w:tc>
      </w:tr>
      <w:tr>
        <w:trPr>
          <w:trHeight w:val="20"/>
        </w:trPr>
        <w:tc>
          <w:tcPr>
            <w:tcW w:w="5380" w:type="dxa"/>
            <w:vAlign w:val="bottom"/>
            <w:tcBorders>
              <w:top w:val="single" w:sz="8" w:color="CFF0FC"/>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FF0FC"/>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CFF0FC"/>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r>
    </w:tbl>
    <w:p>
      <w:pPr>
        <w:spacing w:after="0" w:line="283" w:lineRule="exact"/>
        <w:rPr>
          <w:sz w:val="20"/>
          <w:szCs w:val="20"/>
          <w:color w:val="auto"/>
        </w:rPr>
      </w:pPr>
    </w:p>
    <w:p>
      <w:pPr>
        <w:ind w:left="520"/>
        <w:spacing w:after="0"/>
        <w:rPr>
          <w:sz w:val="20"/>
          <w:szCs w:val="20"/>
          <w:color w:val="auto"/>
        </w:rPr>
      </w:pPr>
      <w:r>
        <w:rPr>
          <w:rFonts w:ascii="Arial" w:cs="Arial" w:eastAsia="Arial" w:hAnsi="Arial"/>
          <w:sz w:val="18"/>
          <w:szCs w:val="18"/>
          <w:color w:val="auto"/>
        </w:rPr>
        <w:t>No countries outside the United States represented 10% or more of total revenues.</w:t>
      </w:r>
    </w:p>
    <w:p>
      <w:pPr>
        <w:spacing w:after="0" w:line="29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Note 4—Redeemable Non-Controlling Interest</w:t>
      </w:r>
    </w:p>
    <w:p>
      <w:pPr>
        <w:spacing w:after="0" w:line="126" w:lineRule="exact"/>
        <w:rPr>
          <w:sz w:val="20"/>
          <w:szCs w:val="20"/>
          <w:color w:val="auto"/>
        </w:rPr>
      </w:pPr>
    </w:p>
    <w:p>
      <w:pPr>
        <w:jc w:val="both"/>
        <w:ind w:right="40" w:firstLine="518"/>
        <w:spacing w:after="0"/>
        <w:rPr>
          <w:sz w:val="20"/>
          <w:szCs w:val="20"/>
          <w:color w:val="auto"/>
        </w:rPr>
      </w:pPr>
      <w:r>
        <w:rPr>
          <w:rFonts w:ascii="Arial" w:cs="Arial" w:eastAsia="Arial" w:hAnsi="Arial"/>
          <w:sz w:val="18"/>
          <w:szCs w:val="18"/>
          <w:color w:val="auto"/>
        </w:rPr>
        <w:t>In September 2018, the Company entered into an agreement with Japanese Cloud Computing and M30 LLC (the “Investors”) to engage in the investment, organization, management, and operation of a Japanese subsidiary (“BlackLine K.K.”) of the Company that is focused on the sale of the Company's products in Japan. In October 2018, the Company</w:t>
      </w: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272020" cy="425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657" w:right="239" w:bottom="1440" w:gutter="0" w:footer="0" w:header="0"/>
        </w:sectPr>
      </w:pPr>
    </w:p>
    <w:bookmarkStart w:id="75" w:name="page76"/>
    <w:bookmarkEnd w:id="75"/>
    <w:p>
      <w:pPr>
        <w:ind w:right="820"/>
        <w:spacing w:after="0" w:line="246" w:lineRule="auto"/>
        <w:rPr>
          <w:sz w:val="20"/>
          <w:szCs w:val="20"/>
          <w:color w:val="auto"/>
        </w:rPr>
      </w:pPr>
      <w:r>
        <w:rPr>
          <w:rFonts w:ascii="Arial" w:cs="Arial" w:eastAsia="Arial" w:hAnsi="Arial"/>
          <w:sz w:val="18"/>
          <w:szCs w:val="18"/>
          <w:color w:val="auto"/>
        </w:rPr>
        <w:t>initially contributed approximately $4.5 million in cash in exchange for 51% of the outstanding common stock of BlackLine K.K. As the Company controls a majority stake in BlackLine K.K., the entity has been consolidated.</w:t>
      </w:r>
    </w:p>
    <w:p>
      <w:pPr>
        <w:spacing w:after="0" w:line="197" w:lineRule="exact"/>
        <w:rPr>
          <w:sz w:val="20"/>
          <w:szCs w:val="20"/>
          <w:color w:val="auto"/>
        </w:rPr>
      </w:pPr>
    </w:p>
    <w:p>
      <w:pPr>
        <w:ind w:right="80" w:firstLine="518"/>
        <w:spacing w:after="0" w:line="236" w:lineRule="auto"/>
        <w:rPr>
          <w:sz w:val="20"/>
          <w:szCs w:val="20"/>
          <w:color w:val="auto"/>
        </w:rPr>
      </w:pPr>
      <w:r>
        <w:rPr>
          <w:rFonts w:ascii="Arial" w:cs="Arial" w:eastAsia="Arial" w:hAnsi="Arial"/>
          <w:sz w:val="18"/>
          <w:szCs w:val="18"/>
          <w:color w:val="auto"/>
        </w:rPr>
        <w:t>All of the common stock held by the Investors is callable by the Company or puttable by the Investors upon certain contingent events. Should the call or put option be exercised, the redemption value will be determined based upon a prescribed formula derived from the discrete revenues of BlackLine K.K. and the Company and may be settled, at the Company’s discretion, with Company stock or cash. As a result of the put right available to the Investors in the future, the redeemable non-controlling interest in BlackLine K.K. are classified outside of permanent equity in the Company’s consolidated balance sheet, and the balance is reported at the greater of the initial carrying amount adjusted for the redeemable non-controlling interest’s share of earnings, or its estimated redemption value. The resulting changes in the estimated redemption amount are recorded within retained earnings or, in the absence of retained earnings, additional paid-in-capital. The estimated redemption value of the call/put option embedded in the redeemable non-controlling interest was $1.8 million at December 31, 2019.</w:t>
      </w:r>
    </w:p>
    <w:p>
      <w:pPr>
        <w:spacing w:after="0" w:line="276"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following table summarizes the activity in the redeemable non-controlling interest for the periods indicated below:</w:t>
      </w:r>
    </w:p>
    <w:p>
      <w:pPr>
        <w:spacing w:after="0" w:line="280"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7180" w:type="dxa"/>
            <w:vAlign w:val="bottom"/>
          </w:tcPr>
          <w:p>
            <w:pPr>
              <w:spacing w:after="0"/>
              <w:rPr>
                <w:sz w:val="15"/>
                <w:szCs w:val="15"/>
                <w:color w:val="auto"/>
              </w:rPr>
            </w:pPr>
          </w:p>
        </w:tc>
        <w:tc>
          <w:tcPr>
            <w:tcW w:w="1280" w:type="dxa"/>
            <w:vAlign w:val="bottom"/>
            <w:tcBorders>
              <w:bottom w:val="single" w:sz="8" w:color="auto"/>
            </w:tcBorders>
          </w:tcPr>
          <w:p>
            <w:pPr>
              <w:spacing w:after="0"/>
              <w:rPr>
                <w:sz w:val="15"/>
                <w:szCs w:val="15"/>
                <w:color w:val="auto"/>
              </w:rPr>
            </w:pPr>
          </w:p>
        </w:tc>
        <w:tc>
          <w:tcPr>
            <w:tcW w:w="1480" w:type="dxa"/>
            <w:vAlign w:val="bottom"/>
            <w:tcBorders>
              <w:bottom w:val="single" w:sz="8" w:color="auto"/>
            </w:tcBorders>
            <w:gridSpan w:val="3"/>
          </w:tcPr>
          <w:p>
            <w:pPr>
              <w:jc w:val="right"/>
              <w:ind w:right="150"/>
              <w:spacing w:after="0"/>
              <w:rPr>
                <w:sz w:val="20"/>
                <w:szCs w:val="20"/>
                <w:color w:val="auto"/>
              </w:rPr>
            </w:pPr>
            <w:r>
              <w:rPr>
                <w:rFonts w:ascii="Arial" w:cs="Arial" w:eastAsia="Arial" w:hAnsi="Arial"/>
                <w:sz w:val="14"/>
                <w:szCs w:val="14"/>
                <w:b w:val="1"/>
                <w:bCs w:val="1"/>
                <w:color w:val="auto"/>
              </w:rPr>
              <w:t>December 31,</w:t>
            </w:r>
          </w:p>
        </w:tc>
        <w:tc>
          <w:tcPr>
            <w:tcW w:w="138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r>
      <w:tr>
        <w:trPr>
          <w:trHeight w:val="210"/>
        </w:trPr>
        <w:tc>
          <w:tcPr>
            <w:tcW w:w="7180" w:type="dxa"/>
            <w:vAlign w:val="bottom"/>
            <w:tcBorders>
              <w:bottom w:val="single" w:sz="8" w:color="CFF0FC"/>
            </w:tcBorders>
          </w:tcPr>
          <w:p>
            <w:pPr>
              <w:spacing w:after="0"/>
              <w:rPr>
                <w:sz w:val="18"/>
                <w:szCs w:val="18"/>
                <w:color w:val="auto"/>
              </w:rPr>
            </w:pPr>
          </w:p>
        </w:tc>
        <w:tc>
          <w:tcPr>
            <w:tcW w:w="1280" w:type="dxa"/>
            <w:vAlign w:val="bottom"/>
            <w:tcBorders>
              <w:bottom w:val="single" w:sz="8" w:color="auto"/>
            </w:tcBorders>
          </w:tcPr>
          <w:p>
            <w:pPr>
              <w:jc w:val="right"/>
              <w:ind w:right="76"/>
              <w:spacing w:after="0"/>
              <w:rPr>
                <w:sz w:val="20"/>
                <w:szCs w:val="20"/>
                <w:color w:val="auto"/>
              </w:rPr>
            </w:pPr>
            <w:r>
              <w:rPr>
                <w:rFonts w:ascii="Arial" w:cs="Arial" w:eastAsia="Arial" w:hAnsi="Arial"/>
                <w:sz w:val="14"/>
                <w:szCs w:val="14"/>
                <w:b w:val="1"/>
                <w:bCs w:val="1"/>
                <w:color w:val="auto"/>
              </w:rPr>
              <w:t>2019</w:t>
            </w:r>
          </w:p>
        </w:tc>
        <w:tc>
          <w:tcPr>
            <w:tcW w:w="660" w:type="dxa"/>
            <w:vAlign w:val="bottom"/>
            <w:tcBorders>
              <w:bottom w:val="single" w:sz="8" w:color="auto"/>
            </w:tcBorders>
          </w:tcPr>
          <w:p>
            <w:pPr>
              <w:spacing w:after="0"/>
              <w:rPr>
                <w:sz w:val="18"/>
                <w:szCs w:val="18"/>
                <w:color w:val="auto"/>
              </w:rPr>
            </w:pPr>
          </w:p>
        </w:tc>
        <w:tc>
          <w:tcPr>
            <w:tcW w:w="240" w:type="dxa"/>
            <w:vAlign w:val="bottom"/>
            <w:tcBorders>
              <w:bottom w:val="single" w:sz="8" w:color="CFF0FC"/>
            </w:tcBorders>
          </w:tcPr>
          <w:p>
            <w:pPr>
              <w:spacing w:after="0"/>
              <w:rPr>
                <w:sz w:val="18"/>
                <w:szCs w:val="18"/>
                <w:color w:val="auto"/>
              </w:rPr>
            </w:pPr>
          </w:p>
        </w:tc>
        <w:tc>
          <w:tcPr>
            <w:tcW w:w="58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ind w:right="753"/>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FF0FC"/>
            </w:tcBorders>
          </w:tcPr>
          <w:p>
            <w:pPr>
              <w:spacing w:after="0"/>
              <w:rPr>
                <w:sz w:val="18"/>
                <w:szCs w:val="18"/>
                <w:color w:val="auto"/>
              </w:rPr>
            </w:pPr>
          </w:p>
        </w:tc>
      </w:tr>
      <w:tr>
        <w:trPr>
          <w:trHeight w:val="210"/>
        </w:trPr>
        <w:tc>
          <w:tcPr>
            <w:tcW w:w="7180" w:type="dxa"/>
            <w:vAlign w:val="bottom"/>
            <w:shd w:val="clear" w:color="auto" w:fill="CFF0FC"/>
          </w:tcPr>
          <w:p>
            <w:pPr>
              <w:spacing w:after="0"/>
              <w:rPr>
                <w:sz w:val="20"/>
                <w:szCs w:val="20"/>
                <w:color w:val="auto"/>
              </w:rPr>
            </w:pPr>
            <w:r>
              <w:rPr>
                <w:rFonts w:ascii="Arial" w:cs="Arial" w:eastAsia="Arial" w:hAnsi="Arial"/>
                <w:sz w:val="18"/>
                <w:szCs w:val="18"/>
                <w:color w:val="auto"/>
              </w:rPr>
              <w:t>Balance at beginning of period</w:t>
            </w:r>
          </w:p>
        </w:tc>
        <w:tc>
          <w:tcPr>
            <w:tcW w:w="1280" w:type="dxa"/>
            <w:vAlign w:val="bottom"/>
            <w:shd w:val="clear" w:color="auto" w:fill="CFF0FC"/>
          </w:tcPr>
          <w:p>
            <w:pPr>
              <w:jc w:val="right"/>
              <w:ind w:right="1096"/>
              <w:spacing w:after="0"/>
              <w:rPr>
                <w:sz w:val="20"/>
                <w:szCs w:val="20"/>
                <w:color w:val="auto"/>
              </w:rPr>
            </w:pPr>
            <w:r>
              <w:rPr>
                <w:rFonts w:ascii="Arial" w:cs="Arial" w:eastAsia="Arial" w:hAnsi="Arial"/>
                <w:sz w:val="18"/>
                <w:szCs w:val="18"/>
                <w:color w:val="auto"/>
                <w:w w:val="79"/>
              </w:rPr>
              <w:t>$</w:t>
            </w: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4,387</w:t>
            </w:r>
          </w:p>
        </w:tc>
        <w:tc>
          <w:tcPr>
            <w:tcW w:w="240" w:type="dxa"/>
            <w:vAlign w:val="bottom"/>
            <w:shd w:val="clear" w:color="auto" w:fill="CFF0FC"/>
          </w:tcPr>
          <w:p>
            <w:pPr>
              <w:spacing w:after="0"/>
              <w:rPr>
                <w:sz w:val="18"/>
                <w:szCs w:val="18"/>
                <w:color w:val="auto"/>
              </w:rPr>
            </w:pPr>
          </w:p>
        </w:tc>
        <w:tc>
          <w:tcPr>
            <w:tcW w:w="580" w:type="dxa"/>
            <w:vAlign w:val="bottom"/>
            <w:shd w:val="clear" w:color="auto" w:fill="CFF0FC"/>
          </w:tcPr>
          <w:p>
            <w:pPr>
              <w:jc w:val="right"/>
              <w:ind w:right="390"/>
              <w:spacing w:after="0"/>
              <w:rPr>
                <w:sz w:val="20"/>
                <w:szCs w:val="20"/>
                <w:color w:val="auto"/>
              </w:rPr>
            </w:pPr>
            <w:r>
              <w:rPr>
                <w:rFonts w:ascii="Arial" w:cs="Arial" w:eastAsia="Arial" w:hAnsi="Arial"/>
                <w:sz w:val="18"/>
                <w:szCs w:val="18"/>
                <w:color w:val="auto"/>
                <w:w w:val="79"/>
              </w:rPr>
              <w:t>$</w:t>
            </w:r>
          </w:p>
        </w:tc>
        <w:tc>
          <w:tcPr>
            <w:tcW w:w="148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r>
      <w:tr>
        <w:trPr>
          <w:trHeight w:val="216"/>
        </w:trPr>
        <w:tc>
          <w:tcPr>
            <w:tcW w:w="7180" w:type="dxa"/>
            <w:vAlign w:val="bottom"/>
          </w:tcPr>
          <w:p>
            <w:pPr>
              <w:spacing w:after="0"/>
              <w:rPr>
                <w:sz w:val="20"/>
                <w:szCs w:val="20"/>
                <w:color w:val="auto"/>
              </w:rPr>
            </w:pPr>
            <w:r>
              <w:rPr>
                <w:rFonts w:ascii="Arial" w:cs="Arial" w:eastAsia="Arial" w:hAnsi="Arial"/>
                <w:sz w:val="18"/>
                <w:szCs w:val="18"/>
                <w:color w:val="auto"/>
              </w:rPr>
              <w:t>Investment by redeemable non-controlling interest</w:t>
            </w:r>
          </w:p>
        </w:tc>
        <w:tc>
          <w:tcPr>
            <w:tcW w:w="1280" w:type="dxa"/>
            <w:vAlign w:val="bottom"/>
          </w:tcPr>
          <w:p>
            <w:pPr>
              <w:spacing w:after="0"/>
              <w:rPr>
                <w:sz w:val="18"/>
                <w:szCs w:val="18"/>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58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4,317</w:t>
            </w:r>
          </w:p>
        </w:tc>
        <w:tc>
          <w:tcPr>
            <w:tcW w:w="100" w:type="dxa"/>
            <w:vAlign w:val="bottom"/>
          </w:tcPr>
          <w:p>
            <w:pPr>
              <w:spacing w:after="0"/>
              <w:rPr>
                <w:sz w:val="18"/>
                <w:szCs w:val="18"/>
                <w:color w:val="auto"/>
              </w:rPr>
            </w:pPr>
          </w:p>
        </w:tc>
      </w:tr>
      <w:tr>
        <w:trPr>
          <w:trHeight w:val="215"/>
        </w:trPr>
        <w:tc>
          <w:tcPr>
            <w:tcW w:w="7180" w:type="dxa"/>
            <w:vAlign w:val="bottom"/>
            <w:shd w:val="clear" w:color="auto" w:fill="CFF0FC"/>
          </w:tcPr>
          <w:p>
            <w:pPr>
              <w:spacing w:after="0"/>
              <w:rPr>
                <w:sz w:val="20"/>
                <w:szCs w:val="20"/>
                <w:color w:val="auto"/>
              </w:rPr>
            </w:pPr>
            <w:r>
              <w:rPr>
                <w:rFonts w:ascii="Arial" w:cs="Arial" w:eastAsia="Arial" w:hAnsi="Arial"/>
                <w:sz w:val="18"/>
                <w:szCs w:val="18"/>
                <w:color w:val="auto"/>
              </w:rPr>
              <w:t>Net loss attributable to redeemable non-controlling interest (excluding adjustment to</w:t>
            </w:r>
          </w:p>
        </w:tc>
        <w:tc>
          <w:tcPr>
            <w:tcW w:w="1280" w:type="dxa"/>
            <w:vAlign w:val="bottom"/>
            <w:shd w:val="clear" w:color="auto" w:fill="CFF0FC"/>
          </w:tcPr>
          <w:p>
            <w:pPr>
              <w:spacing w:after="0"/>
              <w:rPr>
                <w:sz w:val="18"/>
                <w:szCs w:val="18"/>
                <w:color w:val="auto"/>
              </w:rPr>
            </w:pPr>
          </w:p>
        </w:tc>
        <w:tc>
          <w:tcPr>
            <w:tcW w:w="6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13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03"/>
        </w:trPr>
        <w:tc>
          <w:tcPr>
            <w:tcW w:w="7180" w:type="dxa"/>
            <w:vAlign w:val="bottom"/>
            <w:shd w:val="clear" w:color="auto" w:fill="CFF0FC"/>
          </w:tcPr>
          <w:p>
            <w:pPr>
              <w:spacing w:after="0" w:line="203" w:lineRule="exact"/>
              <w:rPr>
                <w:sz w:val="20"/>
                <w:szCs w:val="20"/>
                <w:color w:val="auto"/>
              </w:rPr>
            </w:pPr>
            <w:r>
              <w:rPr>
                <w:rFonts w:ascii="Arial" w:cs="Arial" w:eastAsia="Arial" w:hAnsi="Arial"/>
                <w:sz w:val="18"/>
                <w:szCs w:val="18"/>
                <w:color w:val="auto"/>
              </w:rPr>
              <w:t>non-controlling interest)</w:t>
            </w:r>
          </w:p>
        </w:tc>
        <w:tc>
          <w:tcPr>
            <w:tcW w:w="1280" w:type="dxa"/>
            <w:vAlign w:val="bottom"/>
            <w:shd w:val="clear" w:color="auto" w:fill="CFF0FC"/>
          </w:tcPr>
          <w:p>
            <w:pPr>
              <w:spacing w:after="0"/>
              <w:rPr>
                <w:sz w:val="17"/>
                <w:szCs w:val="17"/>
                <w:color w:val="auto"/>
              </w:rPr>
            </w:pPr>
          </w:p>
        </w:tc>
        <w:tc>
          <w:tcPr>
            <w:tcW w:w="900" w:type="dxa"/>
            <w:vAlign w:val="bottom"/>
            <w:gridSpan w:val="2"/>
            <w:shd w:val="clear" w:color="auto" w:fill="CFF0FC"/>
          </w:tcPr>
          <w:p>
            <w:pPr>
              <w:jc w:val="right"/>
              <w:ind w:right="180"/>
              <w:spacing w:after="0" w:line="203" w:lineRule="exact"/>
              <w:rPr>
                <w:sz w:val="20"/>
                <w:szCs w:val="20"/>
                <w:color w:val="auto"/>
              </w:rPr>
            </w:pPr>
            <w:r>
              <w:rPr>
                <w:rFonts w:ascii="Arial" w:cs="Arial" w:eastAsia="Arial" w:hAnsi="Arial"/>
                <w:sz w:val="18"/>
                <w:szCs w:val="18"/>
                <w:color w:val="auto"/>
              </w:rPr>
              <w:t>(1,444)</w:t>
            </w:r>
          </w:p>
        </w:tc>
        <w:tc>
          <w:tcPr>
            <w:tcW w:w="580" w:type="dxa"/>
            <w:vAlign w:val="bottom"/>
            <w:shd w:val="clear" w:color="auto" w:fill="CFF0FC"/>
          </w:tcPr>
          <w:p>
            <w:pPr>
              <w:spacing w:after="0"/>
              <w:rPr>
                <w:sz w:val="17"/>
                <w:szCs w:val="17"/>
                <w:color w:val="auto"/>
              </w:rPr>
            </w:pPr>
          </w:p>
        </w:tc>
        <w:tc>
          <w:tcPr>
            <w:tcW w:w="1480" w:type="dxa"/>
            <w:vAlign w:val="bottom"/>
            <w:gridSpan w:val="2"/>
            <w:shd w:val="clear" w:color="auto" w:fill="CFF0FC"/>
          </w:tcPr>
          <w:p>
            <w:pPr>
              <w:jc w:val="right"/>
              <w:ind w:right="40"/>
              <w:spacing w:after="0" w:line="203" w:lineRule="exact"/>
              <w:rPr>
                <w:sz w:val="20"/>
                <w:szCs w:val="20"/>
                <w:color w:val="auto"/>
              </w:rPr>
            </w:pPr>
            <w:r>
              <w:rPr>
                <w:rFonts w:ascii="Arial" w:cs="Arial" w:eastAsia="Arial" w:hAnsi="Arial"/>
                <w:sz w:val="18"/>
                <w:szCs w:val="18"/>
                <w:color w:val="auto"/>
              </w:rPr>
              <w:t>(62)</w:t>
            </w:r>
          </w:p>
        </w:tc>
      </w:tr>
      <w:tr>
        <w:trPr>
          <w:trHeight w:val="216"/>
        </w:trPr>
        <w:tc>
          <w:tcPr>
            <w:tcW w:w="7180" w:type="dxa"/>
            <w:vAlign w:val="bottom"/>
          </w:tcPr>
          <w:p>
            <w:pPr>
              <w:spacing w:after="0"/>
              <w:rPr>
                <w:sz w:val="20"/>
                <w:szCs w:val="20"/>
                <w:color w:val="auto"/>
              </w:rPr>
            </w:pPr>
            <w:r>
              <w:rPr>
                <w:rFonts w:ascii="Arial" w:cs="Arial" w:eastAsia="Arial" w:hAnsi="Arial"/>
                <w:sz w:val="18"/>
                <w:szCs w:val="18"/>
                <w:color w:val="auto"/>
              </w:rPr>
              <w:t>Foreign currency translation</w:t>
            </w:r>
          </w:p>
        </w:tc>
        <w:tc>
          <w:tcPr>
            <w:tcW w:w="12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129</w:t>
            </w:r>
          </w:p>
        </w:tc>
        <w:tc>
          <w:tcPr>
            <w:tcW w:w="2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132</w:t>
            </w:r>
          </w:p>
        </w:tc>
        <w:tc>
          <w:tcPr>
            <w:tcW w:w="100" w:type="dxa"/>
            <w:vAlign w:val="bottom"/>
          </w:tcPr>
          <w:p>
            <w:pPr>
              <w:spacing w:after="0"/>
              <w:rPr>
                <w:sz w:val="18"/>
                <w:szCs w:val="18"/>
                <w:color w:val="auto"/>
              </w:rPr>
            </w:pPr>
          </w:p>
        </w:tc>
      </w:tr>
      <w:tr>
        <w:trPr>
          <w:trHeight w:val="216"/>
        </w:trPr>
        <w:tc>
          <w:tcPr>
            <w:tcW w:w="7180" w:type="dxa"/>
            <w:vAlign w:val="bottom"/>
            <w:shd w:val="clear" w:color="auto" w:fill="CFF0FC"/>
          </w:tcPr>
          <w:p>
            <w:pPr>
              <w:spacing w:after="0"/>
              <w:rPr>
                <w:sz w:val="20"/>
                <w:szCs w:val="20"/>
                <w:color w:val="auto"/>
              </w:rPr>
            </w:pPr>
            <w:r>
              <w:rPr>
                <w:rFonts w:ascii="Arial" w:cs="Arial" w:eastAsia="Arial" w:hAnsi="Arial"/>
                <w:sz w:val="18"/>
                <w:szCs w:val="18"/>
                <w:color w:val="auto"/>
              </w:rPr>
              <w:t>Adjustment to redeemable non-controlling interest</w:t>
            </w:r>
          </w:p>
        </w:tc>
        <w:tc>
          <w:tcPr>
            <w:tcW w:w="1280" w:type="dxa"/>
            <w:vAlign w:val="bottom"/>
            <w:shd w:val="clear" w:color="auto" w:fill="CFF0FC"/>
          </w:tcPr>
          <w:p>
            <w:pPr>
              <w:spacing w:after="0"/>
              <w:rPr>
                <w:sz w:val="18"/>
                <w:szCs w:val="18"/>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1,833</w:t>
            </w:r>
          </w:p>
        </w:tc>
        <w:tc>
          <w:tcPr>
            <w:tcW w:w="240" w:type="dxa"/>
            <w:vAlign w:val="bottom"/>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148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r>
      <w:tr>
        <w:trPr>
          <w:trHeight w:val="210"/>
        </w:trPr>
        <w:tc>
          <w:tcPr>
            <w:tcW w:w="7180" w:type="dxa"/>
            <w:vAlign w:val="bottom"/>
          </w:tcPr>
          <w:p>
            <w:pPr>
              <w:spacing w:after="0"/>
              <w:rPr>
                <w:sz w:val="20"/>
                <w:szCs w:val="20"/>
                <w:color w:val="auto"/>
              </w:rPr>
            </w:pPr>
            <w:r>
              <w:rPr>
                <w:rFonts w:ascii="Arial" w:cs="Arial" w:eastAsia="Arial" w:hAnsi="Arial"/>
                <w:sz w:val="18"/>
                <w:szCs w:val="18"/>
                <w:color w:val="auto"/>
              </w:rPr>
              <w:t>Balance at end of period</w:t>
            </w:r>
          </w:p>
        </w:tc>
        <w:tc>
          <w:tcPr>
            <w:tcW w:w="1280" w:type="dxa"/>
            <w:vAlign w:val="bottom"/>
            <w:tcBorders>
              <w:top w:val="single" w:sz="8" w:color="auto"/>
              <w:bottom w:val="single" w:sz="8" w:color="auto"/>
            </w:tcBorders>
          </w:tcPr>
          <w:p>
            <w:pPr>
              <w:jc w:val="right"/>
              <w:ind w:right="1096"/>
              <w:spacing w:after="0"/>
              <w:rPr>
                <w:sz w:val="20"/>
                <w:szCs w:val="20"/>
                <w:color w:val="auto"/>
              </w:rPr>
            </w:pPr>
            <w:r>
              <w:rPr>
                <w:rFonts w:ascii="Arial" w:cs="Arial" w:eastAsia="Arial" w:hAnsi="Arial"/>
                <w:sz w:val="18"/>
                <w:szCs w:val="18"/>
                <w:color w:val="auto"/>
                <w:w w:val="79"/>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4,905</w:t>
            </w:r>
          </w:p>
        </w:tc>
        <w:tc>
          <w:tcPr>
            <w:tcW w:w="240" w:type="dxa"/>
            <w:vAlign w:val="bottom"/>
          </w:tcPr>
          <w:p>
            <w:pPr>
              <w:spacing w:after="0"/>
              <w:rPr>
                <w:sz w:val="18"/>
                <w:szCs w:val="18"/>
                <w:color w:val="auto"/>
              </w:rPr>
            </w:pPr>
          </w:p>
        </w:tc>
        <w:tc>
          <w:tcPr>
            <w:tcW w:w="580" w:type="dxa"/>
            <w:vAlign w:val="bottom"/>
            <w:tcBorders>
              <w:top w:val="single" w:sz="8" w:color="auto"/>
              <w:bottom w:val="single" w:sz="8" w:color="auto"/>
            </w:tcBorders>
          </w:tcPr>
          <w:p>
            <w:pPr>
              <w:jc w:val="right"/>
              <w:ind w:right="390"/>
              <w:spacing w:after="0"/>
              <w:rPr>
                <w:sz w:val="20"/>
                <w:szCs w:val="20"/>
                <w:color w:val="auto"/>
              </w:rPr>
            </w:pPr>
            <w:r>
              <w:rPr>
                <w:rFonts w:ascii="Arial" w:cs="Arial" w:eastAsia="Arial" w:hAnsi="Arial"/>
                <w:sz w:val="18"/>
                <w:szCs w:val="18"/>
                <w:color w:val="auto"/>
                <w:w w:val="79"/>
              </w:rPr>
              <w:t>$</w:t>
            </w:r>
          </w:p>
        </w:tc>
        <w:tc>
          <w:tcPr>
            <w:tcW w:w="1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4,387</w:t>
            </w:r>
          </w:p>
        </w:tc>
        <w:tc>
          <w:tcPr>
            <w:tcW w:w="100" w:type="dxa"/>
            <w:vAlign w:val="bottom"/>
          </w:tcPr>
          <w:p>
            <w:pPr>
              <w:spacing w:after="0"/>
              <w:rPr>
                <w:sz w:val="18"/>
                <w:szCs w:val="18"/>
                <w:color w:val="auto"/>
              </w:rPr>
            </w:pPr>
          </w:p>
        </w:tc>
      </w:tr>
      <w:tr>
        <w:trPr>
          <w:trHeight w:val="20"/>
        </w:trPr>
        <w:tc>
          <w:tcPr>
            <w:tcW w:w="7180" w:type="dxa"/>
            <w:vAlign w:val="bottom"/>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Note 5—Balance Sheet Components</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Investments in Marketable Securities</w:t>
      </w:r>
    </w:p>
    <w:p>
      <w:pPr>
        <w:spacing w:after="0" w:line="126" w:lineRule="exact"/>
        <w:rPr>
          <w:sz w:val="20"/>
          <w:szCs w:val="20"/>
          <w:color w:val="auto"/>
        </w:rPr>
      </w:pPr>
    </w:p>
    <w:p>
      <w:pPr>
        <w:ind w:left="520"/>
        <w:spacing w:after="0"/>
        <w:rPr>
          <w:sz w:val="20"/>
          <w:szCs w:val="20"/>
          <w:color w:val="auto"/>
        </w:rPr>
      </w:pPr>
      <w:r>
        <w:rPr>
          <w:rFonts w:ascii="Arial" w:cs="Arial" w:eastAsia="Arial" w:hAnsi="Arial"/>
          <w:sz w:val="18"/>
          <w:szCs w:val="18"/>
          <w:color w:val="auto"/>
        </w:rPr>
        <w:t>Investments in marketable securities presented within current assets on the consolidated balance sheet consisted of the following:</w:t>
      </w:r>
    </w:p>
    <w:p>
      <w:pPr>
        <w:spacing w:after="0" w:line="280"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612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2560" w:type="dxa"/>
            <w:vAlign w:val="bottom"/>
            <w:tcBorders>
              <w:bottom w:val="single" w:sz="8" w:color="auto"/>
            </w:tcBorders>
            <w:gridSpan w:val="5"/>
          </w:tcPr>
          <w:p>
            <w:pPr>
              <w:jc w:val="center"/>
              <w:ind w:right="260"/>
              <w:spacing w:after="0"/>
              <w:rPr>
                <w:sz w:val="20"/>
                <w:szCs w:val="20"/>
                <w:color w:val="auto"/>
              </w:rPr>
            </w:pPr>
            <w:r>
              <w:rPr>
                <w:rFonts w:ascii="Arial" w:cs="Arial" w:eastAsia="Arial" w:hAnsi="Arial"/>
                <w:sz w:val="14"/>
                <w:szCs w:val="14"/>
                <w:b w:val="1"/>
                <w:bCs w:val="1"/>
                <w:color w:val="auto"/>
              </w:rPr>
              <w:t>December 31, 2019</w:t>
            </w:r>
          </w:p>
        </w:tc>
        <w:tc>
          <w:tcPr>
            <w:tcW w:w="18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6"/>
        </w:trPr>
        <w:tc>
          <w:tcPr>
            <w:tcW w:w="6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60" w:type="dxa"/>
            <w:vAlign w:val="bottom"/>
            <w:gridSpan w:val="2"/>
          </w:tcPr>
          <w:p>
            <w:pPr>
              <w:jc w:val="center"/>
              <w:ind w:right="400"/>
              <w:spacing w:after="0" w:line="156" w:lineRule="exact"/>
              <w:rPr>
                <w:sz w:val="20"/>
                <w:szCs w:val="20"/>
                <w:color w:val="auto"/>
              </w:rPr>
            </w:pPr>
            <w:r>
              <w:rPr>
                <w:rFonts w:ascii="Arial" w:cs="Arial" w:eastAsia="Arial" w:hAnsi="Arial"/>
                <w:sz w:val="14"/>
                <w:szCs w:val="14"/>
                <w:b w:val="1"/>
                <w:bCs w:val="1"/>
                <w:color w:val="auto"/>
              </w:rPr>
              <w:t>Gross</w:t>
            </w:r>
          </w:p>
        </w:tc>
        <w:tc>
          <w:tcPr>
            <w:tcW w:w="140" w:type="dxa"/>
            <w:vAlign w:val="bottom"/>
          </w:tcPr>
          <w:p>
            <w:pPr>
              <w:spacing w:after="0"/>
              <w:rPr>
                <w:sz w:val="13"/>
                <w:szCs w:val="13"/>
                <w:color w:val="auto"/>
              </w:rPr>
            </w:pPr>
          </w:p>
        </w:tc>
        <w:tc>
          <w:tcPr>
            <w:tcW w:w="1160" w:type="dxa"/>
            <w:vAlign w:val="bottom"/>
            <w:gridSpan w:val="2"/>
          </w:tcPr>
          <w:p>
            <w:pPr>
              <w:jc w:val="center"/>
              <w:ind w:right="380"/>
              <w:spacing w:after="0" w:line="156" w:lineRule="exact"/>
              <w:rPr>
                <w:sz w:val="20"/>
                <w:szCs w:val="20"/>
                <w:color w:val="auto"/>
              </w:rPr>
            </w:pPr>
            <w:r>
              <w:rPr>
                <w:rFonts w:ascii="Arial" w:cs="Arial" w:eastAsia="Arial" w:hAnsi="Arial"/>
                <w:sz w:val="14"/>
                <w:szCs w:val="14"/>
                <w:b w:val="1"/>
                <w:bCs w:val="1"/>
                <w:color w:val="auto"/>
              </w:rPr>
              <w:t>Gross</w:t>
            </w:r>
          </w:p>
        </w:tc>
        <w:tc>
          <w:tcPr>
            <w:tcW w:w="1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6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4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rPr>
              <w:t>Amortized</w:t>
            </w:r>
          </w:p>
        </w:tc>
        <w:tc>
          <w:tcPr>
            <w:tcW w:w="160" w:type="dxa"/>
            <w:vAlign w:val="bottom"/>
          </w:tcPr>
          <w:p>
            <w:pPr>
              <w:spacing w:after="0"/>
              <w:rPr>
                <w:sz w:val="14"/>
                <w:szCs w:val="14"/>
                <w:color w:val="auto"/>
              </w:rPr>
            </w:pPr>
          </w:p>
        </w:tc>
        <w:tc>
          <w:tcPr>
            <w:tcW w:w="126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rPr>
              <w:t>Unrealized</w:t>
            </w:r>
          </w:p>
        </w:tc>
        <w:tc>
          <w:tcPr>
            <w:tcW w:w="140" w:type="dxa"/>
            <w:vAlign w:val="bottom"/>
          </w:tcPr>
          <w:p>
            <w:pPr>
              <w:spacing w:after="0"/>
              <w:rPr>
                <w:sz w:val="14"/>
                <w:szCs w:val="14"/>
                <w:color w:val="auto"/>
              </w:rPr>
            </w:pPr>
          </w:p>
        </w:tc>
        <w:tc>
          <w:tcPr>
            <w:tcW w:w="116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rPr>
              <w:t>Unrealized</w:t>
            </w:r>
          </w:p>
        </w:tc>
        <w:tc>
          <w:tcPr>
            <w:tcW w:w="1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6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4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rPr>
              <w:t>Cost</w:t>
            </w:r>
          </w:p>
        </w:tc>
        <w:tc>
          <w:tcPr>
            <w:tcW w:w="160" w:type="dxa"/>
            <w:vAlign w:val="bottom"/>
          </w:tcPr>
          <w:p>
            <w:pPr>
              <w:spacing w:after="0"/>
              <w:rPr>
                <w:sz w:val="15"/>
                <w:szCs w:val="15"/>
                <w:color w:val="auto"/>
              </w:rPr>
            </w:pPr>
          </w:p>
        </w:tc>
        <w:tc>
          <w:tcPr>
            <w:tcW w:w="126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rPr>
              <w:t>Gains</w:t>
            </w:r>
          </w:p>
        </w:tc>
        <w:tc>
          <w:tcPr>
            <w:tcW w:w="140" w:type="dxa"/>
            <w:vAlign w:val="bottom"/>
          </w:tcPr>
          <w:p>
            <w:pPr>
              <w:spacing w:after="0"/>
              <w:rPr>
                <w:sz w:val="15"/>
                <w:szCs w:val="15"/>
                <w:color w:val="auto"/>
              </w:rPr>
            </w:pPr>
          </w:p>
        </w:tc>
        <w:tc>
          <w:tcPr>
            <w:tcW w:w="116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rPr>
              <w:t>Losses</w:t>
            </w:r>
          </w:p>
        </w:tc>
        <w:tc>
          <w:tcPr>
            <w:tcW w:w="180" w:type="dxa"/>
            <w:vAlign w:val="bottom"/>
          </w:tcPr>
          <w:p>
            <w:pPr>
              <w:spacing w:after="0"/>
              <w:rPr>
                <w:sz w:val="15"/>
                <w:szCs w:val="15"/>
                <w:color w:val="auto"/>
              </w:rPr>
            </w:pPr>
          </w:p>
        </w:tc>
        <w:tc>
          <w:tcPr>
            <w:tcW w:w="1120" w:type="dxa"/>
            <w:vAlign w:val="bottom"/>
            <w:gridSpan w:val="2"/>
          </w:tcPr>
          <w:p>
            <w:pPr>
              <w:ind w:left="80"/>
              <w:spacing w:after="0"/>
              <w:rPr>
                <w:sz w:val="20"/>
                <w:szCs w:val="20"/>
                <w:color w:val="auto"/>
              </w:rPr>
            </w:pPr>
            <w:r>
              <w:rPr>
                <w:rFonts w:ascii="Arial" w:cs="Arial" w:eastAsia="Arial" w:hAnsi="Arial"/>
                <w:sz w:val="14"/>
                <w:szCs w:val="14"/>
                <w:b w:val="1"/>
                <w:bCs w:val="1"/>
                <w:color w:val="auto"/>
              </w:rPr>
              <w:t>Fair Value</w:t>
            </w:r>
          </w:p>
        </w:tc>
        <w:tc>
          <w:tcPr>
            <w:tcW w:w="0" w:type="dxa"/>
            <w:vAlign w:val="bottom"/>
          </w:tcPr>
          <w:p>
            <w:pPr>
              <w:spacing w:after="0"/>
              <w:rPr>
                <w:sz w:val="1"/>
                <w:szCs w:val="1"/>
                <w:color w:val="auto"/>
              </w:rPr>
            </w:pPr>
          </w:p>
        </w:tc>
      </w:tr>
      <w:tr>
        <w:trPr>
          <w:trHeight w:val="184"/>
        </w:trPr>
        <w:tc>
          <w:tcPr>
            <w:tcW w:w="6120" w:type="dxa"/>
            <w:vAlign w:val="bottom"/>
            <w:vMerge w:val="restart"/>
          </w:tcPr>
          <w:p>
            <w:pPr>
              <w:spacing w:after="0"/>
              <w:rPr>
                <w:sz w:val="20"/>
                <w:szCs w:val="20"/>
                <w:color w:val="auto"/>
              </w:rPr>
            </w:pPr>
            <w:r>
              <w:rPr>
                <w:rFonts w:ascii="Arial" w:cs="Arial" w:eastAsia="Arial" w:hAnsi="Arial"/>
                <w:sz w:val="18"/>
                <w:szCs w:val="18"/>
                <w:color w:val="auto"/>
              </w:rPr>
              <w:t>Marketable securities</w:t>
            </w:r>
          </w:p>
        </w:tc>
        <w:tc>
          <w:tcPr>
            <w:tcW w:w="140" w:type="dxa"/>
            <w:vAlign w:val="bottom"/>
            <w:tcBorders>
              <w:top w:val="single" w:sz="8" w:color="auto"/>
            </w:tcBorders>
          </w:tcPr>
          <w:p>
            <w:pPr>
              <w:spacing w:after="0"/>
              <w:rPr>
                <w:sz w:val="16"/>
                <w:szCs w:val="16"/>
                <w:color w:val="auto"/>
              </w:rPr>
            </w:pPr>
          </w:p>
        </w:tc>
        <w:tc>
          <w:tcPr>
            <w:tcW w:w="900" w:type="dxa"/>
            <w:vAlign w:val="bottom"/>
            <w:tcBorders>
              <w:top w:val="single" w:sz="8" w:color="auto"/>
            </w:tcBorders>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2560" w:type="dxa"/>
            <w:vAlign w:val="bottom"/>
            <w:tcBorders>
              <w:top w:val="single" w:sz="8" w:color="auto"/>
            </w:tcBorders>
            <w:gridSpan w:val="5"/>
          </w:tcPr>
          <w:p>
            <w:pPr>
              <w:jc w:val="center"/>
              <w:ind w:right="260"/>
              <w:spacing w:after="0"/>
              <w:rPr>
                <w:sz w:val="20"/>
                <w:szCs w:val="20"/>
                <w:color w:val="auto"/>
              </w:rPr>
            </w:pPr>
            <w:r>
              <w:rPr>
                <w:rFonts w:ascii="Arial" w:cs="Arial" w:eastAsia="Arial" w:hAnsi="Arial"/>
                <w:sz w:val="14"/>
                <w:szCs w:val="14"/>
                <w:b w:val="1"/>
                <w:bCs w:val="1"/>
                <w:color w:val="auto"/>
              </w:rPr>
              <w:t>(in thousands)</w:t>
            </w:r>
          </w:p>
        </w:tc>
        <w:tc>
          <w:tcPr>
            <w:tcW w:w="180" w:type="dxa"/>
            <w:vAlign w:val="bottom"/>
            <w:tcBorders>
              <w:top w:val="single" w:sz="8" w:color="auto"/>
            </w:tcBorders>
          </w:tcPr>
          <w:p>
            <w:pPr>
              <w:spacing w:after="0"/>
              <w:rPr>
                <w:sz w:val="16"/>
                <w:szCs w:val="16"/>
                <w:color w:val="auto"/>
              </w:rPr>
            </w:pPr>
          </w:p>
        </w:tc>
        <w:tc>
          <w:tcPr>
            <w:tcW w:w="102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1"/>
        </w:trPr>
        <w:tc>
          <w:tcPr>
            <w:tcW w:w="6120" w:type="dxa"/>
            <w:vAlign w:val="bottom"/>
            <w:vMerge w:val="continue"/>
          </w:tcPr>
          <w:p>
            <w:pPr>
              <w:spacing w:after="0"/>
              <w:rPr>
                <w:sz w:val="17"/>
                <w:szCs w:val="17"/>
                <w:color w:val="auto"/>
              </w:rPr>
            </w:pPr>
          </w:p>
        </w:tc>
        <w:tc>
          <w:tcPr>
            <w:tcW w:w="1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1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U.S. treasury securities</w:t>
            </w: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382,269</w:t>
            </w:r>
          </w:p>
        </w:tc>
        <w:tc>
          <w:tcPr>
            <w:tcW w:w="240" w:type="dxa"/>
            <w:vAlign w:val="bottom"/>
            <w:shd w:val="clear" w:color="auto" w:fill="CFF0FC"/>
          </w:tcPr>
          <w:p>
            <w:pPr>
              <w:spacing w:after="0"/>
              <w:rPr>
                <w:sz w:val="18"/>
                <w:szCs w:val="18"/>
                <w:color w:val="auto"/>
              </w:rPr>
            </w:pPr>
          </w:p>
        </w:tc>
        <w:tc>
          <w:tcPr>
            <w:tcW w:w="1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67</w:t>
            </w:r>
          </w:p>
        </w:tc>
        <w:tc>
          <w:tcPr>
            <w:tcW w:w="240" w:type="dxa"/>
            <w:vAlign w:val="bottom"/>
            <w:shd w:val="clear" w:color="auto" w:fill="CFF0FC"/>
          </w:tcPr>
          <w:p>
            <w:pPr>
              <w:spacing w:after="0"/>
              <w:rPr>
                <w:sz w:val="18"/>
                <w:szCs w:val="18"/>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(1)</w:t>
            </w: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382,335</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120" w:type="dxa"/>
            <w:vAlign w:val="bottom"/>
          </w:tcPr>
          <w:p>
            <w:pPr>
              <w:ind w:left="260"/>
              <w:spacing w:after="0"/>
              <w:rPr>
                <w:sz w:val="20"/>
                <w:szCs w:val="20"/>
                <w:color w:val="auto"/>
              </w:rPr>
            </w:pPr>
            <w:r>
              <w:rPr>
                <w:rFonts w:ascii="Arial" w:cs="Arial" w:eastAsia="Arial" w:hAnsi="Arial"/>
                <w:sz w:val="18"/>
                <w:szCs w:val="18"/>
                <w:color w:val="auto"/>
              </w:rPr>
              <w:t>Corporate bonds</w:t>
            </w:r>
          </w:p>
        </w:tc>
        <w:tc>
          <w:tcPr>
            <w:tcW w:w="1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77,009</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63</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gridSpan w:val="2"/>
          </w:tcPr>
          <w:p>
            <w:pPr>
              <w:jc w:val="right"/>
              <w:ind w:right="180"/>
              <w:spacing w:after="0"/>
              <w:rPr>
                <w:sz w:val="20"/>
                <w:szCs w:val="20"/>
                <w:color w:val="auto"/>
              </w:rPr>
            </w:pPr>
            <w:r>
              <w:rPr>
                <w:rFonts w:ascii="Arial" w:cs="Arial" w:eastAsia="Arial" w:hAnsi="Arial"/>
                <w:sz w:val="18"/>
                <w:szCs w:val="18"/>
                <w:color w:val="auto"/>
              </w:rPr>
              <w:t>(18)</w:t>
            </w:r>
          </w:p>
        </w:tc>
        <w:tc>
          <w:tcPr>
            <w:tcW w:w="1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77,054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1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Commercial paper</w:t>
            </w:r>
          </w:p>
        </w:tc>
        <w:tc>
          <w:tcPr>
            <w:tcW w:w="140" w:type="dxa"/>
            <w:vAlign w:val="bottom"/>
            <w:tcBorders>
              <w:bottom w:val="single" w:sz="8" w:color="auto"/>
            </w:tcBorders>
            <w:shd w:val="clear" w:color="auto" w:fill="CFF0FC"/>
          </w:tcPr>
          <w:p>
            <w:pPr>
              <w:spacing w:after="0"/>
              <w:rPr>
                <w:sz w:val="18"/>
                <w:szCs w:val="18"/>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28,126</w:t>
            </w:r>
          </w:p>
        </w:tc>
        <w:tc>
          <w:tcPr>
            <w:tcW w:w="240" w:type="dxa"/>
            <w:vAlign w:val="bottom"/>
            <w:shd w:val="clear" w:color="auto" w:fill="CFF0FC"/>
          </w:tcPr>
          <w:p>
            <w:pPr>
              <w:spacing w:after="0"/>
              <w:rPr>
                <w:sz w:val="18"/>
                <w:szCs w:val="18"/>
                <w:color w:val="auto"/>
              </w:rPr>
            </w:pPr>
          </w:p>
        </w:tc>
        <w:tc>
          <w:tcPr>
            <w:tcW w:w="160" w:type="dxa"/>
            <w:vAlign w:val="bottom"/>
            <w:tcBorders>
              <w:bottom w:val="single" w:sz="8" w:color="auto"/>
            </w:tcBorders>
            <w:shd w:val="clear" w:color="auto" w:fill="CFF0FC"/>
          </w:tcPr>
          <w:p>
            <w:pPr>
              <w:spacing w:after="0"/>
              <w:rPr>
                <w:sz w:val="18"/>
                <w:szCs w:val="18"/>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18"/>
                <w:szCs w:val="18"/>
                <w:color w:val="auto"/>
              </w:rPr>
            </w:pPr>
          </w:p>
        </w:tc>
        <w:tc>
          <w:tcPr>
            <w:tcW w:w="140" w:type="dxa"/>
            <w:vAlign w:val="bottom"/>
            <w:tcBorders>
              <w:bottom w:val="single" w:sz="8" w:color="auto"/>
            </w:tcBorders>
            <w:shd w:val="clear" w:color="auto" w:fill="CFF0FC"/>
          </w:tcPr>
          <w:p>
            <w:pPr>
              <w:spacing w:after="0"/>
              <w:rPr>
                <w:sz w:val="18"/>
                <w:szCs w:val="18"/>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18"/>
                <w:szCs w:val="18"/>
                <w:color w:val="auto"/>
              </w:rPr>
            </w:pPr>
          </w:p>
        </w:tc>
        <w:tc>
          <w:tcPr>
            <w:tcW w:w="180" w:type="dxa"/>
            <w:vAlign w:val="bottom"/>
            <w:tcBorders>
              <w:bottom w:val="single" w:sz="8" w:color="auto"/>
            </w:tcBorders>
            <w:shd w:val="clear" w:color="auto" w:fill="CFF0FC"/>
          </w:tcPr>
          <w:p>
            <w:pPr>
              <w:spacing w:after="0"/>
              <w:rPr>
                <w:sz w:val="18"/>
                <w:szCs w:val="18"/>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28,126</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12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487,404</w:t>
            </w:r>
          </w:p>
        </w:tc>
        <w:tc>
          <w:tcPr>
            <w:tcW w:w="24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130</w:t>
            </w:r>
          </w:p>
        </w:tc>
        <w:tc>
          <w:tcPr>
            <w:tcW w:w="24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2"/>
          </w:tcPr>
          <w:p>
            <w:pPr>
              <w:jc w:val="right"/>
              <w:ind w:right="180"/>
              <w:spacing w:after="0"/>
              <w:rPr>
                <w:sz w:val="20"/>
                <w:szCs w:val="20"/>
                <w:color w:val="auto"/>
              </w:rPr>
            </w:pPr>
            <w:r>
              <w:rPr>
                <w:rFonts w:ascii="Arial" w:cs="Arial" w:eastAsia="Arial" w:hAnsi="Arial"/>
                <w:sz w:val="18"/>
                <w:szCs w:val="18"/>
                <w:color w:val="auto"/>
              </w:rPr>
              <w:t>(19)</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487,515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60" w:type="dxa"/>
            <w:vAlign w:val="bottom"/>
            <w:tcBorders>
              <w:top w:val="single" w:sz="8" w:color="auto"/>
              <w:bottom w:val="single" w:sz="8" w:color="auto"/>
            </w:tcBorders>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0"/>
        </w:trPr>
        <w:tc>
          <w:tcPr>
            <w:tcW w:w="612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560" w:type="dxa"/>
            <w:vAlign w:val="bottom"/>
            <w:tcBorders>
              <w:bottom w:val="single" w:sz="8" w:color="auto"/>
            </w:tcBorders>
            <w:gridSpan w:val="5"/>
          </w:tcPr>
          <w:p>
            <w:pPr>
              <w:jc w:val="center"/>
              <w:ind w:right="260"/>
              <w:spacing w:after="0"/>
              <w:rPr>
                <w:sz w:val="20"/>
                <w:szCs w:val="20"/>
                <w:color w:val="auto"/>
              </w:rPr>
            </w:pPr>
            <w:r>
              <w:rPr>
                <w:rFonts w:ascii="Arial" w:cs="Arial" w:eastAsia="Arial" w:hAnsi="Arial"/>
                <w:sz w:val="14"/>
                <w:szCs w:val="14"/>
                <w:b w:val="1"/>
                <w:bCs w:val="1"/>
                <w:color w:val="auto"/>
              </w:rPr>
              <w:t>December 31, 2018</w:t>
            </w:r>
          </w:p>
        </w:tc>
        <w:tc>
          <w:tcPr>
            <w:tcW w:w="18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6"/>
        </w:trPr>
        <w:tc>
          <w:tcPr>
            <w:tcW w:w="6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60" w:type="dxa"/>
            <w:vAlign w:val="bottom"/>
            <w:gridSpan w:val="2"/>
          </w:tcPr>
          <w:p>
            <w:pPr>
              <w:jc w:val="center"/>
              <w:ind w:right="400"/>
              <w:spacing w:after="0" w:line="156" w:lineRule="exact"/>
              <w:rPr>
                <w:sz w:val="20"/>
                <w:szCs w:val="20"/>
                <w:color w:val="auto"/>
              </w:rPr>
            </w:pPr>
            <w:r>
              <w:rPr>
                <w:rFonts w:ascii="Arial" w:cs="Arial" w:eastAsia="Arial" w:hAnsi="Arial"/>
                <w:sz w:val="14"/>
                <w:szCs w:val="14"/>
                <w:b w:val="1"/>
                <w:bCs w:val="1"/>
                <w:color w:val="auto"/>
              </w:rPr>
              <w:t>Gross</w:t>
            </w:r>
          </w:p>
        </w:tc>
        <w:tc>
          <w:tcPr>
            <w:tcW w:w="140" w:type="dxa"/>
            <w:vAlign w:val="bottom"/>
          </w:tcPr>
          <w:p>
            <w:pPr>
              <w:spacing w:after="0"/>
              <w:rPr>
                <w:sz w:val="13"/>
                <w:szCs w:val="13"/>
                <w:color w:val="auto"/>
              </w:rPr>
            </w:pPr>
          </w:p>
        </w:tc>
        <w:tc>
          <w:tcPr>
            <w:tcW w:w="1160" w:type="dxa"/>
            <w:vAlign w:val="bottom"/>
            <w:gridSpan w:val="2"/>
          </w:tcPr>
          <w:p>
            <w:pPr>
              <w:jc w:val="center"/>
              <w:ind w:right="380"/>
              <w:spacing w:after="0" w:line="156" w:lineRule="exact"/>
              <w:rPr>
                <w:sz w:val="20"/>
                <w:szCs w:val="20"/>
                <w:color w:val="auto"/>
              </w:rPr>
            </w:pPr>
            <w:r>
              <w:rPr>
                <w:rFonts w:ascii="Arial" w:cs="Arial" w:eastAsia="Arial" w:hAnsi="Arial"/>
                <w:sz w:val="14"/>
                <w:szCs w:val="14"/>
                <w:b w:val="1"/>
                <w:bCs w:val="1"/>
                <w:color w:val="auto"/>
              </w:rPr>
              <w:t>Gross</w:t>
            </w:r>
          </w:p>
        </w:tc>
        <w:tc>
          <w:tcPr>
            <w:tcW w:w="1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6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4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rPr>
              <w:t>Amortized</w:t>
            </w:r>
          </w:p>
        </w:tc>
        <w:tc>
          <w:tcPr>
            <w:tcW w:w="160" w:type="dxa"/>
            <w:vAlign w:val="bottom"/>
          </w:tcPr>
          <w:p>
            <w:pPr>
              <w:spacing w:after="0"/>
              <w:rPr>
                <w:sz w:val="14"/>
                <w:szCs w:val="14"/>
                <w:color w:val="auto"/>
              </w:rPr>
            </w:pPr>
          </w:p>
        </w:tc>
        <w:tc>
          <w:tcPr>
            <w:tcW w:w="126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rPr>
              <w:t>Unrealized</w:t>
            </w:r>
          </w:p>
        </w:tc>
        <w:tc>
          <w:tcPr>
            <w:tcW w:w="140" w:type="dxa"/>
            <w:vAlign w:val="bottom"/>
          </w:tcPr>
          <w:p>
            <w:pPr>
              <w:spacing w:after="0"/>
              <w:rPr>
                <w:sz w:val="14"/>
                <w:szCs w:val="14"/>
                <w:color w:val="auto"/>
              </w:rPr>
            </w:pPr>
          </w:p>
        </w:tc>
        <w:tc>
          <w:tcPr>
            <w:tcW w:w="116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rPr>
              <w:t>Unrealized</w:t>
            </w:r>
          </w:p>
        </w:tc>
        <w:tc>
          <w:tcPr>
            <w:tcW w:w="1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6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4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rPr>
              <w:t>Cost</w:t>
            </w:r>
          </w:p>
        </w:tc>
        <w:tc>
          <w:tcPr>
            <w:tcW w:w="160" w:type="dxa"/>
            <w:vAlign w:val="bottom"/>
          </w:tcPr>
          <w:p>
            <w:pPr>
              <w:spacing w:after="0"/>
              <w:rPr>
                <w:sz w:val="15"/>
                <w:szCs w:val="15"/>
                <w:color w:val="auto"/>
              </w:rPr>
            </w:pPr>
          </w:p>
        </w:tc>
        <w:tc>
          <w:tcPr>
            <w:tcW w:w="126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rPr>
              <w:t>Gains</w:t>
            </w:r>
          </w:p>
        </w:tc>
        <w:tc>
          <w:tcPr>
            <w:tcW w:w="140" w:type="dxa"/>
            <w:vAlign w:val="bottom"/>
          </w:tcPr>
          <w:p>
            <w:pPr>
              <w:spacing w:after="0"/>
              <w:rPr>
                <w:sz w:val="15"/>
                <w:szCs w:val="15"/>
                <w:color w:val="auto"/>
              </w:rPr>
            </w:pPr>
          </w:p>
        </w:tc>
        <w:tc>
          <w:tcPr>
            <w:tcW w:w="116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rPr>
              <w:t>Losses</w:t>
            </w:r>
          </w:p>
        </w:tc>
        <w:tc>
          <w:tcPr>
            <w:tcW w:w="180" w:type="dxa"/>
            <w:vAlign w:val="bottom"/>
          </w:tcPr>
          <w:p>
            <w:pPr>
              <w:spacing w:after="0"/>
              <w:rPr>
                <w:sz w:val="15"/>
                <w:szCs w:val="15"/>
                <w:color w:val="auto"/>
              </w:rPr>
            </w:pPr>
          </w:p>
        </w:tc>
        <w:tc>
          <w:tcPr>
            <w:tcW w:w="1120" w:type="dxa"/>
            <w:vAlign w:val="bottom"/>
            <w:gridSpan w:val="2"/>
          </w:tcPr>
          <w:p>
            <w:pPr>
              <w:ind w:left="80"/>
              <w:spacing w:after="0"/>
              <w:rPr>
                <w:sz w:val="20"/>
                <w:szCs w:val="20"/>
                <w:color w:val="auto"/>
              </w:rPr>
            </w:pPr>
            <w:r>
              <w:rPr>
                <w:rFonts w:ascii="Arial" w:cs="Arial" w:eastAsia="Arial" w:hAnsi="Arial"/>
                <w:sz w:val="14"/>
                <w:szCs w:val="14"/>
                <w:b w:val="1"/>
                <w:bCs w:val="1"/>
                <w:color w:val="auto"/>
              </w:rPr>
              <w:t>Fair Value</w:t>
            </w:r>
          </w:p>
        </w:tc>
        <w:tc>
          <w:tcPr>
            <w:tcW w:w="0" w:type="dxa"/>
            <w:vAlign w:val="bottom"/>
          </w:tcPr>
          <w:p>
            <w:pPr>
              <w:spacing w:after="0"/>
              <w:rPr>
                <w:sz w:val="1"/>
                <w:szCs w:val="1"/>
                <w:color w:val="auto"/>
              </w:rPr>
            </w:pPr>
          </w:p>
        </w:tc>
      </w:tr>
      <w:tr>
        <w:trPr>
          <w:trHeight w:val="184"/>
        </w:trPr>
        <w:tc>
          <w:tcPr>
            <w:tcW w:w="6120" w:type="dxa"/>
            <w:vAlign w:val="bottom"/>
            <w:vMerge w:val="restart"/>
          </w:tcPr>
          <w:p>
            <w:pPr>
              <w:spacing w:after="0"/>
              <w:rPr>
                <w:sz w:val="20"/>
                <w:szCs w:val="20"/>
                <w:color w:val="auto"/>
              </w:rPr>
            </w:pPr>
            <w:r>
              <w:rPr>
                <w:rFonts w:ascii="Arial" w:cs="Arial" w:eastAsia="Arial" w:hAnsi="Arial"/>
                <w:sz w:val="18"/>
                <w:szCs w:val="18"/>
                <w:color w:val="auto"/>
              </w:rPr>
              <w:t>Marketable securities</w:t>
            </w:r>
          </w:p>
        </w:tc>
        <w:tc>
          <w:tcPr>
            <w:tcW w:w="140" w:type="dxa"/>
            <w:vAlign w:val="bottom"/>
            <w:tcBorders>
              <w:top w:val="single" w:sz="8" w:color="auto"/>
            </w:tcBorders>
          </w:tcPr>
          <w:p>
            <w:pPr>
              <w:spacing w:after="0"/>
              <w:rPr>
                <w:sz w:val="16"/>
                <w:szCs w:val="16"/>
                <w:color w:val="auto"/>
              </w:rPr>
            </w:pPr>
          </w:p>
        </w:tc>
        <w:tc>
          <w:tcPr>
            <w:tcW w:w="900" w:type="dxa"/>
            <w:vAlign w:val="bottom"/>
            <w:tcBorders>
              <w:top w:val="single" w:sz="8" w:color="auto"/>
            </w:tcBorders>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2560" w:type="dxa"/>
            <w:vAlign w:val="bottom"/>
            <w:tcBorders>
              <w:top w:val="single" w:sz="8" w:color="auto"/>
            </w:tcBorders>
            <w:gridSpan w:val="5"/>
          </w:tcPr>
          <w:p>
            <w:pPr>
              <w:jc w:val="center"/>
              <w:ind w:right="260"/>
              <w:spacing w:after="0"/>
              <w:rPr>
                <w:sz w:val="20"/>
                <w:szCs w:val="20"/>
                <w:color w:val="auto"/>
              </w:rPr>
            </w:pPr>
            <w:r>
              <w:rPr>
                <w:rFonts w:ascii="Arial" w:cs="Arial" w:eastAsia="Arial" w:hAnsi="Arial"/>
                <w:sz w:val="14"/>
                <w:szCs w:val="14"/>
                <w:b w:val="1"/>
                <w:bCs w:val="1"/>
                <w:color w:val="auto"/>
              </w:rPr>
              <w:t>(in thousands)</w:t>
            </w:r>
          </w:p>
        </w:tc>
        <w:tc>
          <w:tcPr>
            <w:tcW w:w="180" w:type="dxa"/>
            <w:vAlign w:val="bottom"/>
            <w:tcBorders>
              <w:top w:val="single" w:sz="8" w:color="auto"/>
            </w:tcBorders>
          </w:tcPr>
          <w:p>
            <w:pPr>
              <w:spacing w:after="0"/>
              <w:rPr>
                <w:sz w:val="16"/>
                <w:szCs w:val="16"/>
                <w:color w:val="auto"/>
              </w:rPr>
            </w:pPr>
          </w:p>
        </w:tc>
        <w:tc>
          <w:tcPr>
            <w:tcW w:w="102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1"/>
        </w:trPr>
        <w:tc>
          <w:tcPr>
            <w:tcW w:w="6120" w:type="dxa"/>
            <w:vAlign w:val="bottom"/>
            <w:vMerge w:val="continue"/>
          </w:tcPr>
          <w:p>
            <w:pPr>
              <w:spacing w:after="0"/>
              <w:rPr>
                <w:sz w:val="17"/>
                <w:szCs w:val="17"/>
                <w:color w:val="auto"/>
              </w:rPr>
            </w:pPr>
          </w:p>
        </w:tc>
        <w:tc>
          <w:tcPr>
            <w:tcW w:w="1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1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U.S. treasury securities</w:t>
            </w: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25,856</w:t>
            </w:r>
          </w:p>
        </w:tc>
        <w:tc>
          <w:tcPr>
            <w:tcW w:w="240" w:type="dxa"/>
            <w:vAlign w:val="bottom"/>
            <w:shd w:val="clear" w:color="auto" w:fill="CFF0FC"/>
          </w:tcPr>
          <w:p>
            <w:pPr>
              <w:spacing w:after="0"/>
              <w:rPr>
                <w:sz w:val="18"/>
                <w:szCs w:val="18"/>
                <w:color w:val="auto"/>
              </w:rPr>
            </w:pPr>
          </w:p>
        </w:tc>
        <w:tc>
          <w:tcPr>
            <w:tcW w:w="1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(29)</w:t>
            </w: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25,827</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120" w:type="dxa"/>
            <w:vAlign w:val="bottom"/>
          </w:tcPr>
          <w:p>
            <w:pPr>
              <w:ind w:left="260"/>
              <w:spacing w:after="0"/>
              <w:rPr>
                <w:sz w:val="20"/>
                <w:szCs w:val="20"/>
                <w:color w:val="auto"/>
              </w:rPr>
            </w:pPr>
            <w:r>
              <w:rPr>
                <w:rFonts w:ascii="Arial" w:cs="Arial" w:eastAsia="Arial" w:hAnsi="Arial"/>
                <w:sz w:val="18"/>
                <w:szCs w:val="18"/>
                <w:color w:val="auto"/>
              </w:rPr>
              <w:t>Corporate bonds</w:t>
            </w:r>
          </w:p>
        </w:tc>
        <w:tc>
          <w:tcPr>
            <w:tcW w:w="1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32,030</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160" w:type="dxa"/>
            <w:vAlign w:val="bottom"/>
            <w:gridSpan w:val="2"/>
          </w:tcPr>
          <w:p>
            <w:pPr>
              <w:jc w:val="right"/>
              <w:ind w:right="180"/>
              <w:spacing w:after="0"/>
              <w:rPr>
                <w:sz w:val="20"/>
                <w:szCs w:val="20"/>
                <w:color w:val="auto"/>
              </w:rPr>
            </w:pPr>
            <w:r>
              <w:rPr>
                <w:rFonts w:ascii="Arial" w:cs="Arial" w:eastAsia="Arial" w:hAnsi="Arial"/>
                <w:sz w:val="18"/>
                <w:szCs w:val="18"/>
                <w:color w:val="auto"/>
              </w:rPr>
              <w:t>(60)</w:t>
            </w:r>
          </w:p>
        </w:tc>
        <w:tc>
          <w:tcPr>
            <w:tcW w:w="1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31,970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1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Commercial paper</w:t>
            </w:r>
          </w:p>
        </w:tc>
        <w:tc>
          <w:tcPr>
            <w:tcW w:w="140" w:type="dxa"/>
            <w:vAlign w:val="bottom"/>
            <w:tcBorders>
              <w:bottom w:val="single" w:sz="8" w:color="auto"/>
            </w:tcBorders>
            <w:shd w:val="clear" w:color="auto" w:fill="CFF0FC"/>
          </w:tcPr>
          <w:p>
            <w:pPr>
              <w:spacing w:after="0"/>
              <w:rPr>
                <w:sz w:val="18"/>
                <w:szCs w:val="18"/>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28,599</w:t>
            </w:r>
          </w:p>
        </w:tc>
        <w:tc>
          <w:tcPr>
            <w:tcW w:w="240" w:type="dxa"/>
            <w:vAlign w:val="bottom"/>
            <w:shd w:val="clear" w:color="auto" w:fill="CFF0FC"/>
          </w:tcPr>
          <w:p>
            <w:pPr>
              <w:spacing w:after="0"/>
              <w:rPr>
                <w:sz w:val="18"/>
                <w:szCs w:val="18"/>
                <w:color w:val="auto"/>
              </w:rPr>
            </w:pPr>
          </w:p>
        </w:tc>
        <w:tc>
          <w:tcPr>
            <w:tcW w:w="160" w:type="dxa"/>
            <w:vAlign w:val="bottom"/>
            <w:tcBorders>
              <w:bottom w:val="single" w:sz="8" w:color="auto"/>
            </w:tcBorders>
            <w:shd w:val="clear" w:color="auto" w:fill="CFF0FC"/>
          </w:tcPr>
          <w:p>
            <w:pPr>
              <w:spacing w:after="0"/>
              <w:rPr>
                <w:sz w:val="18"/>
                <w:szCs w:val="18"/>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18"/>
                <w:szCs w:val="18"/>
                <w:color w:val="auto"/>
              </w:rPr>
            </w:pPr>
          </w:p>
        </w:tc>
        <w:tc>
          <w:tcPr>
            <w:tcW w:w="140" w:type="dxa"/>
            <w:vAlign w:val="bottom"/>
            <w:tcBorders>
              <w:bottom w:val="single" w:sz="8" w:color="auto"/>
            </w:tcBorders>
            <w:shd w:val="clear" w:color="auto" w:fill="CFF0FC"/>
          </w:tcPr>
          <w:p>
            <w:pPr>
              <w:spacing w:after="0"/>
              <w:rPr>
                <w:sz w:val="18"/>
                <w:szCs w:val="18"/>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18"/>
                <w:szCs w:val="18"/>
                <w:color w:val="auto"/>
              </w:rPr>
            </w:pPr>
          </w:p>
        </w:tc>
        <w:tc>
          <w:tcPr>
            <w:tcW w:w="180" w:type="dxa"/>
            <w:vAlign w:val="bottom"/>
            <w:tcBorders>
              <w:bottom w:val="single" w:sz="8" w:color="auto"/>
            </w:tcBorders>
            <w:shd w:val="clear" w:color="auto" w:fill="CFF0FC"/>
          </w:tcPr>
          <w:p>
            <w:pPr>
              <w:spacing w:after="0"/>
              <w:rPr>
                <w:sz w:val="18"/>
                <w:szCs w:val="18"/>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28,599</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12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86,485</w:t>
            </w:r>
          </w:p>
        </w:tc>
        <w:tc>
          <w:tcPr>
            <w:tcW w:w="24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2"/>
          </w:tcPr>
          <w:p>
            <w:pPr>
              <w:jc w:val="right"/>
              <w:ind w:right="180"/>
              <w:spacing w:after="0"/>
              <w:rPr>
                <w:sz w:val="20"/>
                <w:szCs w:val="20"/>
                <w:color w:val="auto"/>
              </w:rPr>
            </w:pPr>
            <w:r>
              <w:rPr>
                <w:rFonts w:ascii="Arial" w:cs="Arial" w:eastAsia="Arial" w:hAnsi="Arial"/>
                <w:sz w:val="18"/>
                <w:szCs w:val="18"/>
                <w:color w:val="auto"/>
              </w:rPr>
              <w:t>(89)</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86,396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69" w:lineRule="exact"/>
        <w:rPr>
          <w:sz w:val="20"/>
          <w:szCs w:val="20"/>
          <w:color w:val="auto"/>
        </w:rPr>
      </w:pPr>
    </w:p>
    <w:p>
      <w:pPr>
        <w:ind w:right="800" w:firstLine="518"/>
        <w:spacing w:after="0" w:line="246" w:lineRule="auto"/>
        <w:rPr>
          <w:sz w:val="20"/>
          <w:szCs w:val="20"/>
          <w:color w:val="auto"/>
        </w:rPr>
      </w:pPr>
      <w:r>
        <w:rPr>
          <w:rFonts w:ascii="Arial" w:cs="Arial" w:eastAsia="Arial" w:hAnsi="Arial"/>
          <w:sz w:val="18"/>
          <w:szCs w:val="18"/>
          <w:color w:val="auto"/>
        </w:rPr>
        <w:t>During the years ended December 31, 2019, 2018, and 2017 there were no material realized gains or losses related to sales of marketable securities recognized in the Company’s consolidated statements of operations. Net gains and</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272020" cy="425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463" w:right="239" w:bottom="1440" w:gutter="0" w:footer="0" w:header="0"/>
        </w:sectPr>
      </w:pPr>
    </w:p>
    <w:bookmarkStart w:id="76" w:name="page77"/>
    <w:bookmarkEnd w:id="76"/>
    <w:p>
      <w:pPr>
        <w:ind w:right="120"/>
        <w:spacing w:after="0" w:line="238" w:lineRule="auto"/>
        <w:rPr>
          <w:sz w:val="20"/>
          <w:szCs w:val="20"/>
          <w:color w:val="auto"/>
        </w:rPr>
      </w:pPr>
      <w:r>
        <w:rPr>
          <w:rFonts w:ascii="Arial" w:cs="Arial" w:eastAsia="Arial" w:hAnsi="Arial"/>
          <w:sz w:val="18"/>
          <w:szCs w:val="18"/>
          <w:color w:val="auto"/>
        </w:rPr>
        <w:t>losses related to maturities of marketable securities that were reclassified from accumulated other comprehensive loss to earnings, and included in general and administrative expenses, in the consolidated statements of operations were $2.0 million and $1.0 million for the years ended December 31, 2019 and 2018, respectively. Net gains and losses related to maturities of marketable securities that were reclassified from accumulated other comprehensive loss to earnings, and included in general and administrative expenses, in the consolidated statements of operations were not material for the year ended December 31, 2017.</w:t>
      </w:r>
    </w:p>
    <w:p>
      <w:pPr>
        <w:spacing w:after="0" w:line="257" w:lineRule="exact"/>
        <w:rPr>
          <w:sz w:val="20"/>
          <w:szCs w:val="20"/>
          <w:color w:val="auto"/>
        </w:rPr>
      </w:pPr>
    </w:p>
    <w:p>
      <w:pPr>
        <w:ind w:right="840" w:firstLine="518"/>
        <w:spacing w:after="0" w:line="246" w:lineRule="auto"/>
        <w:rPr>
          <w:sz w:val="20"/>
          <w:szCs w:val="20"/>
          <w:color w:val="auto"/>
        </w:rPr>
      </w:pPr>
      <w:r>
        <w:rPr>
          <w:rFonts w:ascii="Arial" w:cs="Arial" w:eastAsia="Arial" w:hAnsi="Arial"/>
          <w:sz w:val="18"/>
          <w:szCs w:val="18"/>
          <w:color w:val="auto"/>
        </w:rPr>
        <w:t>The Company’s marketable securities have a contractual maturity of less than two years. The amortized cost and fair values of marketable securities, by remaining contractual maturity, were as follows:</w:t>
      </w:r>
    </w:p>
    <w:p>
      <w:pPr>
        <w:spacing w:after="0" w:line="279"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74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220" w:type="dxa"/>
            <w:vAlign w:val="bottom"/>
            <w:gridSpan w:val="8"/>
          </w:tcPr>
          <w:p>
            <w:pPr>
              <w:ind w:left="820"/>
              <w:spacing w:after="0"/>
              <w:rPr>
                <w:sz w:val="20"/>
                <w:szCs w:val="20"/>
                <w:color w:val="auto"/>
              </w:rPr>
            </w:pPr>
            <w:r>
              <w:rPr>
                <w:rFonts w:ascii="Arial" w:cs="Arial" w:eastAsia="Arial" w:hAnsi="Arial"/>
                <w:sz w:val="14"/>
                <w:szCs w:val="14"/>
                <w:b w:val="1"/>
                <w:bCs w:val="1"/>
                <w:color w:val="auto"/>
              </w:rPr>
              <w:t>December 31, 2019</w:t>
            </w:r>
          </w:p>
        </w:tc>
        <w:tc>
          <w:tcPr>
            <w:tcW w:w="0" w:type="dxa"/>
            <w:vAlign w:val="bottom"/>
          </w:tcPr>
          <w:p>
            <w:pPr>
              <w:spacing w:after="0"/>
              <w:rPr>
                <w:sz w:val="1"/>
                <w:szCs w:val="1"/>
                <w:color w:val="auto"/>
              </w:rPr>
            </w:pPr>
          </w:p>
        </w:tc>
      </w:tr>
      <w:tr>
        <w:trPr>
          <w:trHeight w:val="156"/>
        </w:trPr>
        <w:tc>
          <w:tcPr>
            <w:tcW w:w="74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1240" w:type="dxa"/>
            <w:vAlign w:val="bottom"/>
            <w:tcBorders>
              <w:top w:val="single" w:sz="8" w:color="auto"/>
            </w:tcBorders>
            <w:gridSpan w:val="2"/>
          </w:tcPr>
          <w:p>
            <w:pPr>
              <w:jc w:val="right"/>
              <w:ind w:right="360"/>
              <w:spacing w:after="0" w:line="156" w:lineRule="exact"/>
              <w:rPr>
                <w:sz w:val="20"/>
                <w:szCs w:val="20"/>
                <w:color w:val="auto"/>
              </w:rPr>
            </w:pPr>
            <w:r>
              <w:rPr>
                <w:rFonts w:ascii="Arial" w:cs="Arial" w:eastAsia="Arial" w:hAnsi="Arial"/>
                <w:sz w:val="14"/>
                <w:szCs w:val="14"/>
                <w:b w:val="1"/>
                <w:bCs w:val="1"/>
                <w:color w:val="auto"/>
              </w:rPr>
              <w:t>Amortized</w:t>
            </w:r>
          </w:p>
        </w:tc>
        <w:tc>
          <w:tcPr>
            <w:tcW w:w="120" w:type="dxa"/>
            <w:vAlign w:val="bottom"/>
            <w:tcBorders>
              <w:top w:val="single" w:sz="8" w:color="auto"/>
            </w:tcBorders>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420" w:type="dxa"/>
            <w:vAlign w:val="bottom"/>
            <w:tcBorders>
              <w:top w:val="single" w:sz="8" w:color="auto"/>
            </w:tcBorders>
          </w:tcPr>
          <w:p>
            <w:pPr>
              <w:spacing w:after="0"/>
              <w:rPr>
                <w:sz w:val="13"/>
                <w:szCs w:val="13"/>
                <w:color w:val="auto"/>
              </w:rPr>
            </w:pPr>
          </w:p>
        </w:tc>
        <w:tc>
          <w:tcPr>
            <w:tcW w:w="1140" w:type="dxa"/>
            <w:vAlign w:val="bottom"/>
            <w:tcBorders>
              <w:top w:val="single" w:sz="8" w:color="auto"/>
            </w:tcBorders>
          </w:tcPr>
          <w:p>
            <w:pPr>
              <w:spacing w:after="0"/>
              <w:rPr>
                <w:sz w:val="13"/>
                <w:szCs w:val="13"/>
                <w:color w:val="auto"/>
              </w:rPr>
            </w:pPr>
          </w:p>
        </w:tc>
        <w:tc>
          <w:tcPr>
            <w:tcW w:w="2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5"/>
        </w:trPr>
        <w:tc>
          <w:tcPr>
            <w:tcW w:w="74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40" w:type="dxa"/>
            <w:vAlign w:val="bottom"/>
            <w:gridSpan w:val="2"/>
          </w:tcPr>
          <w:p>
            <w:pPr>
              <w:jc w:val="right"/>
              <w:ind w:right="560"/>
              <w:spacing w:after="0"/>
              <w:rPr>
                <w:sz w:val="20"/>
                <w:szCs w:val="20"/>
                <w:color w:val="auto"/>
              </w:rPr>
            </w:pPr>
            <w:r>
              <w:rPr>
                <w:rFonts w:ascii="Arial" w:cs="Arial" w:eastAsia="Arial" w:hAnsi="Arial"/>
                <w:sz w:val="14"/>
                <w:szCs w:val="14"/>
                <w:b w:val="1"/>
                <w:bCs w:val="1"/>
                <w:color w:val="auto"/>
              </w:rPr>
              <w:t>Cost</w:t>
            </w: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260" w:type="dxa"/>
            <w:vAlign w:val="bottom"/>
            <w:gridSpan w:val="3"/>
          </w:tcPr>
          <w:p>
            <w:pPr>
              <w:ind w:left="20"/>
              <w:spacing w:after="0"/>
              <w:rPr>
                <w:sz w:val="20"/>
                <w:szCs w:val="20"/>
                <w:color w:val="auto"/>
              </w:rPr>
            </w:pPr>
            <w:r>
              <w:rPr>
                <w:rFonts w:ascii="Arial" w:cs="Arial" w:eastAsia="Arial" w:hAnsi="Arial"/>
                <w:sz w:val="14"/>
                <w:szCs w:val="14"/>
                <w:b w:val="1"/>
                <w:bCs w:val="1"/>
                <w:color w:val="auto"/>
              </w:rPr>
              <w:t>Fair Value</w:t>
            </w:r>
          </w:p>
        </w:tc>
        <w:tc>
          <w:tcPr>
            <w:tcW w:w="0" w:type="dxa"/>
            <w:vAlign w:val="bottom"/>
          </w:tcPr>
          <w:p>
            <w:pPr>
              <w:spacing w:after="0"/>
              <w:rPr>
                <w:sz w:val="1"/>
                <w:szCs w:val="1"/>
                <w:color w:val="auto"/>
              </w:rPr>
            </w:pPr>
          </w:p>
        </w:tc>
      </w:tr>
      <w:tr>
        <w:trPr>
          <w:trHeight w:val="210"/>
        </w:trPr>
        <w:tc>
          <w:tcPr>
            <w:tcW w:w="74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960" w:type="dxa"/>
            <w:vAlign w:val="bottom"/>
            <w:tcBorders>
              <w:top w:val="single" w:sz="8" w:color="auto"/>
            </w:tcBorders>
            <w:gridSpan w:val="5"/>
          </w:tcPr>
          <w:p>
            <w:pPr>
              <w:jc w:val="right"/>
              <w:spacing w:after="0"/>
              <w:rPr>
                <w:sz w:val="20"/>
                <w:szCs w:val="20"/>
                <w:color w:val="auto"/>
              </w:rPr>
            </w:pPr>
            <w:r>
              <w:rPr>
                <w:rFonts w:ascii="Arial" w:cs="Arial" w:eastAsia="Arial" w:hAnsi="Arial"/>
                <w:sz w:val="14"/>
                <w:szCs w:val="14"/>
                <w:b w:val="1"/>
                <w:bCs w:val="1"/>
                <w:color w:val="auto"/>
              </w:rPr>
              <w:t>(in thousands)</w:t>
            </w:r>
          </w:p>
        </w:tc>
        <w:tc>
          <w:tcPr>
            <w:tcW w:w="1140" w:type="dxa"/>
            <w:vAlign w:val="bottom"/>
            <w:tcBorders>
              <w:top w:val="single" w:sz="8" w:color="auto"/>
            </w:tcBorders>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00" w:type="dxa"/>
            <w:vAlign w:val="bottom"/>
            <w:shd w:val="clear" w:color="auto" w:fill="CFF0FC"/>
          </w:tcPr>
          <w:p>
            <w:pPr>
              <w:spacing w:after="0"/>
              <w:rPr>
                <w:sz w:val="20"/>
                <w:szCs w:val="20"/>
                <w:color w:val="auto"/>
              </w:rPr>
            </w:pPr>
            <w:r>
              <w:rPr>
                <w:rFonts w:ascii="Arial" w:cs="Arial" w:eastAsia="Arial" w:hAnsi="Arial"/>
                <w:sz w:val="18"/>
                <w:szCs w:val="18"/>
                <w:color w:val="auto"/>
              </w:rPr>
              <w:t>Maturing within 1 year</w:t>
            </w:r>
          </w:p>
        </w:tc>
        <w:tc>
          <w:tcPr>
            <w:tcW w:w="800" w:type="dxa"/>
            <w:vAlign w:val="bottom"/>
            <w:gridSpan w:val="3"/>
            <w:shd w:val="clear" w:color="auto" w:fill="CFF0FC"/>
          </w:tcPr>
          <w:p>
            <w:pPr>
              <w:jc w:val="right"/>
              <w:ind w:right="6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473,221</w:t>
            </w:r>
          </w:p>
        </w:tc>
        <w:tc>
          <w:tcPr>
            <w:tcW w:w="720" w:type="dxa"/>
            <w:vAlign w:val="bottom"/>
            <w:gridSpan w:val="3"/>
            <w:shd w:val="clear" w:color="auto" w:fill="CFF0FC"/>
          </w:tcPr>
          <w:p>
            <w:pPr>
              <w:jc w:val="right"/>
              <w:ind w:right="32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473,321</w:t>
            </w:r>
          </w:p>
        </w:tc>
        <w:tc>
          <w:tcPr>
            <w:tcW w:w="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0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Maturing between 1 and 2 years</w:t>
            </w:r>
          </w:p>
        </w:tc>
        <w:tc>
          <w:tcPr>
            <w:tcW w:w="160" w:type="dxa"/>
            <w:vAlign w:val="bottom"/>
            <w:tcBorders>
              <w:bottom w:val="single" w:sz="8" w:color="CFF0FC"/>
            </w:tcBorders>
          </w:tcPr>
          <w:p>
            <w:pPr>
              <w:spacing w:after="0"/>
              <w:rPr>
                <w:sz w:val="18"/>
                <w:szCs w:val="18"/>
                <w:color w:val="auto"/>
              </w:rPr>
            </w:pPr>
          </w:p>
        </w:tc>
        <w:tc>
          <w:tcPr>
            <w:tcW w:w="480" w:type="dxa"/>
            <w:vAlign w:val="bottom"/>
            <w:tcBorders>
              <w:bottom w:val="single" w:sz="8" w:color="CFF0FC"/>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14,183</w:t>
            </w:r>
          </w:p>
        </w:tc>
        <w:tc>
          <w:tcPr>
            <w:tcW w:w="120" w:type="dxa"/>
            <w:vAlign w:val="bottom"/>
            <w:tcBorders>
              <w:bottom w:val="single" w:sz="8" w:color="CFF0FC"/>
            </w:tcBorders>
          </w:tcPr>
          <w:p>
            <w:pPr>
              <w:spacing w:after="0"/>
              <w:rPr>
                <w:sz w:val="18"/>
                <w:szCs w:val="18"/>
                <w:color w:val="auto"/>
              </w:rPr>
            </w:pPr>
          </w:p>
        </w:tc>
        <w:tc>
          <w:tcPr>
            <w:tcW w:w="180" w:type="dxa"/>
            <w:vAlign w:val="bottom"/>
            <w:tcBorders>
              <w:bottom w:val="single" w:sz="8" w:color="CFF0FC"/>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14,194</w:t>
            </w:r>
          </w:p>
        </w:tc>
        <w:tc>
          <w:tcPr>
            <w:tcW w:w="100" w:type="dxa"/>
            <w:vAlign w:val="bottom"/>
            <w:tcBorders>
              <w:bottom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400" w:type="dxa"/>
            <w:vAlign w:val="bottom"/>
            <w:shd w:val="clear" w:color="auto" w:fill="CFF0FC"/>
          </w:tcPr>
          <w:p>
            <w:pPr>
              <w:spacing w:after="0"/>
              <w:rPr>
                <w:sz w:val="18"/>
                <w:szCs w:val="18"/>
                <w:color w:val="auto"/>
              </w:rPr>
            </w:pPr>
          </w:p>
        </w:tc>
        <w:tc>
          <w:tcPr>
            <w:tcW w:w="800" w:type="dxa"/>
            <w:vAlign w:val="bottom"/>
            <w:gridSpan w:val="3"/>
            <w:shd w:val="clear" w:color="auto" w:fill="CFF0FC"/>
          </w:tcPr>
          <w:p>
            <w:pPr>
              <w:jc w:val="right"/>
              <w:ind w:right="6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487,404</w:t>
            </w:r>
          </w:p>
        </w:tc>
        <w:tc>
          <w:tcPr>
            <w:tcW w:w="720" w:type="dxa"/>
            <w:vAlign w:val="bottom"/>
            <w:gridSpan w:val="3"/>
            <w:shd w:val="clear" w:color="auto" w:fill="CFF0FC"/>
          </w:tcPr>
          <w:p>
            <w:pPr>
              <w:jc w:val="right"/>
              <w:ind w:right="32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487,515</w:t>
            </w:r>
          </w:p>
        </w:tc>
        <w:tc>
          <w:tcPr>
            <w:tcW w:w="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400" w:type="dxa"/>
            <w:vAlign w:val="bottom"/>
            <w:tcBorders>
              <w:top w:val="single" w:sz="8" w:color="CFF0FC"/>
              <w:bottom w:val="single" w:sz="8" w:color="CFF0FC"/>
            </w:tcBorders>
            <w:vMerge w:val="restart"/>
          </w:tcPr>
          <w:p>
            <w:pPr>
              <w:spacing w:after="0"/>
              <w:rPr>
                <w:sz w:val="20"/>
                <w:szCs w:val="20"/>
                <w:color w:val="auto"/>
              </w:rPr>
            </w:pPr>
            <w:r>
              <w:rPr>
                <w:rFonts w:ascii="Arial" w:cs="Arial" w:eastAsia="Arial" w:hAnsi="Arial"/>
                <w:sz w:val="18"/>
                <w:szCs w:val="18"/>
                <w:b w:val="1"/>
                <w:bCs w:val="1"/>
                <w:i w:val="1"/>
                <w:iCs w:val="1"/>
                <w:color w:val="auto"/>
              </w:rPr>
              <w:t>Prepaid Expenses and Other Current Assets</w:t>
            </w:r>
          </w:p>
        </w:tc>
        <w:tc>
          <w:tcPr>
            <w:tcW w:w="160" w:type="dxa"/>
            <w:vAlign w:val="bottom"/>
            <w:tcBorders>
              <w:top w:val="single" w:sz="8" w:color="CFF0FC"/>
            </w:tcBorders>
          </w:tcPr>
          <w:p>
            <w:pPr>
              <w:spacing w:after="0" w:line="20" w:lineRule="exact"/>
              <w:rPr>
                <w:sz w:val="1"/>
                <w:szCs w:val="1"/>
                <w:color w:val="auto"/>
              </w:rPr>
            </w:pPr>
          </w:p>
        </w:tc>
        <w:tc>
          <w:tcPr>
            <w:tcW w:w="480" w:type="dxa"/>
            <w:vAlign w:val="bottom"/>
            <w:tcBorders>
              <w:top w:val="single" w:sz="8" w:color="CFF0FC"/>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180" w:type="dxa"/>
            <w:vAlign w:val="bottom"/>
            <w:tcBorders>
              <w:top w:val="single" w:sz="8" w:color="CFF0FC"/>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48"/>
        </w:trPr>
        <w:tc>
          <w:tcPr>
            <w:tcW w:w="7400" w:type="dxa"/>
            <w:vAlign w:val="bottom"/>
            <w:vMerge w:val="continue"/>
          </w:tcPr>
          <w:p>
            <w:pPr>
              <w:spacing w:after="0"/>
              <w:rPr>
                <w:sz w:val="24"/>
                <w:szCs w:val="24"/>
                <w:color w:val="auto"/>
              </w:rPr>
            </w:pPr>
          </w:p>
        </w:tc>
        <w:tc>
          <w:tcPr>
            <w:tcW w:w="1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1"/>
        </w:trPr>
        <w:tc>
          <w:tcPr>
            <w:tcW w:w="7400" w:type="dxa"/>
            <w:vAlign w:val="bottom"/>
          </w:tcPr>
          <w:p>
            <w:pPr>
              <w:ind w:left="520"/>
              <w:spacing w:after="0"/>
              <w:rPr>
                <w:sz w:val="20"/>
                <w:szCs w:val="20"/>
                <w:color w:val="auto"/>
              </w:rPr>
            </w:pPr>
            <w:r>
              <w:rPr>
                <w:rFonts w:ascii="Arial" w:cs="Arial" w:eastAsia="Arial" w:hAnsi="Arial"/>
                <w:sz w:val="18"/>
                <w:szCs w:val="18"/>
                <w:color w:val="auto"/>
              </w:rPr>
              <w:t>Prepaid expenses and other current assets consisted of the following (in thousands):</w:t>
            </w:r>
          </w:p>
        </w:tc>
        <w:tc>
          <w:tcPr>
            <w:tcW w:w="1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74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960" w:type="dxa"/>
            <w:vAlign w:val="bottom"/>
            <w:tcBorders>
              <w:bottom w:val="single" w:sz="8" w:color="auto"/>
            </w:tcBorders>
            <w:gridSpan w:val="5"/>
          </w:tcPr>
          <w:p>
            <w:pPr>
              <w:jc w:val="right"/>
              <w:ind w:right="280"/>
              <w:spacing w:after="0"/>
              <w:rPr>
                <w:sz w:val="20"/>
                <w:szCs w:val="20"/>
                <w:color w:val="auto"/>
              </w:rPr>
            </w:pPr>
            <w:r>
              <w:rPr>
                <w:rFonts w:ascii="Arial" w:cs="Arial" w:eastAsia="Arial" w:hAnsi="Arial"/>
                <w:sz w:val="14"/>
                <w:szCs w:val="14"/>
                <w:b w:val="1"/>
                <w:bCs w:val="1"/>
                <w:color w:val="auto"/>
              </w:rPr>
              <w:t>December 31,</w:t>
            </w:r>
          </w:p>
        </w:tc>
        <w:tc>
          <w:tcPr>
            <w:tcW w:w="114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9"/>
        </w:trPr>
        <w:tc>
          <w:tcPr>
            <w:tcW w:w="7400" w:type="dxa"/>
            <w:vAlign w:val="bottom"/>
            <w:tcBorders>
              <w:bottom w:val="single" w:sz="8" w:color="CFF0FC"/>
            </w:tcBorders>
          </w:tcPr>
          <w:p>
            <w:pPr>
              <w:spacing w:after="0"/>
              <w:rPr>
                <w:sz w:val="14"/>
                <w:szCs w:val="14"/>
                <w:color w:val="auto"/>
              </w:rPr>
            </w:pPr>
          </w:p>
        </w:tc>
        <w:tc>
          <w:tcPr>
            <w:tcW w:w="160" w:type="dxa"/>
            <w:vAlign w:val="bottom"/>
            <w:tcBorders>
              <w:bottom w:val="single" w:sz="8" w:color="CFF0FC"/>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right"/>
              <w:ind w:right="618"/>
              <w:spacing w:after="0"/>
              <w:rPr>
                <w:sz w:val="20"/>
                <w:szCs w:val="20"/>
                <w:color w:val="auto"/>
              </w:rPr>
            </w:pPr>
            <w:r>
              <w:rPr>
                <w:rFonts w:ascii="Arial" w:cs="Arial" w:eastAsia="Arial" w:hAnsi="Arial"/>
                <w:sz w:val="14"/>
                <w:szCs w:val="14"/>
                <w:b w:val="1"/>
                <w:bCs w:val="1"/>
                <w:color w:val="auto"/>
              </w:rPr>
              <w:t>2019</w:t>
            </w:r>
          </w:p>
        </w:tc>
        <w:tc>
          <w:tcPr>
            <w:tcW w:w="160" w:type="dxa"/>
            <w:vAlign w:val="bottom"/>
            <w:tcBorders>
              <w:bottom w:val="single" w:sz="8" w:color="CFF0FC"/>
            </w:tcBorders>
          </w:tcPr>
          <w:p>
            <w:pPr>
              <w:spacing w:after="0"/>
              <w:rPr>
                <w:sz w:val="14"/>
                <w:szCs w:val="14"/>
                <w:color w:val="auto"/>
              </w:rPr>
            </w:pPr>
          </w:p>
        </w:tc>
        <w:tc>
          <w:tcPr>
            <w:tcW w:w="120" w:type="dxa"/>
            <w:vAlign w:val="bottom"/>
            <w:tcBorders>
              <w:bottom w:val="single" w:sz="8" w:color="CFF0FC"/>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right"/>
              <w:ind w:right="634"/>
              <w:spacing w:after="0"/>
              <w:rPr>
                <w:sz w:val="20"/>
                <w:szCs w:val="20"/>
                <w:color w:val="auto"/>
              </w:rPr>
            </w:pPr>
            <w:r>
              <w:rPr>
                <w:rFonts w:ascii="Arial" w:cs="Arial" w:eastAsia="Arial" w:hAnsi="Arial"/>
                <w:sz w:val="14"/>
                <w:szCs w:val="14"/>
                <w:b w:val="1"/>
                <w:bCs w:val="1"/>
                <w:color w:val="auto"/>
              </w:rPr>
              <w:t>2018</w:t>
            </w:r>
          </w:p>
        </w:tc>
        <w:tc>
          <w:tcPr>
            <w:tcW w:w="20" w:type="dxa"/>
            <w:vAlign w:val="bottom"/>
            <w:tcBorders>
              <w:bottom w:val="single" w:sz="8" w:color="CFF0FC"/>
            </w:tcBorders>
          </w:tcPr>
          <w:p>
            <w:pPr>
              <w:spacing w:after="0"/>
              <w:rPr>
                <w:sz w:val="14"/>
                <w:szCs w:val="14"/>
                <w:color w:val="auto"/>
              </w:rPr>
            </w:pPr>
          </w:p>
        </w:tc>
        <w:tc>
          <w:tcPr>
            <w:tcW w:w="100" w:type="dxa"/>
            <w:vAlign w:val="bottom"/>
            <w:tcBorders>
              <w:bottom w:val="single" w:sz="8" w:color="CFF0FC"/>
            </w:tcBorders>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7400" w:type="dxa"/>
            <w:vAlign w:val="bottom"/>
            <w:shd w:val="clear" w:color="auto" w:fill="CFF0FC"/>
          </w:tcPr>
          <w:p>
            <w:pPr>
              <w:spacing w:after="0"/>
              <w:rPr>
                <w:sz w:val="20"/>
                <w:szCs w:val="20"/>
                <w:color w:val="auto"/>
              </w:rPr>
            </w:pPr>
            <w:r>
              <w:rPr>
                <w:rFonts w:ascii="Arial" w:cs="Arial" w:eastAsia="Arial" w:hAnsi="Arial"/>
                <w:sz w:val="18"/>
                <w:szCs w:val="18"/>
                <w:color w:val="auto"/>
              </w:rPr>
              <w:t>Partner referral fees</w:t>
            </w:r>
          </w:p>
        </w:tc>
        <w:tc>
          <w:tcPr>
            <w:tcW w:w="640" w:type="dxa"/>
            <w:vAlign w:val="bottom"/>
            <w:gridSpan w:val="2"/>
            <w:shd w:val="clear" w:color="auto" w:fill="CFF0FC"/>
          </w:tcPr>
          <w:p>
            <w:pPr>
              <w:jc w:val="right"/>
              <w:ind w:right="3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FF0FC"/>
          </w:tcPr>
          <w:p>
            <w:pPr>
              <w:spacing w:after="0"/>
              <w:rPr>
                <w:sz w:val="18"/>
                <w:szCs w:val="18"/>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833</w:t>
            </w:r>
          </w:p>
        </w:tc>
        <w:tc>
          <w:tcPr>
            <w:tcW w:w="160" w:type="dxa"/>
            <w:vAlign w:val="bottom"/>
            <w:shd w:val="clear" w:color="auto" w:fill="CFF0FC"/>
          </w:tcPr>
          <w:p>
            <w:pPr>
              <w:spacing w:after="0"/>
              <w:rPr>
                <w:sz w:val="18"/>
                <w:szCs w:val="18"/>
                <w:color w:val="auto"/>
              </w:rPr>
            </w:pPr>
          </w:p>
        </w:tc>
        <w:tc>
          <w:tcPr>
            <w:tcW w:w="30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w:t>
            </w:r>
          </w:p>
        </w:tc>
        <w:tc>
          <w:tcPr>
            <w:tcW w:w="420" w:type="dxa"/>
            <w:vAlign w:val="bottom"/>
            <w:shd w:val="clear" w:color="auto" w:fill="CFF0FC"/>
          </w:tcPr>
          <w:p>
            <w:pPr>
              <w:spacing w:after="0"/>
              <w:rPr>
                <w:sz w:val="18"/>
                <w:szCs w:val="18"/>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5,219</w:t>
            </w:r>
          </w:p>
        </w:tc>
        <w:tc>
          <w:tcPr>
            <w:tcW w:w="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0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Other prepaid expenses and other current assets</w:t>
            </w:r>
          </w:p>
        </w:tc>
        <w:tc>
          <w:tcPr>
            <w:tcW w:w="160" w:type="dxa"/>
            <w:vAlign w:val="bottom"/>
            <w:tcBorders>
              <w:bottom w:val="single" w:sz="8" w:color="CFF0FC"/>
            </w:tcBorders>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11,997</w:t>
            </w:r>
          </w:p>
        </w:tc>
        <w:tc>
          <w:tcPr>
            <w:tcW w:w="160" w:type="dxa"/>
            <w:vAlign w:val="bottom"/>
            <w:tcBorders>
              <w:bottom w:val="single" w:sz="8" w:color="CFF0FC"/>
            </w:tcBorders>
          </w:tcPr>
          <w:p>
            <w:pPr>
              <w:spacing w:after="0"/>
              <w:rPr>
                <w:sz w:val="18"/>
                <w:szCs w:val="18"/>
                <w:color w:val="auto"/>
              </w:rPr>
            </w:pPr>
          </w:p>
        </w:tc>
        <w:tc>
          <w:tcPr>
            <w:tcW w:w="120" w:type="dxa"/>
            <w:vAlign w:val="bottom"/>
            <w:tcBorders>
              <w:bottom w:val="single" w:sz="8" w:color="CFF0FC"/>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8,823</w:t>
            </w:r>
          </w:p>
        </w:tc>
        <w:tc>
          <w:tcPr>
            <w:tcW w:w="20" w:type="dxa"/>
            <w:vAlign w:val="bottom"/>
            <w:tcBorders>
              <w:bottom w:val="single" w:sz="8" w:color="CFF0FC"/>
            </w:tcBorders>
          </w:tcPr>
          <w:p>
            <w:pPr>
              <w:spacing w:after="0"/>
              <w:rPr>
                <w:sz w:val="18"/>
                <w:szCs w:val="18"/>
                <w:color w:val="auto"/>
              </w:rPr>
            </w:pPr>
          </w:p>
        </w:tc>
        <w:tc>
          <w:tcPr>
            <w:tcW w:w="100" w:type="dxa"/>
            <w:vAlign w:val="bottom"/>
            <w:tcBorders>
              <w:bottom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400" w:type="dxa"/>
            <w:vAlign w:val="bottom"/>
            <w:shd w:val="clear" w:color="auto" w:fill="CFF0FC"/>
          </w:tcPr>
          <w:p>
            <w:pPr>
              <w:spacing w:after="0"/>
              <w:rPr>
                <w:sz w:val="18"/>
                <w:szCs w:val="18"/>
                <w:color w:val="auto"/>
              </w:rPr>
            </w:pPr>
          </w:p>
        </w:tc>
        <w:tc>
          <w:tcPr>
            <w:tcW w:w="640" w:type="dxa"/>
            <w:vAlign w:val="bottom"/>
            <w:gridSpan w:val="2"/>
            <w:shd w:val="clear" w:color="auto" w:fill="CFF0FC"/>
          </w:tcPr>
          <w:p>
            <w:pPr>
              <w:jc w:val="right"/>
              <w:ind w:right="3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FF0FC"/>
          </w:tcPr>
          <w:p>
            <w:pPr>
              <w:spacing w:after="0"/>
              <w:rPr>
                <w:sz w:val="18"/>
                <w:szCs w:val="18"/>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12,830</w:t>
            </w:r>
          </w:p>
        </w:tc>
        <w:tc>
          <w:tcPr>
            <w:tcW w:w="160" w:type="dxa"/>
            <w:vAlign w:val="bottom"/>
            <w:shd w:val="clear" w:color="auto" w:fill="CFF0FC"/>
          </w:tcPr>
          <w:p>
            <w:pPr>
              <w:spacing w:after="0"/>
              <w:rPr>
                <w:sz w:val="18"/>
                <w:szCs w:val="18"/>
                <w:color w:val="auto"/>
              </w:rPr>
            </w:pPr>
          </w:p>
        </w:tc>
        <w:tc>
          <w:tcPr>
            <w:tcW w:w="30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w:t>
            </w:r>
          </w:p>
        </w:tc>
        <w:tc>
          <w:tcPr>
            <w:tcW w:w="420" w:type="dxa"/>
            <w:vAlign w:val="bottom"/>
            <w:shd w:val="clear" w:color="auto" w:fill="CFF0FC"/>
          </w:tcPr>
          <w:p>
            <w:pPr>
              <w:spacing w:after="0"/>
              <w:rPr>
                <w:sz w:val="18"/>
                <w:szCs w:val="18"/>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14,042</w:t>
            </w:r>
          </w:p>
        </w:tc>
        <w:tc>
          <w:tcPr>
            <w:tcW w:w="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400" w:type="dxa"/>
            <w:vAlign w:val="bottom"/>
            <w:tcBorders>
              <w:top w:val="single" w:sz="8" w:color="CFF0FC"/>
              <w:bottom w:val="single" w:sz="8" w:color="CFF0FC"/>
            </w:tcBorders>
            <w:vMerge w:val="restart"/>
          </w:tcPr>
          <w:p>
            <w:pPr>
              <w:spacing w:after="0"/>
              <w:rPr>
                <w:sz w:val="20"/>
                <w:szCs w:val="20"/>
                <w:color w:val="auto"/>
              </w:rPr>
            </w:pPr>
            <w:r>
              <w:rPr>
                <w:rFonts w:ascii="Arial" w:cs="Arial" w:eastAsia="Arial" w:hAnsi="Arial"/>
                <w:sz w:val="18"/>
                <w:szCs w:val="18"/>
                <w:b w:val="1"/>
                <w:bCs w:val="1"/>
                <w:i w:val="1"/>
                <w:iCs w:val="1"/>
                <w:color w:val="auto"/>
              </w:rPr>
              <w:t>Other Assets</w:t>
            </w:r>
          </w:p>
        </w:tc>
        <w:tc>
          <w:tcPr>
            <w:tcW w:w="160" w:type="dxa"/>
            <w:vAlign w:val="bottom"/>
            <w:tcBorders>
              <w:top w:val="single" w:sz="8" w:color="CFF0FC"/>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88"/>
        </w:trPr>
        <w:tc>
          <w:tcPr>
            <w:tcW w:w="7400" w:type="dxa"/>
            <w:vAlign w:val="bottom"/>
            <w:vMerge w:val="continue"/>
          </w:tcPr>
          <w:p>
            <w:pPr>
              <w:spacing w:after="0"/>
              <w:rPr>
                <w:sz w:val="24"/>
                <w:szCs w:val="24"/>
                <w:color w:val="auto"/>
              </w:rPr>
            </w:pPr>
          </w:p>
        </w:tc>
        <w:tc>
          <w:tcPr>
            <w:tcW w:w="1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1"/>
        </w:trPr>
        <w:tc>
          <w:tcPr>
            <w:tcW w:w="7400" w:type="dxa"/>
            <w:vAlign w:val="bottom"/>
          </w:tcPr>
          <w:p>
            <w:pPr>
              <w:ind w:left="520"/>
              <w:spacing w:after="0"/>
              <w:rPr>
                <w:sz w:val="20"/>
                <w:szCs w:val="20"/>
                <w:color w:val="auto"/>
              </w:rPr>
            </w:pPr>
            <w:r>
              <w:rPr>
                <w:rFonts w:ascii="Arial" w:cs="Arial" w:eastAsia="Arial" w:hAnsi="Arial"/>
                <w:sz w:val="18"/>
                <w:szCs w:val="18"/>
                <w:color w:val="auto"/>
              </w:rPr>
              <w:t>Other assets consisted of the following (in thousands):</w:t>
            </w:r>
          </w:p>
        </w:tc>
        <w:tc>
          <w:tcPr>
            <w:tcW w:w="1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74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960" w:type="dxa"/>
            <w:vAlign w:val="bottom"/>
            <w:tcBorders>
              <w:bottom w:val="single" w:sz="8" w:color="auto"/>
            </w:tcBorders>
            <w:gridSpan w:val="5"/>
          </w:tcPr>
          <w:p>
            <w:pPr>
              <w:jc w:val="right"/>
              <w:ind w:right="280"/>
              <w:spacing w:after="0"/>
              <w:rPr>
                <w:sz w:val="20"/>
                <w:szCs w:val="20"/>
                <w:color w:val="auto"/>
              </w:rPr>
            </w:pPr>
            <w:r>
              <w:rPr>
                <w:rFonts w:ascii="Arial" w:cs="Arial" w:eastAsia="Arial" w:hAnsi="Arial"/>
                <w:sz w:val="14"/>
                <w:szCs w:val="14"/>
                <w:b w:val="1"/>
                <w:bCs w:val="1"/>
                <w:color w:val="auto"/>
              </w:rPr>
              <w:t>December 31,</w:t>
            </w:r>
          </w:p>
        </w:tc>
        <w:tc>
          <w:tcPr>
            <w:tcW w:w="114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9"/>
        </w:trPr>
        <w:tc>
          <w:tcPr>
            <w:tcW w:w="7400" w:type="dxa"/>
            <w:vAlign w:val="bottom"/>
            <w:tcBorders>
              <w:bottom w:val="single" w:sz="8" w:color="CFF0FC"/>
            </w:tcBorders>
          </w:tcPr>
          <w:p>
            <w:pPr>
              <w:spacing w:after="0"/>
              <w:rPr>
                <w:sz w:val="14"/>
                <w:szCs w:val="14"/>
                <w:color w:val="auto"/>
              </w:rPr>
            </w:pPr>
          </w:p>
        </w:tc>
        <w:tc>
          <w:tcPr>
            <w:tcW w:w="160" w:type="dxa"/>
            <w:vAlign w:val="bottom"/>
            <w:tcBorders>
              <w:bottom w:val="single" w:sz="8" w:color="CFF0FC"/>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right"/>
              <w:ind w:right="618"/>
              <w:spacing w:after="0"/>
              <w:rPr>
                <w:sz w:val="20"/>
                <w:szCs w:val="20"/>
                <w:color w:val="auto"/>
              </w:rPr>
            </w:pPr>
            <w:r>
              <w:rPr>
                <w:rFonts w:ascii="Arial" w:cs="Arial" w:eastAsia="Arial" w:hAnsi="Arial"/>
                <w:sz w:val="14"/>
                <w:szCs w:val="14"/>
                <w:b w:val="1"/>
                <w:bCs w:val="1"/>
                <w:color w:val="auto"/>
              </w:rPr>
              <w:t>2019</w:t>
            </w:r>
          </w:p>
        </w:tc>
        <w:tc>
          <w:tcPr>
            <w:tcW w:w="160" w:type="dxa"/>
            <w:vAlign w:val="bottom"/>
            <w:tcBorders>
              <w:bottom w:val="single" w:sz="8" w:color="CFF0FC"/>
            </w:tcBorders>
          </w:tcPr>
          <w:p>
            <w:pPr>
              <w:spacing w:after="0"/>
              <w:rPr>
                <w:sz w:val="14"/>
                <w:szCs w:val="14"/>
                <w:color w:val="auto"/>
              </w:rPr>
            </w:pPr>
          </w:p>
        </w:tc>
        <w:tc>
          <w:tcPr>
            <w:tcW w:w="120" w:type="dxa"/>
            <w:vAlign w:val="bottom"/>
            <w:tcBorders>
              <w:bottom w:val="single" w:sz="8" w:color="CFF0FC"/>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right"/>
              <w:ind w:right="634"/>
              <w:spacing w:after="0"/>
              <w:rPr>
                <w:sz w:val="20"/>
                <w:szCs w:val="20"/>
                <w:color w:val="auto"/>
              </w:rPr>
            </w:pPr>
            <w:r>
              <w:rPr>
                <w:rFonts w:ascii="Arial" w:cs="Arial" w:eastAsia="Arial" w:hAnsi="Arial"/>
                <w:sz w:val="14"/>
                <w:szCs w:val="14"/>
                <w:b w:val="1"/>
                <w:bCs w:val="1"/>
                <w:color w:val="auto"/>
              </w:rPr>
              <w:t>2018</w:t>
            </w:r>
          </w:p>
        </w:tc>
        <w:tc>
          <w:tcPr>
            <w:tcW w:w="20" w:type="dxa"/>
            <w:vAlign w:val="bottom"/>
            <w:tcBorders>
              <w:bottom w:val="single" w:sz="8" w:color="CFF0FC"/>
            </w:tcBorders>
          </w:tcPr>
          <w:p>
            <w:pPr>
              <w:spacing w:after="0"/>
              <w:rPr>
                <w:sz w:val="14"/>
                <w:szCs w:val="14"/>
                <w:color w:val="auto"/>
              </w:rPr>
            </w:pPr>
          </w:p>
        </w:tc>
        <w:tc>
          <w:tcPr>
            <w:tcW w:w="100" w:type="dxa"/>
            <w:vAlign w:val="bottom"/>
            <w:tcBorders>
              <w:bottom w:val="single" w:sz="8" w:color="CFF0FC"/>
            </w:tcBorders>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7400" w:type="dxa"/>
            <w:vAlign w:val="bottom"/>
            <w:shd w:val="clear" w:color="auto" w:fill="CFF0FC"/>
          </w:tcPr>
          <w:p>
            <w:pPr>
              <w:spacing w:after="0"/>
              <w:rPr>
                <w:sz w:val="20"/>
                <w:szCs w:val="20"/>
                <w:color w:val="auto"/>
              </w:rPr>
            </w:pPr>
            <w:r>
              <w:rPr>
                <w:rFonts w:ascii="Arial" w:cs="Arial" w:eastAsia="Arial" w:hAnsi="Arial"/>
                <w:sz w:val="18"/>
                <w:szCs w:val="18"/>
                <w:color w:val="auto"/>
              </w:rPr>
              <w:t>Deferred customer contract acquisition costs</w:t>
            </w:r>
          </w:p>
        </w:tc>
        <w:tc>
          <w:tcPr>
            <w:tcW w:w="640" w:type="dxa"/>
            <w:vAlign w:val="bottom"/>
            <w:gridSpan w:val="2"/>
            <w:shd w:val="clear" w:color="auto" w:fill="CFF0FC"/>
          </w:tcPr>
          <w:p>
            <w:pPr>
              <w:jc w:val="right"/>
              <w:ind w:right="3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FF0FC"/>
          </w:tcPr>
          <w:p>
            <w:pPr>
              <w:spacing w:after="0"/>
              <w:rPr>
                <w:sz w:val="18"/>
                <w:szCs w:val="18"/>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49,709</w:t>
            </w:r>
          </w:p>
        </w:tc>
        <w:tc>
          <w:tcPr>
            <w:tcW w:w="160" w:type="dxa"/>
            <w:vAlign w:val="bottom"/>
            <w:shd w:val="clear" w:color="auto" w:fill="CFF0FC"/>
          </w:tcPr>
          <w:p>
            <w:pPr>
              <w:spacing w:after="0"/>
              <w:rPr>
                <w:sz w:val="18"/>
                <w:szCs w:val="18"/>
                <w:color w:val="auto"/>
              </w:rPr>
            </w:pPr>
          </w:p>
        </w:tc>
        <w:tc>
          <w:tcPr>
            <w:tcW w:w="30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w:t>
            </w:r>
          </w:p>
        </w:tc>
        <w:tc>
          <w:tcPr>
            <w:tcW w:w="420" w:type="dxa"/>
            <w:vAlign w:val="bottom"/>
            <w:shd w:val="clear" w:color="auto" w:fill="CFF0FC"/>
          </w:tcPr>
          <w:p>
            <w:pPr>
              <w:spacing w:after="0"/>
              <w:rPr>
                <w:sz w:val="18"/>
                <w:szCs w:val="18"/>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34,172</w:t>
            </w:r>
          </w:p>
        </w:tc>
        <w:tc>
          <w:tcPr>
            <w:tcW w:w="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00" w:type="dxa"/>
            <w:vAlign w:val="bottom"/>
          </w:tcPr>
          <w:p>
            <w:pPr>
              <w:spacing w:after="0"/>
              <w:rPr>
                <w:sz w:val="20"/>
                <w:szCs w:val="20"/>
                <w:color w:val="auto"/>
              </w:rPr>
            </w:pPr>
            <w:r>
              <w:rPr>
                <w:rFonts w:ascii="Arial" w:cs="Arial" w:eastAsia="Arial" w:hAnsi="Arial"/>
                <w:sz w:val="18"/>
                <w:szCs w:val="18"/>
                <w:color w:val="auto"/>
              </w:rPr>
              <w:t>Restricted cash</w:t>
            </w:r>
          </w:p>
        </w:tc>
        <w:tc>
          <w:tcPr>
            <w:tcW w:w="1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250</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274</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00" w:type="dxa"/>
            <w:vAlign w:val="bottom"/>
            <w:shd w:val="clear" w:color="auto" w:fill="CFF0FC"/>
          </w:tcPr>
          <w:p>
            <w:pPr>
              <w:spacing w:after="0"/>
              <w:rPr>
                <w:sz w:val="20"/>
                <w:szCs w:val="20"/>
                <w:color w:val="auto"/>
              </w:rPr>
            </w:pPr>
            <w:r>
              <w:rPr>
                <w:rFonts w:ascii="Arial" w:cs="Arial" w:eastAsia="Arial" w:hAnsi="Arial"/>
                <w:sz w:val="18"/>
                <w:szCs w:val="18"/>
                <w:color w:val="auto"/>
              </w:rPr>
              <w:t>Capitalized software implementation costs</w:t>
            </w:r>
          </w:p>
        </w:tc>
        <w:tc>
          <w:tcPr>
            <w:tcW w:w="160" w:type="dxa"/>
            <w:vAlign w:val="bottom"/>
            <w:shd w:val="clear" w:color="auto" w:fill="CFF0FC"/>
          </w:tcPr>
          <w:p>
            <w:pPr>
              <w:spacing w:after="0"/>
              <w:rPr>
                <w:sz w:val="18"/>
                <w:szCs w:val="18"/>
                <w:color w:val="auto"/>
              </w:rPr>
            </w:pPr>
          </w:p>
        </w:tc>
        <w:tc>
          <w:tcPr>
            <w:tcW w:w="4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1,237</w:t>
            </w: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1260" w:type="dxa"/>
            <w:vAlign w:val="bottom"/>
            <w:gridSpan w:val="3"/>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740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Other assets</w:t>
            </w:r>
          </w:p>
        </w:tc>
        <w:tc>
          <w:tcPr>
            <w:tcW w:w="160" w:type="dxa"/>
            <w:vAlign w:val="bottom"/>
            <w:tcBorders>
              <w:bottom w:val="single" w:sz="8" w:color="CFF0FC"/>
            </w:tcBorders>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1,687</w:t>
            </w:r>
          </w:p>
        </w:tc>
        <w:tc>
          <w:tcPr>
            <w:tcW w:w="160" w:type="dxa"/>
            <w:vAlign w:val="bottom"/>
            <w:tcBorders>
              <w:bottom w:val="single" w:sz="8" w:color="CFF0FC"/>
            </w:tcBorders>
          </w:tcPr>
          <w:p>
            <w:pPr>
              <w:spacing w:after="0"/>
              <w:rPr>
                <w:sz w:val="18"/>
                <w:szCs w:val="18"/>
                <w:color w:val="auto"/>
              </w:rPr>
            </w:pPr>
          </w:p>
        </w:tc>
        <w:tc>
          <w:tcPr>
            <w:tcW w:w="120" w:type="dxa"/>
            <w:vAlign w:val="bottom"/>
            <w:tcBorders>
              <w:bottom w:val="single" w:sz="8" w:color="CFF0FC"/>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2,032</w:t>
            </w:r>
          </w:p>
        </w:tc>
        <w:tc>
          <w:tcPr>
            <w:tcW w:w="20" w:type="dxa"/>
            <w:vAlign w:val="bottom"/>
            <w:tcBorders>
              <w:bottom w:val="single" w:sz="8" w:color="CFF0FC"/>
            </w:tcBorders>
          </w:tcPr>
          <w:p>
            <w:pPr>
              <w:spacing w:after="0"/>
              <w:rPr>
                <w:sz w:val="18"/>
                <w:szCs w:val="18"/>
                <w:color w:val="auto"/>
              </w:rPr>
            </w:pPr>
          </w:p>
        </w:tc>
        <w:tc>
          <w:tcPr>
            <w:tcW w:w="100" w:type="dxa"/>
            <w:vAlign w:val="bottom"/>
            <w:tcBorders>
              <w:bottom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400" w:type="dxa"/>
            <w:vAlign w:val="bottom"/>
            <w:shd w:val="clear" w:color="auto" w:fill="CFF0FC"/>
          </w:tcPr>
          <w:p>
            <w:pPr>
              <w:spacing w:after="0"/>
              <w:rPr>
                <w:sz w:val="18"/>
                <w:szCs w:val="18"/>
                <w:color w:val="auto"/>
              </w:rPr>
            </w:pPr>
          </w:p>
        </w:tc>
        <w:tc>
          <w:tcPr>
            <w:tcW w:w="640" w:type="dxa"/>
            <w:vAlign w:val="bottom"/>
            <w:gridSpan w:val="2"/>
            <w:shd w:val="clear" w:color="auto" w:fill="CFF0FC"/>
          </w:tcPr>
          <w:p>
            <w:pPr>
              <w:jc w:val="right"/>
              <w:ind w:right="3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FF0FC"/>
          </w:tcPr>
          <w:p>
            <w:pPr>
              <w:spacing w:after="0"/>
              <w:rPr>
                <w:sz w:val="18"/>
                <w:szCs w:val="18"/>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52,883</w:t>
            </w:r>
          </w:p>
        </w:tc>
        <w:tc>
          <w:tcPr>
            <w:tcW w:w="160" w:type="dxa"/>
            <w:vAlign w:val="bottom"/>
            <w:shd w:val="clear" w:color="auto" w:fill="CFF0FC"/>
          </w:tcPr>
          <w:p>
            <w:pPr>
              <w:spacing w:after="0"/>
              <w:rPr>
                <w:sz w:val="18"/>
                <w:szCs w:val="18"/>
                <w:color w:val="auto"/>
              </w:rPr>
            </w:pPr>
          </w:p>
        </w:tc>
        <w:tc>
          <w:tcPr>
            <w:tcW w:w="30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w:t>
            </w:r>
          </w:p>
        </w:tc>
        <w:tc>
          <w:tcPr>
            <w:tcW w:w="420" w:type="dxa"/>
            <w:vAlign w:val="bottom"/>
            <w:shd w:val="clear" w:color="auto" w:fill="CFF0FC"/>
          </w:tcPr>
          <w:p>
            <w:pPr>
              <w:spacing w:after="0"/>
              <w:rPr>
                <w:sz w:val="18"/>
                <w:szCs w:val="18"/>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36,478</w:t>
            </w:r>
          </w:p>
        </w:tc>
        <w:tc>
          <w:tcPr>
            <w:tcW w:w="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400" w:type="dxa"/>
            <w:vAlign w:val="bottom"/>
            <w:tcBorders>
              <w:top w:val="single" w:sz="8" w:color="CFF0FC"/>
            </w:tcBorders>
          </w:tcPr>
          <w:p>
            <w:pPr>
              <w:spacing w:after="0" w:line="20" w:lineRule="exact"/>
              <w:rPr>
                <w:sz w:val="1"/>
                <w:szCs w:val="1"/>
                <w:color w:val="auto"/>
              </w:rPr>
            </w:pPr>
          </w:p>
        </w:tc>
        <w:tc>
          <w:tcPr>
            <w:tcW w:w="160" w:type="dxa"/>
            <w:vAlign w:val="bottom"/>
            <w:tcBorders>
              <w:top w:val="single" w:sz="8" w:color="CFF0FC"/>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5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Accrued Expenses and Other Current Liabilities</w:t>
      </w:r>
    </w:p>
    <w:p>
      <w:pPr>
        <w:spacing w:after="0" w:line="126" w:lineRule="exact"/>
        <w:rPr>
          <w:sz w:val="20"/>
          <w:szCs w:val="20"/>
          <w:color w:val="auto"/>
        </w:rPr>
      </w:pPr>
    </w:p>
    <w:p>
      <w:pPr>
        <w:ind w:left="520"/>
        <w:spacing w:after="0"/>
        <w:rPr>
          <w:sz w:val="20"/>
          <w:szCs w:val="20"/>
          <w:color w:val="auto"/>
        </w:rPr>
      </w:pPr>
      <w:r>
        <w:rPr>
          <w:rFonts w:ascii="Arial" w:cs="Arial" w:eastAsia="Arial" w:hAnsi="Arial"/>
          <w:sz w:val="18"/>
          <w:szCs w:val="18"/>
          <w:color w:val="auto"/>
        </w:rPr>
        <w:t>Accrued expenses and other current liabilities consisted of the following (in thousands):</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4640" w:type="dxa"/>
            <w:vAlign w:val="bottom"/>
          </w:tcPr>
          <w:p>
            <w:pPr>
              <w:spacing w:after="0"/>
              <w:rPr>
                <w:sz w:val="15"/>
                <w:szCs w:val="15"/>
                <w:color w:val="auto"/>
              </w:rPr>
            </w:pPr>
          </w:p>
        </w:tc>
        <w:tc>
          <w:tcPr>
            <w:tcW w:w="2920" w:type="dxa"/>
            <w:vAlign w:val="bottom"/>
          </w:tcPr>
          <w:p>
            <w:pPr>
              <w:spacing w:after="0"/>
              <w:rPr>
                <w:sz w:val="15"/>
                <w:szCs w:val="15"/>
                <w:color w:val="auto"/>
              </w:rPr>
            </w:pPr>
          </w:p>
        </w:tc>
        <w:tc>
          <w:tcPr>
            <w:tcW w:w="1080" w:type="dxa"/>
            <w:vAlign w:val="bottom"/>
            <w:tcBorders>
              <w:bottom w:val="single" w:sz="8" w:color="auto"/>
            </w:tcBorders>
          </w:tcPr>
          <w:p>
            <w:pPr>
              <w:spacing w:after="0"/>
              <w:rPr>
                <w:sz w:val="15"/>
                <w:szCs w:val="15"/>
                <w:color w:val="auto"/>
              </w:rPr>
            </w:pPr>
          </w:p>
        </w:tc>
        <w:tc>
          <w:tcPr>
            <w:tcW w:w="1440" w:type="dxa"/>
            <w:vAlign w:val="bottom"/>
            <w:tcBorders>
              <w:bottom w:val="single" w:sz="8" w:color="auto"/>
            </w:tcBorders>
            <w:gridSpan w:val="3"/>
          </w:tcPr>
          <w:p>
            <w:pPr>
              <w:jc w:val="right"/>
              <w:ind w:right="110"/>
              <w:spacing w:after="0"/>
              <w:rPr>
                <w:sz w:val="20"/>
                <w:szCs w:val="20"/>
                <w:color w:val="auto"/>
              </w:rPr>
            </w:pPr>
            <w:r>
              <w:rPr>
                <w:rFonts w:ascii="Arial" w:cs="Arial" w:eastAsia="Arial" w:hAnsi="Arial"/>
                <w:sz w:val="14"/>
                <w:szCs w:val="14"/>
                <w:b w:val="1"/>
                <w:bCs w:val="1"/>
                <w:color w:val="auto"/>
              </w:rPr>
              <w:t>December 31,</w:t>
            </w:r>
          </w:p>
        </w:tc>
        <w:tc>
          <w:tcPr>
            <w:tcW w:w="122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4640" w:type="dxa"/>
            <w:vAlign w:val="bottom"/>
            <w:tcBorders>
              <w:bottom w:val="single" w:sz="8" w:color="CFF0FC"/>
            </w:tcBorders>
          </w:tcPr>
          <w:p>
            <w:pPr>
              <w:spacing w:after="0"/>
              <w:rPr>
                <w:sz w:val="14"/>
                <w:szCs w:val="14"/>
                <w:color w:val="auto"/>
              </w:rPr>
            </w:pPr>
          </w:p>
        </w:tc>
        <w:tc>
          <w:tcPr>
            <w:tcW w:w="2920" w:type="dxa"/>
            <w:vAlign w:val="bottom"/>
            <w:tcBorders>
              <w:bottom w:val="single" w:sz="8" w:color="CFF0FC"/>
            </w:tcBorders>
          </w:tcPr>
          <w:p>
            <w:pPr>
              <w:spacing w:after="0"/>
              <w:rPr>
                <w:sz w:val="14"/>
                <w:szCs w:val="14"/>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2019</w:t>
            </w:r>
          </w:p>
        </w:tc>
        <w:tc>
          <w:tcPr>
            <w:tcW w:w="640" w:type="dxa"/>
            <w:vAlign w:val="bottom"/>
            <w:tcBorders>
              <w:bottom w:val="single" w:sz="8" w:color="auto"/>
            </w:tcBorders>
          </w:tcPr>
          <w:p>
            <w:pPr>
              <w:spacing w:after="0"/>
              <w:rPr>
                <w:sz w:val="14"/>
                <w:szCs w:val="14"/>
                <w:color w:val="auto"/>
              </w:rPr>
            </w:pPr>
          </w:p>
        </w:tc>
        <w:tc>
          <w:tcPr>
            <w:tcW w:w="280" w:type="dxa"/>
            <w:vAlign w:val="bottom"/>
            <w:tcBorders>
              <w:bottom w:val="single" w:sz="8" w:color="CFF0FC"/>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tcPr>
          <w:p>
            <w:pPr>
              <w:jc w:val="right"/>
              <w:ind w:right="633"/>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CFF0FC"/>
            </w:tcBorders>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4640" w:type="dxa"/>
            <w:vAlign w:val="bottom"/>
            <w:shd w:val="clear" w:color="auto" w:fill="CFF0FC"/>
          </w:tcPr>
          <w:p>
            <w:pPr>
              <w:spacing w:after="0"/>
              <w:rPr>
                <w:sz w:val="20"/>
                <w:szCs w:val="20"/>
                <w:color w:val="auto"/>
              </w:rPr>
            </w:pPr>
            <w:r>
              <w:rPr>
                <w:rFonts w:ascii="Arial" w:cs="Arial" w:eastAsia="Arial" w:hAnsi="Arial"/>
                <w:sz w:val="18"/>
                <w:szCs w:val="18"/>
                <w:color w:val="auto"/>
              </w:rPr>
              <w:t>Accrued salaries and employee benefits</w:t>
            </w:r>
          </w:p>
        </w:tc>
        <w:tc>
          <w:tcPr>
            <w:tcW w:w="4000" w:type="dxa"/>
            <w:vAlign w:val="bottom"/>
            <w:gridSpan w:val="2"/>
            <w:shd w:val="clear" w:color="auto" w:fill="CFF0FC"/>
          </w:tcPr>
          <w:p>
            <w:pPr>
              <w:jc w:val="right"/>
              <w:ind w:right="908"/>
              <w:spacing w:after="0"/>
              <w:rPr>
                <w:sz w:val="20"/>
                <w:szCs w:val="20"/>
                <w:color w:val="auto"/>
              </w:rPr>
            </w:pPr>
            <w:r>
              <w:rPr>
                <w:rFonts w:ascii="Arial" w:cs="Arial" w:eastAsia="Arial" w:hAnsi="Arial"/>
                <w:sz w:val="18"/>
                <w:szCs w:val="18"/>
                <w:color w:val="auto"/>
              </w:rPr>
              <w:t>$</w:t>
            </w:r>
          </w:p>
        </w:tc>
        <w:tc>
          <w:tcPr>
            <w:tcW w:w="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20,775</w:t>
            </w:r>
          </w:p>
        </w:tc>
        <w:tc>
          <w:tcPr>
            <w:tcW w:w="280" w:type="dxa"/>
            <w:vAlign w:val="bottom"/>
            <w:shd w:val="clear" w:color="auto" w:fill="CFF0FC"/>
          </w:tcPr>
          <w:p>
            <w:pPr>
              <w:spacing w:after="0"/>
              <w:rPr>
                <w:sz w:val="18"/>
                <w:szCs w:val="18"/>
                <w:color w:val="auto"/>
              </w:rPr>
            </w:pPr>
          </w:p>
        </w:tc>
        <w:tc>
          <w:tcPr>
            <w:tcW w:w="520" w:type="dxa"/>
            <w:vAlign w:val="bottom"/>
            <w:shd w:val="clear" w:color="auto" w:fill="CFF0FC"/>
          </w:tcPr>
          <w:p>
            <w:pPr>
              <w:jc w:val="right"/>
              <w:ind w:right="330"/>
              <w:spacing w:after="0"/>
              <w:rPr>
                <w:sz w:val="20"/>
                <w:szCs w:val="20"/>
                <w:color w:val="auto"/>
              </w:rPr>
            </w:pPr>
            <w:r>
              <w:rPr>
                <w:rFonts w:ascii="Arial" w:cs="Arial" w:eastAsia="Arial" w:hAnsi="Arial"/>
                <w:sz w:val="18"/>
                <w:szCs w:val="18"/>
                <w:color w:val="auto"/>
                <w:w w:val="79"/>
              </w:rPr>
              <w:t>$</w:t>
            </w: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17,054</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40" w:type="dxa"/>
            <w:vAlign w:val="bottom"/>
          </w:tcPr>
          <w:p>
            <w:pPr>
              <w:spacing w:after="0"/>
              <w:rPr>
                <w:sz w:val="20"/>
                <w:szCs w:val="20"/>
                <w:color w:val="auto"/>
              </w:rPr>
            </w:pPr>
            <w:r>
              <w:rPr>
                <w:rFonts w:ascii="Arial" w:cs="Arial" w:eastAsia="Arial" w:hAnsi="Arial"/>
                <w:sz w:val="18"/>
                <w:szCs w:val="18"/>
                <w:color w:val="auto"/>
              </w:rPr>
              <w:t>Accrued income and other taxes payable</w:t>
            </w:r>
          </w:p>
        </w:tc>
        <w:tc>
          <w:tcPr>
            <w:tcW w:w="29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4,198</w:t>
            </w:r>
          </w:p>
        </w:tc>
        <w:tc>
          <w:tcPr>
            <w:tcW w:w="2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4,321</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40" w:type="dxa"/>
            <w:vAlign w:val="bottom"/>
            <w:shd w:val="clear" w:color="auto" w:fill="CFF0FC"/>
          </w:tcPr>
          <w:p>
            <w:pPr>
              <w:spacing w:after="0"/>
              <w:rPr>
                <w:sz w:val="20"/>
                <w:szCs w:val="20"/>
                <w:color w:val="auto"/>
              </w:rPr>
            </w:pPr>
            <w:r>
              <w:rPr>
                <w:rFonts w:ascii="Arial" w:cs="Arial" w:eastAsia="Arial" w:hAnsi="Arial"/>
                <w:sz w:val="18"/>
                <w:szCs w:val="18"/>
                <w:color w:val="auto"/>
              </w:rPr>
              <w:t>Short-term tenant improvement allowance</w:t>
            </w:r>
          </w:p>
        </w:tc>
        <w:tc>
          <w:tcPr>
            <w:tcW w:w="292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920" w:type="dxa"/>
            <w:vAlign w:val="bottom"/>
            <w:gridSpan w:val="2"/>
            <w:shd w:val="clear" w:color="auto" w:fill="CFF0FC"/>
          </w:tcPr>
          <w:p>
            <w:pPr>
              <w:jc w:val="right"/>
              <w:ind w:right="280"/>
              <w:spacing w:after="0"/>
              <w:rPr>
                <w:sz w:val="20"/>
                <w:szCs w:val="20"/>
                <w:color w:val="auto"/>
              </w:rPr>
            </w:pPr>
            <w:r>
              <w:rPr>
                <w:rFonts w:ascii="Arial" w:cs="Arial" w:eastAsia="Arial" w:hAnsi="Arial"/>
                <w:sz w:val="15"/>
                <w:szCs w:val="15"/>
                <w:color w:val="auto"/>
              </w:rPr>
              <w:t>—</w:t>
            </w:r>
          </w:p>
        </w:tc>
        <w:tc>
          <w:tcPr>
            <w:tcW w:w="520" w:type="dxa"/>
            <w:vAlign w:val="bottom"/>
            <w:shd w:val="clear" w:color="auto" w:fill="CFF0FC"/>
          </w:tcPr>
          <w:p>
            <w:pPr>
              <w:spacing w:after="0"/>
              <w:rPr>
                <w:sz w:val="18"/>
                <w:szCs w:val="18"/>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475</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4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Other accrued expenses and current liabilities</w:t>
            </w:r>
          </w:p>
        </w:tc>
        <w:tc>
          <w:tcPr>
            <w:tcW w:w="2920" w:type="dxa"/>
            <w:vAlign w:val="bottom"/>
            <w:tcBorders>
              <w:bottom w:val="single" w:sz="8" w:color="CFF0FC"/>
            </w:tcBorders>
          </w:tcPr>
          <w:p>
            <w:pPr>
              <w:spacing w:after="0"/>
              <w:rPr>
                <w:sz w:val="18"/>
                <w:szCs w:val="18"/>
                <w:color w:val="auto"/>
              </w:rPr>
            </w:pPr>
          </w:p>
        </w:tc>
        <w:tc>
          <w:tcPr>
            <w:tcW w:w="108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5,125</w:t>
            </w:r>
          </w:p>
        </w:tc>
        <w:tc>
          <w:tcPr>
            <w:tcW w:w="280" w:type="dxa"/>
            <w:vAlign w:val="bottom"/>
            <w:tcBorders>
              <w:bottom w:val="single" w:sz="8" w:color="CFF0FC"/>
            </w:tcBorders>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2,629</w:t>
            </w:r>
          </w:p>
        </w:tc>
        <w:tc>
          <w:tcPr>
            <w:tcW w:w="120" w:type="dxa"/>
            <w:vAlign w:val="bottom"/>
            <w:tcBorders>
              <w:bottom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640" w:type="dxa"/>
            <w:vAlign w:val="bottom"/>
            <w:shd w:val="clear" w:color="auto" w:fill="CFF0FC"/>
          </w:tcPr>
          <w:p>
            <w:pPr>
              <w:spacing w:after="0"/>
              <w:rPr>
                <w:sz w:val="18"/>
                <w:szCs w:val="18"/>
                <w:color w:val="auto"/>
              </w:rPr>
            </w:pPr>
          </w:p>
        </w:tc>
        <w:tc>
          <w:tcPr>
            <w:tcW w:w="4000" w:type="dxa"/>
            <w:vAlign w:val="bottom"/>
            <w:gridSpan w:val="2"/>
            <w:shd w:val="clear" w:color="auto" w:fill="CFF0FC"/>
          </w:tcPr>
          <w:p>
            <w:pPr>
              <w:jc w:val="right"/>
              <w:ind w:right="908"/>
              <w:spacing w:after="0"/>
              <w:rPr>
                <w:sz w:val="20"/>
                <w:szCs w:val="20"/>
                <w:color w:val="auto"/>
              </w:rPr>
            </w:pPr>
            <w:r>
              <w:rPr>
                <w:rFonts w:ascii="Arial" w:cs="Arial" w:eastAsia="Arial" w:hAnsi="Arial"/>
                <w:sz w:val="18"/>
                <w:szCs w:val="18"/>
                <w:color w:val="auto"/>
              </w:rPr>
              <w:t>$</w:t>
            </w:r>
          </w:p>
        </w:tc>
        <w:tc>
          <w:tcPr>
            <w:tcW w:w="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30,098</w:t>
            </w:r>
          </w:p>
        </w:tc>
        <w:tc>
          <w:tcPr>
            <w:tcW w:w="280" w:type="dxa"/>
            <w:vAlign w:val="bottom"/>
            <w:shd w:val="clear" w:color="auto" w:fill="CFF0FC"/>
          </w:tcPr>
          <w:p>
            <w:pPr>
              <w:spacing w:after="0"/>
              <w:rPr>
                <w:sz w:val="18"/>
                <w:szCs w:val="18"/>
                <w:color w:val="auto"/>
              </w:rPr>
            </w:pPr>
          </w:p>
        </w:tc>
        <w:tc>
          <w:tcPr>
            <w:tcW w:w="520" w:type="dxa"/>
            <w:vAlign w:val="bottom"/>
            <w:shd w:val="clear" w:color="auto" w:fill="CFF0FC"/>
          </w:tcPr>
          <w:p>
            <w:pPr>
              <w:jc w:val="right"/>
              <w:ind w:right="330"/>
              <w:spacing w:after="0"/>
              <w:rPr>
                <w:sz w:val="20"/>
                <w:szCs w:val="20"/>
                <w:color w:val="auto"/>
              </w:rPr>
            </w:pPr>
            <w:r>
              <w:rPr>
                <w:rFonts w:ascii="Arial" w:cs="Arial" w:eastAsia="Arial" w:hAnsi="Arial"/>
                <w:sz w:val="18"/>
                <w:szCs w:val="18"/>
                <w:color w:val="auto"/>
                <w:w w:val="79"/>
              </w:rPr>
              <w:t>$</w:t>
            </w: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24,479</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640" w:type="dxa"/>
            <w:vAlign w:val="bottom"/>
            <w:tcBorders>
              <w:top w:val="single" w:sz="8" w:color="CFF0FC"/>
            </w:tcBorders>
          </w:tcPr>
          <w:p>
            <w:pPr>
              <w:spacing w:after="0" w:line="20" w:lineRule="exact"/>
              <w:rPr>
                <w:sz w:val="1"/>
                <w:szCs w:val="1"/>
                <w:color w:val="auto"/>
              </w:rPr>
            </w:pPr>
          </w:p>
        </w:tc>
        <w:tc>
          <w:tcPr>
            <w:tcW w:w="2920" w:type="dxa"/>
            <w:vAlign w:val="bottom"/>
            <w:tcBorders>
              <w:top w:val="single" w:sz="8" w:color="CFF0FC"/>
              <w:bottom w:val="single" w:sz="8" w:color="CFF0FC"/>
            </w:tcBorders>
            <w:vMerge w:val="restart"/>
          </w:tcPr>
          <w:p>
            <w:pPr>
              <w:jc w:val="right"/>
              <w:ind w:right="1650"/>
              <w:spacing w:after="0"/>
              <w:rPr>
                <w:sz w:val="20"/>
                <w:szCs w:val="20"/>
                <w:color w:val="auto"/>
              </w:rPr>
            </w:pPr>
            <w:r>
              <w:rPr>
                <w:rFonts w:ascii="Arial" w:cs="Arial" w:eastAsia="Arial" w:hAnsi="Arial"/>
                <w:sz w:val="18"/>
                <w:szCs w:val="18"/>
                <w:color w:val="auto"/>
              </w:rPr>
              <w:t>77</w:t>
            </w:r>
          </w:p>
        </w:tc>
        <w:tc>
          <w:tcPr>
            <w:tcW w:w="10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FF0FC"/>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61"/>
        </w:trPr>
        <w:tc>
          <w:tcPr>
            <w:tcW w:w="4640" w:type="dxa"/>
            <w:vAlign w:val="bottom"/>
          </w:tcPr>
          <w:p>
            <w:pPr>
              <w:spacing w:after="0"/>
              <w:rPr>
                <w:sz w:val="24"/>
                <w:szCs w:val="24"/>
                <w:color w:val="auto"/>
              </w:rPr>
            </w:pPr>
          </w:p>
        </w:tc>
        <w:tc>
          <w:tcPr>
            <w:tcW w:w="2920" w:type="dxa"/>
            <w:vAlign w:val="bottom"/>
            <w:vMerge w:val="continue"/>
          </w:tcPr>
          <w:p>
            <w:pPr>
              <w:spacing w:after="0"/>
              <w:rPr>
                <w:sz w:val="24"/>
                <w:szCs w:val="24"/>
                <w:color w:val="auto"/>
              </w:rPr>
            </w:pPr>
          </w:p>
        </w:tc>
        <w:tc>
          <w:tcPr>
            <w:tcW w:w="10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2"/>
        </w:trPr>
        <w:tc>
          <w:tcPr>
            <w:tcW w:w="4640" w:type="dxa"/>
            <w:vAlign w:val="bottom"/>
            <w:tcBorders>
              <w:bottom w:val="single" w:sz="8" w:color="9A9A9A"/>
            </w:tcBorders>
          </w:tcPr>
          <w:p>
            <w:pPr>
              <w:spacing w:after="0"/>
              <w:rPr>
                <w:sz w:val="8"/>
                <w:szCs w:val="8"/>
                <w:color w:val="auto"/>
              </w:rPr>
            </w:pPr>
          </w:p>
        </w:tc>
        <w:tc>
          <w:tcPr>
            <w:tcW w:w="2920" w:type="dxa"/>
            <w:vAlign w:val="bottom"/>
            <w:tcBorders>
              <w:bottom w:val="single" w:sz="8" w:color="9A9A9A"/>
            </w:tcBorders>
          </w:tcPr>
          <w:p>
            <w:pPr>
              <w:spacing w:after="0"/>
              <w:rPr>
                <w:sz w:val="8"/>
                <w:szCs w:val="8"/>
                <w:color w:val="auto"/>
              </w:rPr>
            </w:pPr>
          </w:p>
        </w:tc>
        <w:tc>
          <w:tcPr>
            <w:tcW w:w="1080" w:type="dxa"/>
            <w:vAlign w:val="bottom"/>
            <w:tcBorders>
              <w:bottom w:val="single" w:sz="8" w:color="9A9A9A"/>
            </w:tcBorders>
          </w:tcPr>
          <w:p>
            <w:pPr>
              <w:spacing w:after="0"/>
              <w:rPr>
                <w:sz w:val="8"/>
                <w:szCs w:val="8"/>
                <w:color w:val="auto"/>
              </w:rPr>
            </w:pPr>
          </w:p>
        </w:tc>
        <w:tc>
          <w:tcPr>
            <w:tcW w:w="640" w:type="dxa"/>
            <w:vAlign w:val="bottom"/>
            <w:tcBorders>
              <w:bottom w:val="single" w:sz="8" w:color="9A9A9A"/>
            </w:tcBorders>
          </w:tcPr>
          <w:p>
            <w:pPr>
              <w:spacing w:after="0"/>
              <w:rPr>
                <w:sz w:val="8"/>
                <w:szCs w:val="8"/>
                <w:color w:val="auto"/>
              </w:rPr>
            </w:pPr>
          </w:p>
        </w:tc>
        <w:tc>
          <w:tcPr>
            <w:tcW w:w="280" w:type="dxa"/>
            <w:vAlign w:val="bottom"/>
            <w:tcBorders>
              <w:bottom w:val="single" w:sz="8" w:color="9A9A9A"/>
            </w:tcBorders>
          </w:tcPr>
          <w:p>
            <w:pPr>
              <w:spacing w:after="0"/>
              <w:rPr>
                <w:sz w:val="8"/>
                <w:szCs w:val="8"/>
                <w:color w:val="auto"/>
              </w:rPr>
            </w:pPr>
          </w:p>
        </w:tc>
        <w:tc>
          <w:tcPr>
            <w:tcW w:w="520" w:type="dxa"/>
            <w:vAlign w:val="bottom"/>
            <w:tcBorders>
              <w:bottom w:val="single" w:sz="8" w:color="9A9A9A"/>
            </w:tcBorders>
          </w:tcPr>
          <w:p>
            <w:pPr>
              <w:spacing w:after="0"/>
              <w:rPr>
                <w:sz w:val="8"/>
                <w:szCs w:val="8"/>
                <w:color w:val="auto"/>
              </w:rPr>
            </w:pPr>
          </w:p>
        </w:tc>
        <w:tc>
          <w:tcPr>
            <w:tcW w:w="1220" w:type="dxa"/>
            <w:vAlign w:val="bottom"/>
            <w:tcBorders>
              <w:bottom w:val="single" w:sz="8" w:color="9A9A9A"/>
            </w:tcBorders>
          </w:tcPr>
          <w:p>
            <w:pPr>
              <w:spacing w:after="0"/>
              <w:rPr>
                <w:sz w:val="8"/>
                <w:szCs w:val="8"/>
                <w:color w:val="auto"/>
              </w:rPr>
            </w:pPr>
          </w:p>
        </w:tc>
        <w:tc>
          <w:tcPr>
            <w:tcW w:w="120" w:type="dxa"/>
            <w:vAlign w:val="bottom"/>
            <w:tcBorders>
              <w:bottom w:val="single" w:sz="8" w:color="9A9A9A"/>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7230110</wp:posOffset>
            </wp:positionH>
            <wp:positionV relativeFrom="paragraph">
              <wp:posOffset>-29210</wp:posOffset>
            </wp:positionV>
            <wp:extent cx="34290" cy="425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20"/>
          </w:cols>
          <w:pgMar w:left="240" w:top="395" w:right="239" w:bottom="1440" w:gutter="0" w:footer="0" w:header="0"/>
        </w:sectPr>
      </w:pPr>
    </w:p>
    <w:bookmarkStart w:id="77" w:name="page78"/>
    <w:bookmarkEnd w:id="77"/>
    <w:p>
      <w:pPr>
        <w:spacing w:after="0"/>
        <w:rPr>
          <w:sz w:val="20"/>
          <w:szCs w:val="20"/>
          <w:color w:val="auto"/>
        </w:rPr>
      </w:pPr>
      <w:r>
        <w:rPr>
          <w:rFonts w:ascii="Arial" w:cs="Arial" w:eastAsia="Arial" w:hAnsi="Arial"/>
          <w:sz w:val="18"/>
          <w:szCs w:val="18"/>
          <w:b w:val="1"/>
          <w:bCs w:val="1"/>
          <w:i w:val="1"/>
          <w:iCs w:val="1"/>
          <w:color w:val="auto"/>
        </w:rPr>
        <w:t>Note 6—Leases</w:t>
      </w:r>
    </w:p>
    <w:p>
      <w:pPr>
        <w:spacing w:after="0" w:line="126"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following table sets forth the Company’s lease expense (in thousands):</w:t>
      </w:r>
    </w:p>
    <w:p>
      <w:pPr>
        <w:spacing w:after="0" w:line="240"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87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960" w:type="dxa"/>
            <w:vAlign w:val="bottom"/>
          </w:tcPr>
          <w:p>
            <w:pPr>
              <w:jc w:val="center"/>
              <w:ind w:left="467"/>
              <w:spacing w:after="0"/>
              <w:rPr>
                <w:sz w:val="20"/>
                <w:szCs w:val="20"/>
                <w:color w:val="auto"/>
              </w:rPr>
            </w:pPr>
            <w:r>
              <w:rPr>
                <w:rFonts w:ascii="Arial" w:cs="Arial" w:eastAsia="Arial" w:hAnsi="Arial"/>
                <w:sz w:val="14"/>
                <w:szCs w:val="14"/>
                <w:b w:val="1"/>
                <w:bCs w:val="1"/>
                <w:color w:val="auto"/>
              </w:rPr>
              <w:t>Year Ended</w:t>
            </w:r>
          </w:p>
        </w:tc>
        <w:tc>
          <w:tcPr>
            <w:tcW w:w="580" w:type="dxa"/>
            <w:vAlign w:val="bottom"/>
          </w:tcPr>
          <w:p>
            <w:pPr>
              <w:spacing w:after="0"/>
              <w:rPr>
                <w:sz w:val="14"/>
                <w:szCs w:val="14"/>
                <w:color w:val="auto"/>
              </w:rPr>
            </w:pPr>
          </w:p>
        </w:tc>
        <w:tc>
          <w:tcPr>
            <w:tcW w:w="120" w:type="dxa"/>
            <w:vAlign w:val="bottom"/>
          </w:tcPr>
          <w:p>
            <w:pPr>
              <w:spacing w:after="0"/>
              <w:rPr>
                <w:sz w:val="14"/>
                <w:szCs w:val="14"/>
                <w:color w:val="auto"/>
              </w:rPr>
            </w:pPr>
          </w:p>
        </w:tc>
      </w:tr>
      <w:tr>
        <w:trPr>
          <w:trHeight w:val="175"/>
        </w:trPr>
        <w:tc>
          <w:tcPr>
            <w:tcW w:w="8700" w:type="dxa"/>
            <w:vAlign w:val="bottom"/>
            <w:tcBorders>
              <w:bottom w:val="single" w:sz="8" w:color="CFF0FC"/>
            </w:tcBorders>
          </w:tcPr>
          <w:p>
            <w:pPr>
              <w:spacing w:after="0"/>
              <w:rPr>
                <w:sz w:val="15"/>
                <w:szCs w:val="15"/>
                <w:color w:val="auto"/>
              </w:rPr>
            </w:pPr>
          </w:p>
        </w:tc>
        <w:tc>
          <w:tcPr>
            <w:tcW w:w="60" w:type="dxa"/>
            <w:vAlign w:val="bottom"/>
            <w:tcBorders>
              <w:bottom w:val="single" w:sz="8" w:color="CFF0FC"/>
            </w:tcBorders>
          </w:tcPr>
          <w:p>
            <w:pPr>
              <w:spacing w:after="0"/>
              <w:rPr>
                <w:sz w:val="15"/>
                <w:szCs w:val="15"/>
                <w:color w:val="auto"/>
              </w:rPr>
            </w:pPr>
          </w:p>
        </w:tc>
        <w:tc>
          <w:tcPr>
            <w:tcW w:w="1960" w:type="dxa"/>
            <w:vAlign w:val="bottom"/>
            <w:tcBorders>
              <w:bottom w:val="single" w:sz="8" w:color="auto"/>
            </w:tcBorders>
          </w:tcPr>
          <w:p>
            <w:pPr>
              <w:jc w:val="center"/>
              <w:ind w:left="467"/>
              <w:spacing w:after="0"/>
              <w:rPr>
                <w:sz w:val="20"/>
                <w:szCs w:val="20"/>
                <w:color w:val="auto"/>
              </w:rPr>
            </w:pPr>
            <w:r>
              <w:rPr>
                <w:rFonts w:ascii="Arial" w:cs="Arial" w:eastAsia="Arial" w:hAnsi="Arial"/>
                <w:sz w:val="14"/>
                <w:szCs w:val="14"/>
                <w:b w:val="1"/>
                <w:bCs w:val="1"/>
                <w:color w:val="auto"/>
              </w:rPr>
              <w:t>December 31, 2019</w:t>
            </w:r>
          </w:p>
        </w:tc>
        <w:tc>
          <w:tcPr>
            <w:tcW w:w="580" w:type="dxa"/>
            <w:vAlign w:val="bottom"/>
            <w:tcBorders>
              <w:bottom w:val="single" w:sz="8" w:color="auto"/>
            </w:tcBorders>
          </w:tcPr>
          <w:p>
            <w:pPr>
              <w:spacing w:after="0"/>
              <w:rPr>
                <w:sz w:val="15"/>
                <w:szCs w:val="15"/>
                <w:color w:val="auto"/>
              </w:rPr>
            </w:pPr>
          </w:p>
        </w:tc>
        <w:tc>
          <w:tcPr>
            <w:tcW w:w="120" w:type="dxa"/>
            <w:vAlign w:val="bottom"/>
            <w:tcBorders>
              <w:bottom w:val="single" w:sz="8" w:color="CFF0FC"/>
            </w:tcBorders>
          </w:tcPr>
          <w:p>
            <w:pPr>
              <w:spacing w:after="0"/>
              <w:rPr>
                <w:sz w:val="15"/>
                <w:szCs w:val="15"/>
                <w:color w:val="auto"/>
              </w:rPr>
            </w:pPr>
          </w:p>
        </w:tc>
      </w:tr>
      <w:tr>
        <w:trPr>
          <w:trHeight w:val="210"/>
        </w:trPr>
        <w:tc>
          <w:tcPr>
            <w:tcW w:w="8760" w:type="dxa"/>
            <w:vAlign w:val="bottom"/>
            <w:tcBorders>
              <w:right w:val="single" w:sz="8" w:color="CFF0FC"/>
            </w:tcBorders>
            <w:gridSpan w:val="2"/>
            <w:shd w:val="clear" w:color="auto" w:fill="CFF0FC"/>
          </w:tcPr>
          <w:p>
            <w:pPr>
              <w:spacing w:after="0"/>
              <w:rPr>
                <w:sz w:val="20"/>
                <w:szCs w:val="20"/>
                <w:color w:val="auto"/>
              </w:rPr>
            </w:pPr>
            <w:r>
              <w:rPr>
                <w:rFonts w:ascii="Arial" w:cs="Arial" w:eastAsia="Arial" w:hAnsi="Arial"/>
                <w:sz w:val="18"/>
                <w:szCs w:val="18"/>
                <w:color w:val="auto"/>
              </w:rPr>
              <w:t>Operating lease cost</w:t>
            </w:r>
          </w:p>
        </w:tc>
        <w:tc>
          <w:tcPr>
            <w:tcW w:w="1960" w:type="dxa"/>
            <w:vAlign w:val="bottom"/>
            <w:shd w:val="clear" w:color="auto" w:fill="CFF0FC"/>
          </w:tcPr>
          <w:p>
            <w:pPr>
              <w:jc w:val="right"/>
              <w:ind w:right="1807"/>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5,957</w:t>
            </w:r>
          </w:p>
        </w:tc>
        <w:tc>
          <w:tcPr>
            <w:tcW w:w="120" w:type="dxa"/>
            <w:vAlign w:val="bottom"/>
            <w:shd w:val="clear" w:color="auto" w:fill="CFF0FC"/>
          </w:tcPr>
          <w:p>
            <w:pPr>
              <w:spacing w:after="0"/>
              <w:rPr>
                <w:sz w:val="18"/>
                <w:szCs w:val="18"/>
                <w:color w:val="auto"/>
              </w:rPr>
            </w:pPr>
          </w:p>
        </w:tc>
      </w:tr>
      <w:tr>
        <w:trPr>
          <w:trHeight w:val="216"/>
        </w:trPr>
        <w:tc>
          <w:tcPr>
            <w:tcW w:w="8760" w:type="dxa"/>
            <w:vAlign w:val="bottom"/>
            <w:gridSpan w:val="2"/>
          </w:tcPr>
          <w:p>
            <w:pPr>
              <w:spacing w:after="0"/>
              <w:rPr>
                <w:sz w:val="20"/>
                <w:szCs w:val="20"/>
                <w:color w:val="auto"/>
              </w:rPr>
            </w:pPr>
            <w:r>
              <w:rPr>
                <w:rFonts w:ascii="Arial" w:cs="Arial" w:eastAsia="Arial" w:hAnsi="Arial"/>
                <w:sz w:val="18"/>
                <w:szCs w:val="18"/>
                <w:color w:val="auto"/>
              </w:rPr>
              <w:t>Short-term lease cost</w:t>
            </w:r>
          </w:p>
        </w:tc>
        <w:tc>
          <w:tcPr>
            <w:tcW w:w="19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875</w:t>
            </w:r>
          </w:p>
        </w:tc>
        <w:tc>
          <w:tcPr>
            <w:tcW w:w="120" w:type="dxa"/>
            <w:vAlign w:val="bottom"/>
          </w:tcPr>
          <w:p>
            <w:pPr>
              <w:spacing w:after="0"/>
              <w:rPr>
                <w:sz w:val="18"/>
                <w:szCs w:val="18"/>
                <w:color w:val="auto"/>
              </w:rPr>
            </w:pPr>
          </w:p>
        </w:tc>
      </w:tr>
      <w:tr>
        <w:trPr>
          <w:trHeight w:val="216"/>
        </w:trPr>
        <w:tc>
          <w:tcPr>
            <w:tcW w:w="8760" w:type="dxa"/>
            <w:vAlign w:val="bottom"/>
            <w:tcBorders>
              <w:right w:val="single" w:sz="8" w:color="CFF0FC"/>
            </w:tcBorders>
            <w:gridSpan w:val="2"/>
            <w:shd w:val="clear" w:color="auto" w:fill="CFF0FC"/>
          </w:tcPr>
          <w:p>
            <w:pPr>
              <w:spacing w:after="0"/>
              <w:rPr>
                <w:sz w:val="20"/>
                <w:szCs w:val="20"/>
                <w:color w:val="auto"/>
              </w:rPr>
            </w:pPr>
            <w:r>
              <w:rPr>
                <w:rFonts w:ascii="Arial" w:cs="Arial" w:eastAsia="Arial" w:hAnsi="Arial"/>
                <w:sz w:val="18"/>
                <w:szCs w:val="18"/>
                <w:color w:val="auto"/>
              </w:rPr>
              <w:t>Variable cost</w:t>
            </w:r>
          </w:p>
        </w:tc>
        <w:tc>
          <w:tcPr>
            <w:tcW w:w="1960" w:type="dxa"/>
            <w:vAlign w:val="bottom"/>
            <w:tcBorders>
              <w:bottom w:val="single" w:sz="8" w:color="auto"/>
            </w:tcBorders>
            <w:shd w:val="clear" w:color="auto" w:fill="CFF0FC"/>
          </w:tcPr>
          <w:p>
            <w:pPr>
              <w:spacing w:after="0"/>
              <w:rPr>
                <w:sz w:val="18"/>
                <w:szCs w:val="18"/>
                <w:color w:val="auto"/>
              </w:rPr>
            </w:pPr>
          </w:p>
        </w:tc>
        <w:tc>
          <w:tcPr>
            <w:tcW w:w="5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630</w:t>
            </w:r>
          </w:p>
        </w:tc>
        <w:tc>
          <w:tcPr>
            <w:tcW w:w="120" w:type="dxa"/>
            <w:vAlign w:val="bottom"/>
            <w:shd w:val="clear" w:color="auto" w:fill="CFF0FC"/>
          </w:tcPr>
          <w:p>
            <w:pPr>
              <w:spacing w:after="0"/>
              <w:rPr>
                <w:sz w:val="18"/>
                <w:szCs w:val="18"/>
                <w:color w:val="auto"/>
              </w:rPr>
            </w:pPr>
          </w:p>
        </w:tc>
      </w:tr>
      <w:tr>
        <w:trPr>
          <w:trHeight w:val="210"/>
        </w:trPr>
        <w:tc>
          <w:tcPr>
            <w:tcW w:w="8760" w:type="dxa"/>
            <w:vAlign w:val="bottom"/>
            <w:gridSpan w:val="2"/>
          </w:tcPr>
          <w:p>
            <w:pPr>
              <w:ind w:left="200"/>
              <w:spacing w:after="0"/>
              <w:rPr>
                <w:sz w:val="20"/>
                <w:szCs w:val="20"/>
                <w:color w:val="auto"/>
              </w:rPr>
            </w:pPr>
            <w:r>
              <w:rPr>
                <w:rFonts w:ascii="Arial" w:cs="Arial" w:eastAsia="Arial" w:hAnsi="Arial"/>
                <w:sz w:val="18"/>
                <w:szCs w:val="18"/>
                <w:color w:val="auto"/>
              </w:rPr>
              <w:t>Total lease cost</w:t>
            </w:r>
          </w:p>
        </w:tc>
        <w:tc>
          <w:tcPr>
            <w:tcW w:w="1960" w:type="dxa"/>
            <w:vAlign w:val="bottom"/>
            <w:tcBorders>
              <w:bottom w:val="single" w:sz="8" w:color="auto"/>
            </w:tcBorders>
          </w:tcPr>
          <w:p>
            <w:pPr>
              <w:jc w:val="right"/>
              <w:ind w:right="1807"/>
              <w:spacing w:after="0"/>
              <w:rPr>
                <w:sz w:val="20"/>
                <w:szCs w:val="20"/>
                <w:color w:val="auto"/>
              </w:rPr>
            </w:pPr>
            <w:r>
              <w:rPr>
                <w:rFonts w:ascii="Arial" w:cs="Arial" w:eastAsia="Arial" w:hAnsi="Arial"/>
                <w:sz w:val="15"/>
                <w:szCs w:val="15"/>
                <w:color w:val="auto"/>
                <w:w w:val="71"/>
              </w:rPr>
              <w:t>$</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7,462</w:t>
            </w:r>
          </w:p>
        </w:tc>
        <w:tc>
          <w:tcPr>
            <w:tcW w:w="120" w:type="dxa"/>
            <w:vAlign w:val="bottom"/>
          </w:tcPr>
          <w:p>
            <w:pPr>
              <w:spacing w:after="0"/>
              <w:rPr>
                <w:sz w:val="18"/>
                <w:szCs w:val="18"/>
                <w:color w:val="auto"/>
              </w:rPr>
            </w:pPr>
          </w:p>
        </w:tc>
      </w:tr>
      <w:tr>
        <w:trPr>
          <w:trHeight w:val="20"/>
        </w:trPr>
        <w:tc>
          <w:tcPr>
            <w:tcW w:w="87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9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440"/>
        </w:trPr>
        <w:tc>
          <w:tcPr>
            <w:tcW w:w="10720" w:type="dxa"/>
            <w:vAlign w:val="bottom"/>
            <w:gridSpan w:val="3"/>
          </w:tcPr>
          <w:p>
            <w:pPr>
              <w:ind w:left="520"/>
              <w:spacing w:after="0"/>
              <w:rPr>
                <w:sz w:val="20"/>
                <w:szCs w:val="20"/>
                <w:color w:val="auto"/>
              </w:rPr>
            </w:pPr>
            <w:r>
              <w:rPr>
                <w:rFonts w:ascii="Arial" w:cs="Arial" w:eastAsia="Arial" w:hAnsi="Arial"/>
                <w:sz w:val="18"/>
                <w:szCs w:val="18"/>
                <w:color w:val="auto"/>
              </w:rPr>
              <w:t>Supplemental information related to the Company’s leases was as follows (in thousands, except percentages):</w:t>
            </w:r>
          </w:p>
        </w:tc>
        <w:tc>
          <w:tcPr>
            <w:tcW w:w="58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392"/>
        </w:trPr>
        <w:tc>
          <w:tcPr>
            <w:tcW w:w="87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960" w:type="dxa"/>
            <w:vAlign w:val="bottom"/>
          </w:tcPr>
          <w:p>
            <w:pPr>
              <w:jc w:val="center"/>
              <w:ind w:left="467"/>
              <w:spacing w:after="0"/>
              <w:rPr>
                <w:sz w:val="20"/>
                <w:szCs w:val="20"/>
                <w:color w:val="auto"/>
              </w:rPr>
            </w:pPr>
            <w:r>
              <w:rPr>
                <w:rFonts w:ascii="Arial" w:cs="Arial" w:eastAsia="Arial" w:hAnsi="Arial"/>
                <w:sz w:val="14"/>
                <w:szCs w:val="14"/>
                <w:b w:val="1"/>
                <w:bCs w:val="1"/>
                <w:color w:val="auto"/>
              </w:rPr>
              <w:t>Year Ended</w:t>
            </w:r>
          </w:p>
        </w:tc>
        <w:tc>
          <w:tcPr>
            <w:tcW w:w="58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175"/>
        </w:trPr>
        <w:tc>
          <w:tcPr>
            <w:tcW w:w="8700" w:type="dxa"/>
            <w:vAlign w:val="bottom"/>
            <w:tcBorders>
              <w:bottom w:val="single" w:sz="8" w:color="CFF0FC"/>
            </w:tcBorders>
          </w:tcPr>
          <w:p>
            <w:pPr>
              <w:spacing w:after="0"/>
              <w:rPr>
                <w:sz w:val="15"/>
                <w:szCs w:val="15"/>
                <w:color w:val="auto"/>
              </w:rPr>
            </w:pPr>
          </w:p>
        </w:tc>
        <w:tc>
          <w:tcPr>
            <w:tcW w:w="60" w:type="dxa"/>
            <w:vAlign w:val="bottom"/>
            <w:tcBorders>
              <w:bottom w:val="single" w:sz="8" w:color="CFF0FC"/>
            </w:tcBorders>
          </w:tcPr>
          <w:p>
            <w:pPr>
              <w:spacing w:after="0"/>
              <w:rPr>
                <w:sz w:val="15"/>
                <w:szCs w:val="15"/>
                <w:color w:val="auto"/>
              </w:rPr>
            </w:pPr>
          </w:p>
        </w:tc>
        <w:tc>
          <w:tcPr>
            <w:tcW w:w="1960" w:type="dxa"/>
            <w:vAlign w:val="bottom"/>
            <w:tcBorders>
              <w:bottom w:val="single" w:sz="8" w:color="auto"/>
            </w:tcBorders>
          </w:tcPr>
          <w:p>
            <w:pPr>
              <w:jc w:val="center"/>
              <w:ind w:left="467"/>
              <w:spacing w:after="0"/>
              <w:rPr>
                <w:sz w:val="20"/>
                <w:szCs w:val="20"/>
                <w:color w:val="auto"/>
              </w:rPr>
            </w:pPr>
            <w:r>
              <w:rPr>
                <w:rFonts w:ascii="Arial" w:cs="Arial" w:eastAsia="Arial" w:hAnsi="Arial"/>
                <w:sz w:val="14"/>
                <w:szCs w:val="14"/>
                <w:b w:val="1"/>
                <w:bCs w:val="1"/>
                <w:color w:val="auto"/>
              </w:rPr>
              <w:t>December 31, 2019</w:t>
            </w:r>
          </w:p>
        </w:tc>
        <w:tc>
          <w:tcPr>
            <w:tcW w:w="58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r>
      <w:tr>
        <w:trPr>
          <w:trHeight w:val="210"/>
        </w:trPr>
        <w:tc>
          <w:tcPr>
            <w:tcW w:w="8760" w:type="dxa"/>
            <w:vAlign w:val="bottom"/>
            <w:tcBorders>
              <w:right w:val="single" w:sz="8" w:color="CFF0FC"/>
            </w:tcBorders>
            <w:gridSpan w:val="2"/>
            <w:shd w:val="clear" w:color="auto" w:fill="CFF0FC"/>
          </w:tcPr>
          <w:p>
            <w:pPr>
              <w:spacing w:after="0"/>
              <w:rPr>
                <w:sz w:val="20"/>
                <w:szCs w:val="20"/>
                <w:color w:val="auto"/>
              </w:rPr>
            </w:pPr>
            <w:r>
              <w:rPr>
                <w:rFonts w:ascii="Arial" w:cs="Arial" w:eastAsia="Arial" w:hAnsi="Arial"/>
                <w:sz w:val="18"/>
                <w:szCs w:val="18"/>
                <w:color w:val="auto"/>
              </w:rPr>
              <w:t>Cash paid for amounts included in the measurement of lease liabilities - operating leases</w:t>
            </w:r>
          </w:p>
        </w:tc>
        <w:tc>
          <w:tcPr>
            <w:tcW w:w="1960" w:type="dxa"/>
            <w:vAlign w:val="bottom"/>
            <w:shd w:val="clear" w:color="auto" w:fill="CFF0FC"/>
          </w:tcPr>
          <w:p>
            <w:pPr>
              <w:jc w:val="right"/>
              <w:ind w:right="1807"/>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6,613</w:t>
            </w:r>
          </w:p>
        </w:tc>
        <w:tc>
          <w:tcPr>
            <w:tcW w:w="120" w:type="dxa"/>
            <w:vAlign w:val="bottom"/>
            <w:shd w:val="clear" w:color="auto" w:fill="CFF0FC"/>
          </w:tcPr>
          <w:p>
            <w:pPr>
              <w:spacing w:after="0"/>
              <w:rPr>
                <w:sz w:val="18"/>
                <w:szCs w:val="18"/>
                <w:color w:val="auto"/>
              </w:rPr>
            </w:pPr>
          </w:p>
        </w:tc>
      </w:tr>
      <w:tr>
        <w:trPr>
          <w:trHeight w:val="453"/>
        </w:trPr>
        <w:tc>
          <w:tcPr>
            <w:tcW w:w="8700" w:type="dxa"/>
            <w:vAlign w:val="bottom"/>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9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At December 31, 2019</w:t>
            </w:r>
          </w:p>
        </w:tc>
        <w:tc>
          <w:tcPr>
            <w:tcW w:w="5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r>
      <w:tr>
        <w:trPr>
          <w:trHeight w:val="216"/>
        </w:trPr>
        <w:tc>
          <w:tcPr>
            <w:tcW w:w="8760" w:type="dxa"/>
            <w:vAlign w:val="bottom"/>
            <w:gridSpan w:val="2"/>
          </w:tcPr>
          <w:p>
            <w:pPr>
              <w:spacing w:after="0"/>
              <w:rPr>
                <w:sz w:val="20"/>
                <w:szCs w:val="20"/>
                <w:color w:val="auto"/>
              </w:rPr>
            </w:pPr>
            <w:r>
              <w:rPr>
                <w:rFonts w:ascii="Arial" w:cs="Arial" w:eastAsia="Arial" w:hAnsi="Arial"/>
                <w:sz w:val="18"/>
                <w:szCs w:val="18"/>
                <w:color w:val="auto"/>
              </w:rPr>
              <w:t>Weighted-average remaining lease term - operating leases (in years)</w:t>
            </w:r>
          </w:p>
        </w:tc>
        <w:tc>
          <w:tcPr>
            <w:tcW w:w="19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4.2</w:t>
            </w:r>
          </w:p>
        </w:tc>
        <w:tc>
          <w:tcPr>
            <w:tcW w:w="120" w:type="dxa"/>
            <w:vAlign w:val="bottom"/>
          </w:tcPr>
          <w:p>
            <w:pPr>
              <w:spacing w:after="0"/>
              <w:rPr>
                <w:sz w:val="18"/>
                <w:szCs w:val="18"/>
                <w:color w:val="auto"/>
              </w:rPr>
            </w:pPr>
          </w:p>
        </w:tc>
      </w:tr>
      <w:tr>
        <w:trPr>
          <w:trHeight w:val="216"/>
        </w:trPr>
        <w:tc>
          <w:tcPr>
            <w:tcW w:w="8760" w:type="dxa"/>
            <w:vAlign w:val="bottom"/>
            <w:tcBorders>
              <w:right w:val="single" w:sz="8" w:color="CFF0FC"/>
            </w:tcBorders>
            <w:gridSpan w:val="2"/>
            <w:shd w:val="clear" w:color="auto" w:fill="CFF0FC"/>
          </w:tcPr>
          <w:p>
            <w:pPr>
              <w:spacing w:after="0"/>
              <w:rPr>
                <w:sz w:val="20"/>
                <w:szCs w:val="20"/>
                <w:color w:val="auto"/>
              </w:rPr>
            </w:pPr>
            <w:r>
              <w:rPr>
                <w:rFonts w:ascii="Arial" w:cs="Arial" w:eastAsia="Arial" w:hAnsi="Arial"/>
                <w:sz w:val="18"/>
                <w:szCs w:val="18"/>
                <w:color w:val="auto"/>
              </w:rPr>
              <w:t>Weighted-average discount rate - outstanding operating leases</w:t>
            </w:r>
          </w:p>
        </w:tc>
        <w:tc>
          <w:tcPr>
            <w:tcW w:w="1960" w:type="dxa"/>
            <w:vAlign w:val="bottom"/>
            <w:shd w:val="clear" w:color="auto" w:fill="CFF0FC"/>
          </w:tcPr>
          <w:p>
            <w:pPr>
              <w:spacing w:after="0"/>
              <w:rPr>
                <w:sz w:val="18"/>
                <w:szCs w:val="18"/>
                <w:color w:val="auto"/>
              </w:rPr>
            </w:pPr>
          </w:p>
        </w:tc>
        <w:tc>
          <w:tcPr>
            <w:tcW w:w="70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6%</w:t>
            </w:r>
          </w:p>
        </w:tc>
      </w:tr>
      <w:tr>
        <w:trPr>
          <w:trHeight w:val="675"/>
        </w:trPr>
        <w:tc>
          <w:tcPr>
            <w:tcW w:w="8760" w:type="dxa"/>
            <w:vAlign w:val="bottom"/>
            <w:gridSpan w:val="2"/>
          </w:tcPr>
          <w:p>
            <w:pPr>
              <w:ind w:left="520"/>
              <w:spacing w:after="0"/>
              <w:rPr>
                <w:sz w:val="20"/>
                <w:szCs w:val="20"/>
                <w:color w:val="auto"/>
              </w:rPr>
            </w:pPr>
            <w:r>
              <w:rPr>
                <w:rFonts w:ascii="Arial" w:cs="Arial" w:eastAsia="Arial" w:hAnsi="Arial"/>
                <w:sz w:val="18"/>
                <w:szCs w:val="18"/>
                <w:color w:val="auto"/>
              </w:rPr>
              <w:t>Maturities of lease liabilities at December 31, 2019 was (in thousands):</w:t>
            </w:r>
          </w:p>
        </w:tc>
        <w:tc>
          <w:tcPr>
            <w:tcW w:w="19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230"/>
        </w:trPr>
        <w:tc>
          <w:tcPr>
            <w:tcW w:w="87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9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16"/>
        </w:trPr>
        <w:tc>
          <w:tcPr>
            <w:tcW w:w="8700" w:type="dxa"/>
            <w:vAlign w:val="bottom"/>
            <w:shd w:val="clear" w:color="auto" w:fill="CFF0FC"/>
          </w:tcPr>
          <w:p>
            <w:pPr>
              <w:spacing w:after="0"/>
              <w:rPr>
                <w:sz w:val="20"/>
                <w:szCs w:val="20"/>
                <w:color w:val="auto"/>
              </w:rPr>
            </w:pPr>
            <w:r>
              <w:rPr>
                <w:rFonts w:ascii="Arial" w:cs="Arial" w:eastAsia="Arial" w:hAnsi="Arial"/>
                <w:sz w:val="18"/>
                <w:szCs w:val="18"/>
                <w:color w:val="auto"/>
              </w:rPr>
              <w:t>2020</w:t>
            </w:r>
          </w:p>
        </w:tc>
        <w:tc>
          <w:tcPr>
            <w:tcW w:w="60" w:type="dxa"/>
            <w:vAlign w:val="bottom"/>
            <w:tcBorders>
              <w:right w:val="single" w:sz="8" w:color="CFF0FC"/>
            </w:tcBorders>
            <w:shd w:val="clear" w:color="auto" w:fill="CFF0FC"/>
          </w:tcPr>
          <w:p>
            <w:pPr>
              <w:spacing w:after="0"/>
              <w:rPr>
                <w:sz w:val="18"/>
                <w:szCs w:val="18"/>
                <w:color w:val="auto"/>
              </w:rPr>
            </w:pPr>
          </w:p>
        </w:tc>
        <w:tc>
          <w:tcPr>
            <w:tcW w:w="1960" w:type="dxa"/>
            <w:vAlign w:val="bottom"/>
            <w:shd w:val="clear" w:color="auto" w:fill="CFF0FC"/>
          </w:tcPr>
          <w:p>
            <w:pPr>
              <w:jc w:val="right"/>
              <w:ind w:right="1807"/>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5,674</w:t>
            </w:r>
          </w:p>
        </w:tc>
        <w:tc>
          <w:tcPr>
            <w:tcW w:w="120" w:type="dxa"/>
            <w:vAlign w:val="bottom"/>
            <w:shd w:val="clear" w:color="auto" w:fill="CFF0FC"/>
          </w:tcPr>
          <w:p>
            <w:pPr>
              <w:spacing w:after="0"/>
              <w:rPr>
                <w:sz w:val="18"/>
                <w:szCs w:val="18"/>
                <w:color w:val="auto"/>
              </w:rPr>
            </w:pPr>
          </w:p>
        </w:tc>
      </w:tr>
      <w:tr>
        <w:trPr>
          <w:trHeight w:val="216"/>
        </w:trPr>
        <w:tc>
          <w:tcPr>
            <w:tcW w:w="8700" w:type="dxa"/>
            <w:vAlign w:val="bottom"/>
          </w:tcPr>
          <w:p>
            <w:pPr>
              <w:spacing w:after="0"/>
              <w:rPr>
                <w:sz w:val="20"/>
                <w:szCs w:val="20"/>
                <w:color w:val="auto"/>
              </w:rPr>
            </w:pPr>
            <w:r>
              <w:rPr>
                <w:rFonts w:ascii="Arial" w:cs="Arial" w:eastAsia="Arial" w:hAnsi="Arial"/>
                <w:sz w:val="18"/>
                <w:szCs w:val="18"/>
                <w:color w:val="auto"/>
              </w:rPr>
              <w:t>2021</w:t>
            </w:r>
          </w:p>
        </w:tc>
        <w:tc>
          <w:tcPr>
            <w:tcW w:w="6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4,131</w:t>
            </w:r>
          </w:p>
        </w:tc>
        <w:tc>
          <w:tcPr>
            <w:tcW w:w="120" w:type="dxa"/>
            <w:vAlign w:val="bottom"/>
          </w:tcPr>
          <w:p>
            <w:pPr>
              <w:spacing w:after="0"/>
              <w:rPr>
                <w:sz w:val="18"/>
                <w:szCs w:val="18"/>
                <w:color w:val="auto"/>
              </w:rPr>
            </w:pPr>
          </w:p>
        </w:tc>
      </w:tr>
      <w:tr>
        <w:trPr>
          <w:trHeight w:val="216"/>
        </w:trPr>
        <w:tc>
          <w:tcPr>
            <w:tcW w:w="8700" w:type="dxa"/>
            <w:vAlign w:val="bottom"/>
            <w:shd w:val="clear" w:color="auto" w:fill="CFF0FC"/>
          </w:tcPr>
          <w:p>
            <w:pPr>
              <w:spacing w:after="0"/>
              <w:rPr>
                <w:sz w:val="20"/>
                <w:szCs w:val="20"/>
                <w:color w:val="auto"/>
              </w:rPr>
            </w:pPr>
            <w:r>
              <w:rPr>
                <w:rFonts w:ascii="Arial" w:cs="Arial" w:eastAsia="Arial" w:hAnsi="Arial"/>
                <w:sz w:val="18"/>
                <w:szCs w:val="18"/>
                <w:color w:val="auto"/>
              </w:rPr>
              <w:t>2022</w:t>
            </w:r>
          </w:p>
        </w:tc>
        <w:tc>
          <w:tcPr>
            <w:tcW w:w="60" w:type="dxa"/>
            <w:vAlign w:val="bottom"/>
            <w:tcBorders>
              <w:right w:val="single" w:sz="8" w:color="CFF0FC"/>
            </w:tcBorders>
            <w:shd w:val="clear" w:color="auto" w:fill="CFF0FC"/>
          </w:tcPr>
          <w:p>
            <w:pPr>
              <w:spacing w:after="0"/>
              <w:rPr>
                <w:sz w:val="18"/>
                <w:szCs w:val="18"/>
                <w:color w:val="auto"/>
              </w:rPr>
            </w:pPr>
          </w:p>
        </w:tc>
        <w:tc>
          <w:tcPr>
            <w:tcW w:w="1960" w:type="dxa"/>
            <w:vAlign w:val="bottom"/>
            <w:shd w:val="clear" w:color="auto" w:fill="CFF0FC"/>
          </w:tcPr>
          <w:p>
            <w:pPr>
              <w:spacing w:after="0"/>
              <w:rPr>
                <w:sz w:val="18"/>
                <w:szCs w:val="18"/>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3,067</w:t>
            </w:r>
          </w:p>
        </w:tc>
        <w:tc>
          <w:tcPr>
            <w:tcW w:w="120" w:type="dxa"/>
            <w:vAlign w:val="bottom"/>
            <w:shd w:val="clear" w:color="auto" w:fill="CFF0FC"/>
          </w:tcPr>
          <w:p>
            <w:pPr>
              <w:spacing w:after="0"/>
              <w:rPr>
                <w:sz w:val="18"/>
                <w:szCs w:val="18"/>
                <w:color w:val="auto"/>
              </w:rPr>
            </w:pPr>
          </w:p>
        </w:tc>
      </w:tr>
      <w:tr>
        <w:trPr>
          <w:trHeight w:val="216"/>
        </w:trPr>
        <w:tc>
          <w:tcPr>
            <w:tcW w:w="8700" w:type="dxa"/>
            <w:vAlign w:val="bottom"/>
          </w:tcPr>
          <w:p>
            <w:pPr>
              <w:spacing w:after="0"/>
              <w:rPr>
                <w:sz w:val="20"/>
                <w:szCs w:val="20"/>
                <w:color w:val="auto"/>
              </w:rPr>
            </w:pPr>
            <w:r>
              <w:rPr>
                <w:rFonts w:ascii="Arial" w:cs="Arial" w:eastAsia="Arial" w:hAnsi="Arial"/>
                <w:sz w:val="18"/>
                <w:szCs w:val="18"/>
                <w:color w:val="auto"/>
              </w:rPr>
              <w:t>2023</w:t>
            </w:r>
          </w:p>
        </w:tc>
        <w:tc>
          <w:tcPr>
            <w:tcW w:w="6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2,906</w:t>
            </w:r>
          </w:p>
        </w:tc>
        <w:tc>
          <w:tcPr>
            <w:tcW w:w="120" w:type="dxa"/>
            <w:vAlign w:val="bottom"/>
          </w:tcPr>
          <w:p>
            <w:pPr>
              <w:spacing w:after="0"/>
              <w:rPr>
                <w:sz w:val="18"/>
                <w:szCs w:val="18"/>
                <w:color w:val="auto"/>
              </w:rPr>
            </w:pPr>
          </w:p>
        </w:tc>
      </w:tr>
      <w:tr>
        <w:trPr>
          <w:trHeight w:val="216"/>
        </w:trPr>
        <w:tc>
          <w:tcPr>
            <w:tcW w:w="8700" w:type="dxa"/>
            <w:vAlign w:val="bottom"/>
            <w:shd w:val="clear" w:color="auto" w:fill="CFF0FC"/>
          </w:tcPr>
          <w:p>
            <w:pPr>
              <w:spacing w:after="0"/>
              <w:rPr>
                <w:sz w:val="20"/>
                <w:szCs w:val="20"/>
                <w:color w:val="auto"/>
              </w:rPr>
            </w:pPr>
            <w:r>
              <w:rPr>
                <w:rFonts w:ascii="Arial" w:cs="Arial" w:eastAsia="Arial" w:hAnsi="Arial"/>
                <w:sz w:val="18"/>
                <w:szCs w:val="18"/>
                <w:color w:val="auto"/>
              </w:rPr>
              <w:t>2024</w:t>
            </w:r>
          </w:p>
        </w:tc>
        <w:tc>
          <w:tcPr>
            <w:tcW w:w="60" w:type="dxa"/>
            <w:vAlign w:val="bottom"/>
            <w:tcBorders>
              <w:right w:val="single" w:sz="8" w:color="CFF0FC"/>
            </w:tcBorders>
            <w:shd w:val="clear" w:color="auto" w:fill="CFF0FC"/>
          </w:tcPr>
          <w:p>
            <w:pPr>
              <w:spacing w:after="0"/>
              <w:rPr>
                <w:sz w:val="18"/>
                <w:szCs w:val="18"/>
                <w:color w:val="auto"/>
              </w:rPr>
            </w:pPr>
          </w:p>
        </w:tc>
        <w:tc>
          <w:tcPr>
            <w:tcW w:w="1960" w:type="dxa"/>
            <w:vAlign w:val="bottom"/>
            <w:shd w:val="clear" w:color="auto" w:fill="CFF0FC"/>
          </w:tcPr>
          <w:p>
            <w:pPr>
              <w:spacing w:after="0"/>
              <w:rPr>
                <w:sz w:val="18"/>
                <w:szCs w:val="18"/>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473</w:t>
            </w:r>
          </w:p>
        </w:tc>
        <w:tc>
          <w:tcPr>
            <w:tcW w:w="120" w:type="dxa"/>
            <w:vAlign w:val="bottom"/>
            <w:shd w:val="clear" w:color="auto" w:fill="CFF0FC"/>
          </w:tcPr>
          <w:p>
            <w:pPr>
              <w:spacing w:after="0"/>
              <w:rPr>
                <w:sz w:val="18"/>
                <w:szCs w:val="18"/>
                <w:color w:val="auto"/>
              </w:rPr>
            </w:pPr>
          </w:p>
        </w:tc>
      </w:tr>
      <w:tr>
        <w:trPr>
          <w:trHeight w:val="216"/>
        </w:trPr>
        <w:tc>
          <w:tcPr>
            <w:tcW w:w="8760" w:type="dxa"/>
            <w:vAlign w:val="bottom"/>
            <w:tcBorders>
              <w:bottom w:val="single" w:sz="8" w:color="CFF0FC"/>
            </w:tcBorders>
            <w:gridSpan w:val="2"/>
          </w:tcPr>
          <w:p>
            <w:pPr>
              <w:spacing w:after="0"/>
              <w:rPr>
                <w:sz w:val="20"/>
                <w:szCs w:val="20"/>
                <w:color w:val="auto"/>
              </w:rPr>
            </w:pPr>
            <w:r>
              <w:rPr>
                <w:rFonts w:ascii="Arial" w:cs="Arial" w:eastAsia="Arial" w:hAnsi="Arial"/>
                <w:sz w:val="18"/>
                <w:szCs w:val="18"/>
                <w:color w:val="auto"/>
              </w:rPr>
              <w:t>Thereafter</w:t>
            </w:r>
          </w:p>
        </w:tc>
        <w:tc>
          <w:tcPr>
            <w:tcW w:w="196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1,191</w:t>
            </w:r>
          </w:p>
        </w:tc>
        <w:tc>
          <w:tcPr>
            <w:tcW w:w="120" w:type="dxa"/>
            <w:vAlign w:val="bottom"/>
            <w:tcBorders>
              <w:bottom w:val="single" w:sz="8" w:color="CFF0FC"/>
            </w:tcBorders>
          </w:tcPr>
          <w:p>
            <w:pPr>
              <w:spacing w:after="0"/>
              <w:rPr>
                <w:sz w:val="18"/>
                <w:szCs w:val="18"/>
                <w:color w:val="auto"/>
              </w:rPr>
            </w:pPr>
          </w:p>
        </w:tc>
      </w:tr>
      <w:tr>
        <w:trPr>
          <w:trHeight w:val="210"/>
        </w:trPr>
        <w:tc>
          <w:tcPr>
            <w:tcW w:w="8760" w:type="dxa"/>
            <w:vAlign w:val="bottom"/>
            <w:tcBorders>
              <w:right w:val="single" w:sz="8" w:color="CFF0FC"/>
            </w:tcBorders>
            <w:gridSpan w:val="2"/>
            <w:shd w:val="clear" w:color="auto" w:fill="CFF0FC"/>
          </w:tcPr>
          <w:p>
            <w:pPr>
              <w:ind w:left="200"/>
              <w:spacing w:after="0"/>
              <w:rPr>
                <w:sz w:val="20"/>
                <w:szCs w:val="20"/>
                <w:color w:val="auto"/>
              </w:rPr>
            </w:pPr>
            <w:r>
              <w:rPr>
                <w:rFonts w:ascii="Arial" w:cs="Arial" w:eastAsia="Arial" w:hAnsi="Arial"/>
                <w:sz w:val="18"/>
                <w:szCs w:val="18"/>
                <w:color w:val="auto"/>
              </w:rPr>
              <w:t>Total lease payments</w:t>
            </w:r>
          </w:p>
        </w:tc>
        <w:tc>
          <w:tcPr>
            <w:tcW w:w="1960" w:type="dxa"/>
            <w:vAlign w:val="bottom"/>
            <w:tcBorders>
              <w:bottom w:val="single" w:sz="8" w:color="auto"/>
            </w:tcBorders>
            <w:shd w:val="clear" w:color="auto" w:fill="CFF0FC"/>
          </w:tcPr>
          <w:p>
            <w:pPr>
              <w:spacing w:after="0"/>
              <w:rPr>
                <w:sz w:val="18"/>
                <w:szCs w:val="18"/>
                <w:color w:val="auto"/>
              </w:rPr>
            </w:pPr>
          </w:p>
        </w:tc>
        <w:tc>
          <w:tcPr>
            <w:tcW w:w="5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8"/>
              </w:rPr>
              <w:t>17,442</w:t>
            </w:r>
          </w:p>
        </w:tc>
        <w:tc>
          <w:tcPr>
            <w:tcW w:w="120" w:type="dxa"/>
            <w:vAlign w:val="bottom"/>
            <w:shd w:val="clear" w:color="auto" w:fill="CFF0FC"/>
          </w:tcPr>
          <w:p>
            <w:pPr>
              <w:spacing w:after="0"/>
              <w:rPr>
                <w:sz w:val="18"/>
                <w:szCs w:val="18"/>
                <w:color w:val="auto"/>
              </w:rPr>
            </w:pPr>
          </w:p>
        </w:tc>
      </w:tr>
      <w:tr>
        <w:trPr>
          <w:trHeight w:val="210"/>
        </w:trPr>
        <w:tc>
          <w:tcPr>
            <w:tcW w:w="8760" w:type="dxa"/>
            <w:vAlign w:val="bottom"/>
            <w:gridSpan w:val="2"/>
          </w:tcPr>
          <w:p>
            <w:pPr>
              <w:spacing w:after="0"/>
              <w:rPr>
                <w:sz w:val="20"/>
                <w:szCs w:val="20"/>
                <w:color w:val="auto"/>
              </w:rPr>
            </w:pPr>
            <w:r>
              <w:rPr>
                <w:rFonts w:ascii="Arial" w:cs="Arial" w:eastAsia="Arial" w:hAnsi="Arial"/>
                <w:sz w:val="18"/>
                <w:szCs w:val="18"/>
                <w:color w:val="auto"/>
              </w:rPr>
              <w:t>Less imputed interest</w:t>
            </w:r>
          </w:p>
        </w:tc>
        <w:tc>
          <w:tcPr>
            <w:tcW w:w="1960" w:type="dxa"/>
            <w:vAlign w:val="bottom"/>
          </w:tcPr>
          <w:p>
            <w:pPr>
              <w:spacing w:after="0"/>
              <w:rPr>
                <w:sz w:val="18"/>
                <w:szCs w:val="18"/>
                <w:color w:val="auto"/>
              </w:rPr>
            </w:pPr>
          </w:p>
        </w:tc>
        <w:tc>
          <w:tcPr>
            <w:tcW w:w="700" w:type="dxa"/>
            <w:vAlign w:val="bottom"/>
            <w:gridSpan w:val="2"/>
          </w:tcPr>
          <w:p>
            <w:pPr>
              <w:jc w:val="right"/>
              <w:ind w:right="60"/>
              <w:spacing w:after="0"/>
              <w:rPr>
                <w:sz w:val="20"/>
                <w:szCs w:val="20"/>
                <w:color w:val="auto"/>
              </w:rPr>
            </w:pPr>
            <w:r>
              <w:rPr>
                <w:rFonts w:ascii="Arial" w:cs="Arial" w:eastAsia="Arial" w:hAnsi="Arial"/>
                <w:sz w:val="18"/>
                <w:szCs w:val="18"/>
                <w:color w:val="auto"/>
              </w:rPr>
              <w:t>(1,898)</w:t>
            </w:r>
          </w:p>
        </w:tc>
      </w:tr>
      <w:tr>
        <w:trPr>
          <w:trHeight w:val="20"/>
        </w:trPr>
        <w:tc>
          <w:tcPr>
            <w:tcW w:w="8760" w:type="dxa"/>
            <w:vAlign w:val="bottom"/>
            <w:tcBorders>
              <w:right w:val="single" w:sz="8" w:color="CFF0FC"/>
            </w:tcBorders>
            <w:gridSpan w:val="2"/>
            <w:shd w:val="clear" w:color="auto" w:fill="CFF0FC"/>
          </w:tcPr>
          <w:p>
            <w:pPr>
              <w:spacing w:after="0" w:line="20" w:lineRule="exact"/>
              <w:rPr>
                <w:sz w:val="1"/>
                <w:szCs w:val="1"/>
                <w:color w:val="auto"/>
              </w:rPr>
            </w:pPr>
          </w:p>
        </w:tc>
        <w:tc>
          <w:tcPr>
            <w:tcW w:w="196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r>
      <w:tr>
        <w:trPr>
          <w:trHeight w:val="210"/>
        </w:trPr>
        <w:tc>
          <w:tcPr>
            <w:tcW w:w="8760" w:type="dxa"/>
            <w:vAlign w:val="bottom"/>
            <w:tcBorders>
              <w:right w:val="single" w:sz="8" w:color="CFF0FC"/>
            </w:tcBorders>
            <w:gridSpan w:val="2"/>
            <w:shd w:val="clear" w:color="auto" w:fill="CFF0FC"/>
          </w:tcPr>
          <w:p>
            <w:pPr>
              <w:ind w:left="200"/>
              <w:spacing w:after="0"/>
              <w:rPr>
                <w:sz w:val="20"/>
                <w:szCs w:val="20"/>
                <w:color w:val="auto"/>
              </w:rPr>
            </w:pPr>
            <w:r>
              <w:rPr>
                <w:rFonts w:ascii="Arial" w:cs="Arial" w:eastAsia="Arial" w:hAnsi="Arial"/>
                <w:sz w:val="18"/>
                <w:szCs w:val="18"/>
                <w:color w:val="auto"/>
              </w:rPr>
              <w:t>Total</w:t>
            </w:r>
          </w:p>
        </w:tc>
        <w:tc>
          <w:tcPr>
            <w:tcW w:w="1960" w:type="dxa"/>
            <w:vAlign w:val="bottom"/>
            <w:shd w:val="clear" w:color="auto" w:fill="CFF0FC"/>
          </w:tcPr>
          <w:p>
            <w:pPr>
              <w:jc w:val="right"/>
              <w:ind w:right="1807"/>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8"/>
              </w:rPr>
              <w:t>15,544</w:t>
            </w:r>
          </w:p>
        </w:tc>
        <w:tc>
          <w:tcPr>
            <w:tcW w:w="120" w:type="dxa"/>
            <w:vAlign w:val="bottom"/>
            <w:shd w:val="clear" w:color="auto" w:fill="CFF0FC"/>
          </w:tcPr>
          <w:p>
            <w:pPr>
              <w:spacing w:after="0"/>
              <w:rPr>
                <w:sz w:val="18"/>
                <w:szCs w:val="18"/>
                <w:color w:val="auto"/>
              </w:rPr>
            </w:pPr>
          </w:p>
        </w:tc>
      </w:tr>
      <w:tr>
        <w:trPr>
          <w:trHeight w:val="20"/>
        </w:trPr>
        <w:tc>
          <w:tcPr>
            <w:tcW w:w="8700" w:type="dxa"/>
            <w:vAlign w:val="bottom"/>
            <w:tcBorders>
              <w:top w:val="single" w:sz="8" w:color="CFF0FC"/>
            </w:tcBorders>
          </w:tcPr>
          <w:p>
            <w:pPr>
              <w:spacing w:after="0" w:line="20" w:lineRule="exact"/>
              <w:rPr>
                <w:sz w:val="1"/>
                <w:szCs w:val="1"/>
                <w:color w:val="auto"/>
              </w:rPr>
            </w:pPr>
          </w:p>
        </w:tc>
        <w:tc>
          <w:tcPr>
            <w:tcW w:w="60" w:type="dxa"/>
            <w:vAlign w:val="bottom"/>
            <w:tcBorders>
              <w:top w:val="single" w:sz="8" w:color="CFF0FC"/>
            </w:tcBorders>
          </w:tcPr>
          <w:p>
            <w:pPr>
              <w:spacing w:after="0" w:line="20" w:lineRule="exact"/>
              <w:rPr>
                <w:sz w:val="1"/>
                <w:szCs w:val="1"/>
                <w:color w:val="auto"/>
              </w:rPr>
            </w:pPr>
          </w:p>
        </w:tc>
        <w:tc>
          <w:tcPr>
            <w:tcW w:w="19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r>
    </w:tbl>
    <w:p>
      <w:pPr>
        <w:spacing w:after="0" w:line="200" w:lineRule="exact"/>
        <w:rPr>
          <w:sz w:val="20"/>
          <w:szCs w:val="20"/>
          <w:color w:val="auto"/>
        </w:rPr>
      </w:pPr>
    </w:p>
    <w:p>
      <w:pPr>
        <w:spacing w:after="0" w:line="258" w:lineRule="exact"/>
        <w:rPr>
          <w:sz w:val="20"/>
          <w:szCs w:val="20"/>
          <w:color w:val="auto"/>
        </w:rPr>
      </w:pPr>
    </w:p>
    <w:p>
      <w:pPr>
        <w:ind w:left="520"/>
        <w:spacing w:after="0"/>
        <w:rPr>
          <w:sz w:val="20"/>
          <w:szCs w:val="20"/>
          <w:color w:val="auto"/>
        </w:rPr>
      </w:pPr>
      <w:r>
        <w:rPr>
          <w:rFonts w:ascii="Arial" w:cs="Arial" w:eastAsia="Arial" w:hAnsi="Arial"/>
          <w:sz w:val="18"/>
          <w:szCs w:val="18"/>
          <w:color w:val="auto"/>
        </w:rPr>
        <w:t>At December 31, 2019, there were no leases entered into that had not yet commenced.</w:t>
      </w:r>
    </w:p>
    <w:p>
      <w:pPr>
        <w:spacing w:after="0" w:line="212" w:lineRule="exact"/>
        <w:rPr>
          <w:sz w:val="20"/>
          <w:szCs w:val="20"/>
          <w:color w:val="auto"/>
        </w:rPr>
      </w:pPr>
    </w:p>
    <w:p>
      <w:pPr>
        <w:ind w:left="520"/>
        <w:spacing w:after="0"/>
        <w:rPr>
          <w:sz w:val="20"/>
          <w:szCs w:val="20"/>
          <w:color w:val="auto"/>
        </w:rPr>
      </w:pPr>
      <w:r>
        <w:rPr>
          <w:rFonts w:ascii="Arial" w:cs="Arial" w:eastAsia="Arial" w:hAnsi="Arial"/>
          <w:sz w:val="18"/>
          <w:szCs w:val="18"/>
          <w:color w:val="auto"/>
        </w:rPr>
        <w:t>Future minimum lease payments under non-cancelable operating leases at December 31, 2018 was (in thousands):</w:t>
      </w:r>
    </w:p>
    <w:p>
      <w:pPr>
        <w:spacing w:after="0" w:line="24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220" w:type="dxa"/>
            <w:vAlign w:val="bottom"/>
            <w:shd w:val="clear" w:color="auto" w:fill="CFF0FC"/>
          </w:tcPr>
          <w:p>
            <w:pPr>
              <w:spacing w:after="0"/>
              <w:rPr>
                <w:sz w:val="20"/>
                <w:szCs w:val="20"/>
                <w:color w:val="auto"/>
              </w:rPr>
            </w:pPr>
            <w:r>
              <w:rPr>
                <w:rFonts w:ascii="Arial" w:cs="Arial" w:eastAsia="Arial" w:hAnsi="Arial"/>
                <w:sz w:val="18"/>
                <w:szCs w:val="18"/>
                <w:color w:val="auto"/>
              </w:rPr>
              <w:t>2019</w:t>
            </w:r>
          </w:p>
        </w:tc>
        <w:tc>
          <w:tcPr>
            <w:tcW w:w="6560" w:type="dxa"/>
            <w:vAlign w:val="bottom"/>
            <w:gridSpan w:val="2"/>
            <w:shd w:val="clear" w:color="auto" w:fill="CFF0FC"/>
          </w:tcPr>
          <w:p>
            <w:pPr>
              <w:jc w:val="right"/>
              <w:ind w:right="940"/>
              <w:spacing w:after="0"/>
              <w:rPr>
                <w:sz w:val="20"/>
                <w:szCs w:val="20"/>
                <w:color w:val="auto"/>
              </w:rPr>
            </w:pPr>
            <w:r>
              <w:rPr>
                <w:rFonts w:ascii="Arial" w:cs="Arial" w:eastAsia="Arial" w:hAnsi="Arial"/>
                <w:sz w:val="18"/>
                <w:szCs w:val="18"/>
                <w:color w:val="auto"/>
              </w:rPr>
              <w:t>$</w:t>
            </w:r>
          </w:p>
        </w:tc>
        <w:tc>
          <w:tcPr>
            <w:tcW w:w="15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7,059</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20" w:type="dxa"/>
            <w:vAlign w:val="bottom"/>
          </w:tcPr>
          <w:p>
            <w:pPr>
              <w:spacing w:after="0"/>
              <w:rPr>
                <w:sz w:val="20"/>
                <w:szCs w:val="20"/>
                <w:color w:val="auto"/>
              </w:rPr>
            </w:pPr>
            <w:r>
              <w:rPr>
                <w:rFonts w:ascii="Arial" w:cs="Arial" w:eastAsia="Arial" w:hAnsi="Arial"/>
                <w:sz w:val="18"/>
                <w:szCs w:val="18"/>
                <w:color w:val="auto"/>
              </w:rPr>
              <w:t>2020</w:t>
            </w:r>
          </w:p>
        </w:tc>
        <w:tc>
          <w:tcPr>
            <w:tcW w:w="55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5,307</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20" w:type="dxa"/>
            <w:vAlign w:val="bottom"/>
            <w:shd w:val="clear" w:color="auto" w:fill="CFF0FC"/>
          </w:tcPr>
          <w:p>
            <w:pPr>
              <w:spacing w:after="0"/>
              <w:rPr>
                <w:sz w:val="20"/>
                <w:szCs w:val="20"/>
                <w:color w:val="auto"/>
              </w:rPr>
            </w:pPr>
            <w:r>
              <w:rPr>
                <w:rFonts w:ascii="Arial" w:cs="Arial" w:eastAsia="Arial" w:hAnsi="Arial"/>
                <w:sz w:val="18"/>
                <w:szCs w:val="18"/>
                <w:color w:val="auto"/>
              </w:rPr>
              <w:t>2021</w:t>
            </w:r>
          </w:p>
        </w:tc>
        <w:tc>
          <w:tcPr>
            <w:tcW w:w="552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15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3,786</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20" w:type="dxa"/>
            <w:vAlign w:val="bottom"/>
          </w:tcPr>
          <w:p>
            <w:pPr>
              <w:spacing w:after="0"/>
              <w:rPr>
                <w:sz w:val="20"/>
                <w:szCs w:val="20"/>
                <w:color w:val="auto"/>
              </w:rPr>
            </w:pPr>
            <w:r>
              <w:rPr>
                <w:rFonts w:ascii="Arial" w:cs="Arial" w:eastAsia="Arial" w:hAnsi="Arial"/>
                <w:sz w:val="18"/>
                <w:szCs w:val="18"/>
                <w:color w:val="auto"/>
              </w:rPr>
              <w:t>2022</w:t>
            </w:r>
          </w:p>
        </w:tc>
        <w:tc>
          <w:tcPr>
            <w:tcW w:w="55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2,586</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20" w:type="dxa"/>
            <w:vAlign w:val="bottom"/>
            <w:shd w:val="clear" w:color="auto" w:fill="CFF0FC"/>
          </w:tcPr>
          <w:p>
            <w:pPr>
              <w:spacing w:after="0"/>
              <w:rPr>
                <w:sz w:val="20"/>
                <w:szCs w:val="20"/>
                <w:color w:val="auto"/>
              </w:rPr>
            </w:pPr>
            <w:r>
              <w:rPr>
                <w:rFonts w:ascii="Arial" w:cs="Arial" w:eastAsia="Arial" w:hAnsi="Arial"/>
                <w:sz w:val="18"/>
                <w:szCs w:val="18"/>
                <w:color w:val="auto"/>
              </w:rPr>
              <w:t>2023</w:t>
            </w:r>
          </w:p>
        </w:tc>
        <w:tc>
          <w:tcPr>
            <w:tcW w:w="552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15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2,638</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2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Thereafter</w:t>
            </w:r>
          </w:p>
        </w:tc>
        <w:tc>
          <w:tcPr>
            <w:tcW w:w="5520" w:type="dxa"/>
            <w:vAlign w:val="bottom"/>
            <w:tcBorders>
              <w:bottom w:val="single" w:sz="8" w:color="CFF0FC"/>
            </w:tcBorders>
          </w:tcPr>
          <w:p>
            <w:pPr>
              <w:spacing w:after="0"/>
              <w:rPr>
                <w:sz w:val="18"/>
                <w:szCs w:val="18"/>
                <w:color w:val="auto"/>
              </w:rPr>
            </w:pPr>
          </w:p>
        </w:tc>
        <w:tc>
          <w:tcPr>
            <w:tcW w:w="1040" w:type="dxa"/>
            <w:vAlign w:val="bottom"/>
            <w:tcBorders>
              <w:bottom w:val="single" w:sz="8" w:color="auto"/>
            </w:tcBorders>
          </w:tcPr>
          <w:p>
            <w:pPr>
              <w:spacing w:after="0"/>
              <w:rPr>
                <w:sz w:val="18"/>
                <w:szCs w:val="18"/>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237</w:t>
            </w:r>
          </w:p>
        </w:tc>
        <w:tc>
          <w:tcPr>
            <w:tcW w:w="120" w:type="dxa"/>
            <w:vAlign w:val="bottom"/>
            <w:tcBorders>
              <w:bottom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220" w:type="dxa"/>
            <w:vAlign w:val="bottom"/>
            <w:shd w:val="clear" w:color="auto" w:fill="CFF0FC"/>
          </w:tcPr>
          <w:p>
            <w:pPr>
              <w:ind w:left="200"/>
              <w:spacing w:after="0"/>
              <w:rPr>
                <w:sz w:val="20"/>
                <w:szCs w:val="20"/>
                <w:color w:val="auto"/>
              </w:rPr>
            </w:pPr>
            <w:r>
              <w:rPr>
                <w:rFonts w:ascii="Arial" w:cs="Arial" w:eastAsia="Arial" w:hAnsi="Arial"/>
                <w:sz w:val="18"/>
                <w:szCs w:val="18"/>
                <w:color w:val="auto"/>
              </w:rPr>
              <w:t>Total</w:t>
            </w:r>
          </w:p>
        </w:tc>
        <w:tc>
          <w:tcPr>
            <w:tcW w:w="6560" w:type="dxa"/>
            <w:vAlign w:val="bottom"/>
            <w:gridSpan w:val="2"/>
            <w:shd w:val="clear" w:color="auto" w:fill="CFF0FC"/>
          </w:tcPr>
          <w:p>
            <w:pPr>
              <w:jc w:val="right"/>
              <w:ind w:right="940"/>
              <w:spacing w:after="0"/>
              <w:rPr>
                <w:sz w:val="20"/>
                <w:szCs w:val="20"/>
                <w:color w:val="auto"/>
              </w:rPr>
            </w:pPr>
            <w:r>
              <w:rPr>
                <w:rFonts w:ascii="Arial" w:cs="Arial" w:eastAsia="Arial" w:hAnsi="Arial"/>
                <w:sz w:val="18"/>
                <w:szCs w:val="18"/>
                <w:color w:val="auto"/>
              </w:rPr>
              <w:t>$</w:t>
            </w:r>
          </w:p>
        </w:tc>
        <w:tc>
          <w:tcPr>
            <w:tcW w:w="15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21,613</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220" w:type="dxa"/>
            <w:vAlign w:val="bottom"/>
            <w:tcBorders>
              <w:top w:val="single" w:sz="8" w:color="CFF0FC"/>
            </w:tcBorders>
          </w:tcPr>
          <w:p>
            <w:pPr>
              <w:spacing w:after="0" w:line="20" w:lineRule="exact"/>
              <w:rPr>
                <w:sz w:val="1"/>
                <w:szCs w:val="1"/>
                <w:color w:val="auto"/>
              </w:rPr>
            </w:pPr>
          </w:p>
        </w:tc>
        <w:tc>
          <w:tcPr>
            <w:tcW w:w="5520" w:type="dxa"/>
            <w:vAlign w:val="bottom"/>
            <w:tcBorders>
              <w:top w:val="single" w:sz="8" w:color="CFF0FC"/>
              <w:bottom w:val="single" w:sz="8" w:color="CFF0FC"/>
            </w:tcBorders>
            <w:vMerge w:val="restart"/>
          </w:tcPr>
          <w:p>
            <w:pPr>
              <w:jc w:val="right"/>
              <w:ind w:right="2830"/>
              <w:spacing w:after="0"/>
              <w:rPr>
                <w:sz w:val="20"/>
                <w:szCs w:val="20"/>
                <w:color w:val="auto"/>
              </w:rPr>
            </w:pPr>
            <w:r>
              <w:rPr>
                <w:rFonts w:ascii="Arial" w:cs="Arial" w:eastAsia="Arial" w:hAnsi="Arial"/>
                <w:sz w:val="18"/>
                <w:szCs w:val="18"/>
                <w:color w:val="auto"/>
              </w:rPr>
              <w:t>78</w:t>
            </w: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5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56"/>
        </w:trPr>
        <w:tc>
          <w:tcPr>
            <w:tcW w:w="3220" w:type="dxa"/>
            <w:vAlign w:val="bottom"/>
          </w:tcPr>
          <w:p>
            <w:pPr>
              <w:spacing w:after="0"/>
              <w:rPr>
                <w:sz w:val="24"/>
                <w:szCs w:val="24"/>
                <w:color w:val="auto"/>
              </w:rPr>
            </w:pPr>
          </w:p>
        </w:tc>
        <w:tc>
          <w:tcPr>
            <w:tcW w:w="5520" w:type="dxa"/>
            <w:vAlign w:val="bottom"/>
            <w:vMerge w:val="continue"/>
          </w:tcPr>
          <w:p>
            <w:pPr>
              <w:spacing w:after="0"/>
              <w:rPr>
                <w:sz w:val="24"/>
                <w:szCs w:val="24"/>
                <w:color w:val="auto"/>
              </w:rPr>
            </w:pPr>
          </w:p>
        </w:tc>
        <w:tc>
          <w:tcPr>
            <w:tcW w:w="104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2"/>
        </w:trPr>
        <w:tc>
          <w:tcPr>
            <w:tcW w:w="3220" w:type="dxa"/>
            <w:vAlign w:val="bottom"/>
            <w:tcBorders>
              <w:bottom w:val="single" w:sz="8" w:color="9A9A9A"/>
            </w:tcBorders>
          </w:tcPr>
          <w:p>
            <w:pPr>
              <w:spacing w:after="0"/>
              <w:rPr>
                <w:sz w:val="8"/>
                <w:szCs w:val="8"/>
                <w:color w:val="auto"/>
              </w:rPr>
            </w:pPr>
          </w:p>
        </w:tc>
        <w:tc>
          <w:tcPr>
            <w:tcW w:w="5520" w:type="dxa"/>
            <w:vAlign w:val="bottom"/>
            <w:tcBorders>
              <w:bottom w:val="single" w:sz="8" w:color="9A9A9A"/>
            </w:tcBorders>
          </w:tcPr>
          <w:p>
            <w:pPr>
              <w:spacing w:after="0"/>
              <w:rPr>
                <w:sz w:val="8"/>
                <w:szCs w:val="8"/>
                <w:color w:val="auto"/>
              </w:rPr>
            </w:pPr>
          </w:p>
        </w:tc>
        <w:tc>
          <w:tcPr>
            <w:tcW w:w="1040" w:type="dxa"/>
            <w:vAlign w:val="bottom"/>
            <w:tcBorders>
              <w:bottom w:val="single" w:sz="8" w:color="9A9A9A"/>
            </w:tcBorders>
          </w:tcPr>
          <w:p>
            <w:pPr>
              <w:spacing w:after="0"/>
              <w:rPr>
                <w:sz w:val="8"/>
                <w:szCs w:val="8"/>
                <w:color w:val="auto"/>
              </w:rPr>
            </w:pPr>
          </w:p>
        </w:tc>
        <w:tc>
          <w:tcPr>
            <w:tcW w:w="1520" w:type="dxa"/>
            <w:vAlign w:val="bottom"/>
            <w:tcBorders>
              <w:bottom w:val="single" w:sz="8" w:color="9A9A9A"/>
            </w:tcBorders>
          </w:tcPr>
          <w:p>
            <w:pPr>
              <w:spacing w:after="0"/>
              <w:rPr>
                <w:sz w:val="8"/>
                <w:szCs w:val="8"/>
                <w:color w:val="auto"/>
              </w:rPr>
            </w:pPr>
          </w:p>
        </w:tc>
        <w:tc>
          <w:tcPr>
            <w:tcW w:w="120" w:type="dxa"/>
            <w:vAlign w:val="bottom"/>
            <w:tcBorders>
              <w:bottom w:val="single" w:sz="8" w:color="9A9A9A"/>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7230110</wp:posOffset>
            </wp:positionH>
            <wp:positionV relativeFrom="paragraph">
              <wp:posOffset>-29210</wp:posOffset>
            </wp:positionV>
            <wp:extent cx="34290" cy="425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20"/>
          </w:cols>
          <w:pgMar w:left="240" w:top="657" w:right="239" w:bottom="1440" w:gutter="0" w:footer="0" w:header="0"/>
        </w:sectPr>
      </w:pPr>
    </w:p>
    <w:bookmarkStart w:id="78" w:name="page79"/>
    <w:bookmarkEnd w:id="78"/>
    <w:p>
      <w:pPr>
        <w:spacing w:after="0"/>
        <w:rPr>
          <w:sz w:val="20"/>
          <w:szCs w:val="20"/>
          <w:color w:val="auto"/>
        </w:rPr>
      </w:pPr>
      <w:r>
        <w:rPr>
          <w:rFonts w:ascii="Arial" w:cs="Arial" w:eastAsia="Arial" w:hAnsi="Arial"/>
          <w:sz w:val="18"/>
          <w:szCs w:val="18"/>
          <w:b w:val="1"/>
          <w:bCs w:val="1"/>
          <w:i w:val="1"/>
          <w:iCs w:val="1"/>
          <w:color w:val="auto"/>
        </w:rPr>
        <w:t>Note 7—Fair Value Measurements</w:t>
      </w:r>
    </w:p>
    <w:p>
      <w:pPr>
        <w:spacing w:after="0" w:line="126" w:lineRule="exact"/>
        <w:rPr>
          <w:sz w:val="20"/>
          <w:szCs w:val="20"/>
          <w:color w:val="auto"/>
        </w:rPr>
      </w:pPr>
    </w:p>
    <w:p>
      <w:pPr>
        <w:ind w:right="80" w:firstLine="518"/>
        <w:spacing w:after="0"/>
        <w:rPr>
          <w:sz w:val="20"/>
          <w:szCs w:val="20"/>
          <w:color w:val="auto"/>
        </w:rPr>
      </w:pPr>
      <w:r>
        <w:rPr>
          <w:rFonts w:ascii="Arial" w:cs="Arial" w:eastAsia="Arial" w:hAnsi="Arial"/>
          <w:sz w:val="18"/>
          <w:szCs w:val="18"/>
          <w:color w:val="auto"/>
        </w:rPr>
        <w:t>The following table summarizes the Company’s financial assets and liabilities measured at fair value on a recurring basis by level, within the fair value hierarchy. Financial assets and financial liabilities are classified in their entirety based on the lowest level of input that is significant to the fair value measurement (in thousands):</w:t>
      </w:r>
    </w:p>
    <w:p>
      <w:pPr>
        <w:spacing w:after="0" w:line="272"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46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2460" w:type="dxa"/>
            <w:vAlign w:val="bottom"/>
            <w:tcBorders>
              <w:bottom w:val="single" w:sz="8" w:color="auto"/>
            </w:tcBorders>
            <w:gridSpan w:val="4"/>
          </w:tcPr>
          <w:p>
            <w:pPr>
              <w:jc w:val="right"/>
              <w:ind w:right="362"/>
              <w:spacing w:after="0"/>
              <w:rPr>
                <w:sz w:val="20"/>
                <w:szCs w:val="20"/>
                <w:color w:val="auto"/>
              </w:rPr>
            </w:pPr>
            <w:r>
              <w:rPr>
                <w:rFonts w:ascii="Arial" w:cs="Arial" w:eastAsia="Arial" w:hAnsi="Arial"/>
                <w:sz w:val="14"/>
                <w:szCs w:val="14"/>
                <w:b w:val="1"/>
                <w:bCs w:val="1"/>
                <w:color w:val="auto"/>
              </w:rPr>
              <w:t>December 31, 2019</w:t>
            </w:r>
          </w:p>
        </w:tc>
        <w:tc>
          <w:tcPr>
            <w:tcW w:w="50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46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140" w:type="dxa"/>
            <w:vAlign w:val="bottom"/>
          </w:tcPr>
          <w:p>
            <w:pPr>
              <w:jc w:val="right"/>
              <w:ind w:right="392"/>
              <w:spacing w:after="0"/>
              <w:rPr>
                <w:sz w:val="20"/>
                <w:szCs w:val="20"/>
                <w:color w:val="auto"/>
              </w:rPr>
            </w:pPr>
            <w:r>
              <w:rPr>
                <w:rFonts w:ascii="Arial" w:cs="Arial" w:eastAsia="Arial" w:hAnsi="Arial"/>
                <w:sz w:val="14"/>
                <w:szCs w:val="14"/>
                <w:b w:val="1"/>
                <w:bCs w:val="1"/>
                <w:color w:val="auto"/>
              </w:rPr>
              <w:t>Level 1</w:t>
            </w:r>
          </w:p>
        </w:tc>
        <w:tc>
          <w:tcPr>
            <w:tcW w:w="2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40" w:type="dxa"/>
            <w:vAlign w:val="bottom"/>
            <w:gridSpan w:val="2"/>
          </w:tcPr>
          <w:p>
            <w:pPr>
              <w:ind w:left="200"/>
              <w:spacing w:after="0"/>
              <w:rPr>
                <w:sz w:val="20"/>
                <w:szCs w:val="20"/>
                <w:color w:val="auto"/>
              </w:rPr>
            </w:pPr>
            <w:r>
              <w:rPr>
                <w:rFonts w:ascii="Arial" w:cs="Arial" w:eastAsia="Arial" w:hAnsi="Arial"/>
                <w:sz w:val="14"/>
                <w:szCs w:val="14"/>
                <w:b w:val="1"/>
                <w:bCs w:val="1"/>
                <w:color w:val="auto"/>
              </w:rPr>
              <w:t>Level 2</w:t>
            </w:r>
          </w:p>
        </w:tc>
        <w:tc>
          <w:tcPr>
            <w:tcW w:w="20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Arial" w:cs="Arial" w:eastAsia="Arial" w:hAnsi="Arial"/>
                <w:sz w:val="14"/>
                <w:szCs w:val="14"/>
                <w:b w:val="1"/>
                <w:bCs w:val="1"/>
                <w:color w:val="auto"/>
              </w:rPr>
              <w:t>Level 3</w:t>
            </w:r>
          </w:p>
        </w:tc>
        <w:tc>
          <w:tcPr>
            <w:tcW w:w="5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300" w:type="dxa"/>
            <w:vAlign w:val="bottom"/>
            <w:gridSpan w:val="2"/>
          </w:tcPr>
          <w:p>
            <w:pPr>
              <w:ind w:left="24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10"/>
        </w:trPr>
        <w:tc>
          <w:tcPr>
            <w:tcW w:w="46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Cash equivalents</w:t>
            </w:r>
          </w:p>
        </w:tc>
        <w:tc>
          <w:tcPr>
            <w:tcW w:w="20" w:type="dxa"/>
            <w:vAlign w:val="bottom"/>
            <w:tcBorders>
              <w:top w:val="single" w:sz="8" w:color="CFF0FC"/>
            </w:tcBorders>
            <w:shd w:val="clear" w:color="auto" w:fill="CFF0FC"/>
          </w:tcPr>
          <w:p>
            <w:pPr>
              <w:spacing w:after="0"/>
              <w:rPr>
                <w:sz w:val="18"/>
                <w:szCs w:val="18"/>
                <w:color w:val="auto"/>
              </w:rPr>
            </w:pPr>
          </w:p>
        </w:tc>
        <w:tc>
          <w:tcPr>
            <w:tcW w:w="280" w:type="dxa"/>
            <w:vAlign w:val="bottom"/>
            <w:tcBorders>
              <w:top w:val="single" w:sz="8" w:color="auto"/>
            </w:tcBorders>
            <w:shd w:val="clear" w:color="auto" w:fill="CFF0FC"/>
          </w:tcPr>
          <w:p>
            <w:pPr>
              <w:spacing w:after="0"/>
              <w:rPr>
                <w:sz w:val="18"/>
                <w:szCs w:val="18"/>
                <w:color w:val="auto"/>
              </w:rPr>
            </w:pPr>
          </w:p>
        </w:tc>
        <w:tc>
          <w:tcPr>
            <w:tcW w:w="1140" w:type="dxa"/>
            <w:vAlign w:val="bottom"/>
            <w:tcBorders>
              <w:top w:val="single" w:sz="8" w:color="auto"/>
            </w:tcBorders>
            <w:shd w:val="clear" w:color="auto" w:fill="CFF0FC"/>
          </w:tcPr>
          <w:p>
            <w:pPr>
              <w:spacing w:after="0"/>
              <w:rPr>
                <w:sz w:val="18"/>
                <w:szCs w:val="18"/>
                <w:color w:val="auto"/>
              </w:rPr>
            </w:pPr>
          </w:p>
        </w:tc>
        <w:tc>
          <w:tcPr>
            <w:tcW w:w="220" w:type="dxa"/>
            <w:vAlign w:val="bottom"/>
            <w:tcBorders>
              <w:top w:val="single" w:sz="8" w:color="CFF0FC"/>
              <w:right w:val="single" w:sz="8" w:color="CFF0FC"/>
            </w:tcBorders>
            <w:shd w:val="clear" w:color="auto" w:fill="CFF0FC"/>
          </w:tcPr>
          <w:p>
            <w:pPr>
              <w:spacing w:after="0"/>
              <w:rPr>
                <w:sz w:val="18"/>
                <w:szCs w:val="18"/>
                <w:color w:val="auto"/>
              </w:rPr>
            </w:pPr>
          </w:p>
        </w:tc>
        <w:tc>
          <w:tcPr>
            <w:tcW w:w="300" w:type="dxa"/>
            <w:vAlign w:val="bottom"/>
            <w:tcBorders>
              <w:top w:val="single" w:sz="8" w:color="auto"/>
            </w:tcBorders>
            <w:shd w:val="clear" w:color="auto" w:fill="CFF0FC"/>
          </w:tcPr>
          <w:p>
            <w:pPr>
              <w:spacing w:after="0"/>
              <w:rPr>
                <w:sz w:val="18"/>
                <w:szCs w:val="18"/>
                <w:color w:val="auto"/>
              </w:rPr>
            </w:pPr>
          </w:p>
        </w:tc>
        <w:tc>
          <w:tcPr>
            <w:tcW w:w="1220" w:type="dxa"/>
            <w:vAlign w:val="bottom"/>
            <w:tcBorders>
              <w:top w:val="single" w:sz="8" w:color="auto"/>
            </w:tcBorders>
            <w:shd w:val="clear" w:color="auto" w:fill="CFF0FC"/>
          </w:tcPr>
          <w:p>
            <w:pPr>
              <w:spacing w:after="0"/>
              <w:rPr>
                <w:sz w:val="18"/>
                <w:szCs w:val="18"/>
                <w:color w:val="auto"/>
              </w:rPr>
            </w:pPr>
          </w:p>
        </w:tc>
        <w:tc>
          <w:tcPr>
            <w:tcW w:w="20" w:type="dxa"/>
            <w:vAlign w:val="bottom"/>
            <w:tcBorders>
              <w:top w:val="single" w:sz="8" w:color="CFF0FC"/>
            </w:tcBorders>
            <w:shd w:val="clear" w:color="auto" w:fill="CFF0FC"/>
          </w:tcPr>
          <w:p>
            <w:pPr>
              <w:spacing w:after="0"/>
              <w:rPr>
                <w:sz w:val="18"/>
                <w:szCs w:val="18"/>
                <w:color w:val="auto"/>
              </w:rPr>
            </w:pPr>
          </w:p>
        </w:tc>
        <w:tc>
          <w:tcPr>
            <w:tcW w:w="200" w:type="dxa"/>
            <w:vAlign w:val="bottom"/>
            <w:tcBorders>
              <w:top w:val="single" w:sz="8" w:color="CFF0FC"/>
              <w:right w:val="single" w:sz="8" w:color="CFF0FC"/>
            </w:tcBorders>
            <w:shd w:val="clear" w:color="auto" w:fill="CFF0FC"/>
          </w:tcPr>
          <w:p>
            <w:pPr>
              <w:spacing w:after="0"/>
              <w:rPr>
                <w:sz w:val="18"/>
                <w:szCs w:val="18"/>
                <w:color w:val="auto"/>
              </w:rPr>
            </w:pPr>
          </w:p>
        </w:tc>
        <w:tc>
          <w:tcPr>
            <w:tcW w:w="1020" w:type="dxa"/>
            <w:vAlign w:val="bottom"/>
            <w:tcBorders>
              <w:top w:val="single" w:sz="8" w:color="auto"/>
            </w:tcBorders>
            <w:shd w:val="clear" w:color="auto" w:fill="CFF0FC"/>
          </w:tcPr>
          <w:p>
            <w:pPr>
              <w:spacing w:after="0"/>
              <w:rPr>
                <w:sz w:val="18"/>
                <w:szCs w:val="18"/>
                <w:color w:val="auto"/>
              </w:rPr>
            </w:pPr>
          </w:p>
        </w:tc>
        <w:tc>
          <w:tcPr>
            <w:tcW w:w="500" w:type="dxa"/>
            <w:vAlign w:val="bottom"/>
            <w:tcBorders>
              <w:top w:val="single" w:sz="8" w:color="auto"/>
            </w:tcBorders>
            <w:shd w:val="clear" w:color="auto" w:fill="CFF0FC"/>
          </w:tcPr>
          <w:p>
            <w:pPr>
              <w:spacing w:after="0"/>
              <w:rPr>
                <w:sz w:val="18"/>
                <w:szCs w:val="18"/>
                <w:color w:val="auto"/>
              </w:rPr>
            </w:pPr>
          </w:p>
        </w:tc>
        <w:tc>
          <w:tcPr>
            <w:tcW w:w="220" w:type="dxa"/>
            <w:vAlign w:val="bottom"/>
            <w:tcBorders>
              <w:top w:val="single" w:sz="8" w:color="CFF0FC"/>
              <w:right w:val="single" w:sz="8" w:color="CFF0FC"/>
            </w:tcBorders>
            <w:shd w:val="clear" w:color="auto" w:fill="CFF0FC"/>
          </w:tcPr>
          <w:p>
            <w:pPr>
              <w:spacing w:after="0"/>
              <w:rPr>
                <w:sz w:val="18"/>
                <w:szCs w:val="18"/>
                <w:color w:val="auto"/>
              </w:rPr>
            </w:pPr>
          </w:p>
        </w:tc>
        <w:tc>
          <w:tcPr>
            <w:tcW w:w="340" w:type="dxa"/>
            <w:vAlign w:val="bottom"/>
            <w:tcBorders>
              <w:top w:val="single" w:sz="8" w:color="auto"/>
            </w:tcBorders>
            <w:shd w:val="clear" w:color="auto" w:fill="CFF0FC"/>
          </w:tcPr>
          <w:p>
            <w:pPr>
              <w:spacing w:after="0"/>
              <w:rPr>
                <w:sz w:val="18"/>
                <w:szCs w:val="18"/>
                <w:color w:val="auto"/>
              </w:rPr>
            </w:pPr>
          </w:p>
        </w:tc>
        <w:tc>
          <w:tcPr>
            <w:tcW w:w="1200" w:type="dxa"/>
            <w:vAlign w:val="bottom"/>
            <w:tcBorders>
              <w:top w:val="single" w:sz="8" w:color="auto"/>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40" w:type="dxa"/>
            <w:vAlign w:val="bottom"/>
          </w:tcPr>
          <w:p>
            <w:pPr>
              <w:ind w:left="260"/>
              <w:spacing w:after="0"/>
              <w:rPr>
                <w:sz w:val="20"/>
                <w:szCs w:val="20"/>
                <w:color w:val="auto"/>
              </w:rPr>
            </w:pPr>
            <w:r>
              <w:rPr>
                <w:rFonts w:ascii="Arial" w:cs="Arial" w:eastAsia="Arial" w:hAnsi="Arial"/>
                <w:sz w:val="18"/>
                <w:szCs w:val="18"/>
                <w:color w:val="auto"/>
              </w:rPr>
              <w:t>Money market funds</w:t>
            </w:r>
          </w:p>
        </w:tc>
        <w:tc>
          <w:tcPr>
            <w:tcW w:w="300" w:type="dxa"/>
            <w:vAlign w:val="bottom"/>
            <w:gridSpan w:val="2"/>
          </w:tcPr>
          <w:p>
            <w:pPr>
              <w:jc w:val="right"/>
              <w:ind w:right="18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39,767</w:t>
            </w:r>
          </w:p>
        </w:tc>
        <w:tc>
          <w:tcPr>
            <w:tcW w:w="520" w:type="dxa"/>
            <w:vAlign w:val="bottom"/>
            <w:gridSpan w:val="2"/>
          </w:tcPr>
          <w:p>
            <w:pPr>
              <w:jc w:val="right"/>
              <w:ind w:right="130"/>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862"/>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w:t>
            </w:r>
          </w:p>
        </w:tc>
        <w:tc>
          <w:tcPr>
            <w:tcW w:w="560" w:type="dxa"/>
            <w:vAlign w:val="bottom"/>
            <w:gridSpan w:val="2"/>
          </w:tcPr>
          <w:p>
            <w:pPr>
              <w:jc w:val="right"/>
              <w:ind w:right="170"/>
              <w:spacing w:after="0"/>
              <w:rPr>
                <w:sz w:val="20"/>
                <w:szCs w:val="20"/>
                <w:color w:val="auto"/>
              </w:rPr>
            </w:pPr>
            <w:r>
              <w:rPr>
                <w:rFonts w:ascii="Arial" w:cs="Arial" w:eastAsia="Arial" w:hAnsi="Arial"/>
                <w:sz w:val="18"/>
                <w:szCs w:val="18"/>
                <w:color w:val="auto"/>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39,767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40" w:type="dxa"/>
            <w:vAlign w:val="bottom"/>
            <w:shd w:val="clear" w:color="auto" w:fill="CFF0FC"/>
          </w:tcPr>
          <w:p>
            <w:pPr>
              <w:spacing w:after="0"/>
              <w:rPr>
                <w:sz w:val="20"/>
                <w:szCs w:val="20"/>
                <w:color w:val="auto"/>
              </w:rPr>
            </w:pPr>
            <w:r>
              <w:rPr>
                <w:rFonts w:ascii="Arial" w:cs="Arial" w:eastAsia="Arial" w:hAnsi="Arial"/>
                <w:sz w:val="18"/>
                <w:szCs w:val="18"/>
                <w:color w:val="auto"/>
              </w:rPr>
              <w:t>Marketable securities</w:t>
            </w:r>
          </w:p>
        </w:tc>
        <w:tc>
          <w:tcPr>
            <w:tcW w:w="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140" w:type="dxa"/>
            <w:vAlign w:val="bottom"/>
            <w:shd w:val="clear" w:color="auto" w:fill="CFF0FC"/>
          </w:tcPr>
          <w:p>
            <w:pPr>
              <w:spacing w:after="0"/>
              <w:rPr>
                <w:sz w:val="18"/>
                <w:szCs w:val="18"/>
                <w:color w:val="auto"/>
              </w:rPr>
            </w:pPr>
          </w:p>
        </w:tc>
        <w:tc>
          <w:tcPr>
            <w:tcW w:w="220" w:type="dxa"/>
            <w:vAlign w:val="bottom"/>
            <w:tcBorders>
              <w:right w:val="single" w:sz="8" w:color="CFF0FC"/>
            </w:tcBorders>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22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200" w:type="dxa"/>
            <w:vAlign w:val="bottom"/>
            <w:tcBorders>
              <w:right w:val="single" w:sz="8" w:color="CFF0FC"/>
            </w:tcBorders>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500" w:type="dxa"/>
            <w:vAlign w:val="bottom"/>
            <w:shd w:val="clear" w:color="auto" w:fill="CFF0FC"/>
          </w:tcPr>
          <w:p>
            <w:pPr>
              <w:spacing w:after="0"/>
              <w:rPr>
                <w:sz w:val="18"/>
                <w:szCs w:val="18"/>
                <w:color w:val="auto"/>
              </w:rPr>
            </w:pPr>
          </w:p>
        </w:tc>
        <w:tc>
          <w:tcPr>
            <w:tcW w:w="220" w:type="dxa"/>
            <w:vAlign w:val="bottom"/>
            <w:tcBorders>
              <w:right w:val="single" w:sz="8" w:color="CFF0FC"/>
            </w:tcBorders>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40" w:type="dxa"/>
            <w:vAlign w:val="bottom"/>
          </w:tcPr>
          <w:p>
            <w:pPr>
              <w:ind w:left="260"/>
              <w:spacing w:after="0"/>
              <w:rPr>
                <w:sz w:val="20"/>
                <w:szCs w:val="20"/>
                <w:color w:val="auto"/>
              </w:rPr>
            </w:pPr>
            <w:r>
              <w:rPr>
                <w:rFonts w:ascii="Arial" w:cs="Arial" w:eastAsia="Arial" w:hAnsi="Arial"/>
                <w:sz w:val="18"/>
                <w:szCs w:val="18"/>
                <w:color w:val="auto"/>
              </w:rPr>
              <w:t>U.S. treasury securities</w:t>
            </w: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382,335</w:t>
            </w: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4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382,335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Corporate bonds</w:t>
            </w:r>
          </w:p>
        </w:tc>
        <w:tc>
          <w:tcPr>
            <w:tcW w:w="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right w:val="single" w:sz="8" w:color="CFF0FC"/>
            </w:tcBorders>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77,054</w:t>
            </w:r>
          </w:p>
        </w:tc>
        <w:tc>
          <w:tcPr>
            <w:tcW w:w="20" w:type="dxa"/>
            <w:vAlign w:val="bottom"/>
            <w:shd w:val="clear" w:color="auto" w:fill="CFF0FC"/>
          </w:tcPr>
          <w:p>
            <w:pPr>
              <w:spacing w:after="0"/>
              <w:rPr>
                <w:sz w:val="18"/>
                <w:szCs w:val="18"/>
                <w:color w:val="auto"/>
              </w:rPr>
            </w:pPr>
          </w:p>
        </w:tc>
        <w:tc>
          <w:tcPr>
            <w:tcW w:w="200" w:type="dxa"/>
            <w:vAlign w:val="bottom"/>
            <w:tcBorders>
              <w:right w:val="single" w:sz="8" w:color="CFF0FC"/>
            </w:tcBorders>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5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right w:val="single" w:sz="8" w:color="CFF0FC"/>
            </w:tcBorders>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77,054</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40" w:type="dxa"/>
            <w:vAlign w:val="bottom"/>
            <w:tcBorders>
              <w:bottom w:val="single" w:sz="8" w:color="CFF0FC"/>
            </w:tcBorders>
          </w:tcPr>
          <w:p>
            <w:pPr>
              <w:ind w:left="260"/>
              <w:spacing w:after="0"/>
              <w:rPr>
                <w:sz w:val="20"/>
                <w:szCs w:val="20"/>
                <w:color w:val="auto"/>
              </w:rPr>
            </w:pPr>
            <w:r>
              <w:rPr>
                <w:rFonts w:ascii="Arial" w:cs="Arial" w:eastAsia="Arial" w:hAnsi="Arial"/>
                <w:sz w:val="18"/>
                <w:szCs w:val="18"/>
                <w:color w:val="auto"/>
              </w:rPr>
              <w:t>Commercial paper</w:t>
            </w:r>
          </w:p>
        </w:tc>
        <w:tc>
          <w:tcPr>
            <w:tcW w:w="20" w:type="dxa"/>
            <w:vAlign w:val="bottom"/>
            <w:tcBorders>
              <w:bottom w:val="single" w:sz="8" w:color="CFF0FC"/>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FF0FC"/>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28,126</w:t>
            </w:r>
          </w:p>
        </w:tc>
        <w:tc>
          <w:tcPr>
            <w:tcW w:w="20" w:type="dxa"/>
            <w:vAlign w:val="bottom"/>
            <w:tcBorders>
              <w:bottom w:val="single" w:sz="8" w:color="CFF0FC"/>
            </w:tcBorders>
          </w:tcPr>
          <w:p>
            <w:pPr>
              <w:spacing w:after="0"/>
              <w:rPr>
                <w:sz w:val="18"/>
                <w:szCs w:val="18"/>
                <w:color w:val="auto"/>
              </w:rPr>
            </w:pPr>
          </w:p>
        </w:tc>
        <w:tc>
          <w:tcPr>
            <w:tcW w:w="200" w:type="dxa"/>
            <w:vAlign w:val="bottom"/>
            <w:tcBorders>
              <w:bottom w:val="single" w:sz="8" w:color="CFF0FC"/>
            </w:tcBorders>
          </w:tcPr>
          <w:p>
            <w:pPr>
              <w:spacing w:after="0"/>
              <w:rPr>
                <w:sz w:val="18"/>
                <w:szCs w:val="18"/>
                <w:color w:val="auto"/>
              </w:rPr>
            </w:pPr>
          </w:p>
        </w:tc>
        <w:tc>
          <w:tcPr>
            <w:tcW w:w="102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FF0FC"/>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28,126</w:t>
            </w:r>
          </w:p>
        </w:tc>
        <w:tc>
          <w:tcPr>
            <w:tcW w:w="100" w:type="dxa"/>
            <w:vAlign w:val="bottom"/>
            <w:tcBorders>
              <w:bottom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640" w:type="dxa"/>
            <w:vAlign w:val="bottom"/>
            <w:shd w:val="clear" w:color="auto" w:fill="CFF0FC"/>
          </w:tcPr>
          <w:p>
            <w:pPr>
              <w:spacing w:after="0"/>
              <w:rPr>
                <w:sz w:val="20"/>
                <w:szCs w:val="20"/>
                <w:color w:val="auto"/>
              </w:rPr>
            </w:pPr>
            <w:r>
              <w:rPr>
                <w:rFonts w:ascii="Arial" w:cs="Arial" w:eastAsia="Arial" w:hAnsi="Arial"/>
                <w:sz w:val="18"/>
                <w:szCs w:val="18"/>
                <w:color w:val="auto"/>
              </w:rPr>
              <w:t>Total assets</w:t>
            </w:r>
          </w:p>
        </w:tc>
        <w:tc>
          <w:tcPr>
            <w:tcW w:w="30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422,102</w:t>
            </w:r>
          </w:p>
        </w:tc>
        <w:tc>
          <w:tcPr>
            <w:tcW w:w="520" w:type="dxa"/>
            <w:vAlign w:val="bottom"/>
            <w:gridSpan w:val="2"/>
            <w:shd w:val="clear" w:color="auto" w:fill="CFF0FC"/>
          </w:tcPr>
          <w:p>
            <w:pPr>
              <w:jc w:val="right"/>
              <w:ind w:right="130"/>
              <w:spacing w:after="0"/>
              <w:rPr>
                <w:sz w:val="20"/>
                <w:szCs w:val="20"/>
                <w:color w:val="auto"/>
              </w:rPr>
            </w:pPr>
            <w:r>
              <w:rPr>
                <w:rFonts w:ascii="Arial" w:cs="Arial" w:eastAsia="Arial" w:hAnsi="Arial"/>
                <w:sz w:val="18"/>
                <w:szCs w:val="18"/>
                <w:color w:val="auto"/>
              </w:rPr>
              <w:t>$</w:t>
            </w: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105,180</w:t>
            </w:r>
          </w:p>
        </w:tc>
        <w:tc>
          <w:tcPr>
            <w:tcW w:w="20" w:type="dxa"/>
            <w:vAlign w:val="bottom"/>
            <w:shd w:val="clear" w:color="auto" w:fill="CFF0FC"/>
          </w:tcPr>
          <w:p>
            <w:pPr>
              <w:spacing w:after="0"/>
              <w:rPr>
                <w:sz w:val="18"/>
                <w:szCs w:val="18"/>
                <w:color w:val="auto"/>
              </w:rPr>
            </w:pPr>
          </w:p>
        </w:tc>
        <w:tc>
          <w:tcPr>
            <w:tcW w:w="1220" w:type="dxa"/>
            <w:vAlign w:val="bottom"/>
            <w:gridSpan w:val="2"/>
            <w:shd w:val="clear" w:color="auto" w:fill="CFF0FC"/>
          </w:tcPr>
          <w:p>
            <w:pPr>
              <w:jc w:val="right"/>
              <w:ind w:right="862"/>
              <w:spacing w:after="0"/>
              <w:rPr>
                <w:sz w:val="20"/>
                <w:szCs w:val="20"/>
                <w:color w:val="auto"/>
              </w:rPr>
            </w:pPr>
            <w:r>
              <w:rPr>
                <w:rFonts w:ascii="Arial" w:cs="Arial" w:eastAsia="Arial" w:hAnsi="Arial"/>
                <w:sz w:val="18"/>
                <w:szCs w:val="18"/>
                <w:color w:val="auto"/>
              </w:rPr>
              <w:t>$</w:t>
            </w:r>
          </w:p>
        </w:tc>
        <w:tc>
          <w:tcPr>
            <w:tcW w:w="5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560" w:type="dxa"/>
            <w:vAlign w:val="bottom"/>
            <w:gridSpan w:val="2"/>
            <w:shd w:val="clear" w:color="auto" w:fill="CFF0FC"/>
          </w:tcPr>
          <w:p>
            <w:pPr>
              <w:jc w:val="right"/>
              <w:ind w:right="170"/>
              <w:spacing w:after="0"/>
              <w:rPr>
                <w:sz w:val="20"/>
                <w:szCs w:val="20"/>
                <w:color w:val="auto"/>
              </w:rPr>
            </w:pPr>
            <w:r>
              <w:rPr>
                <w:rFonts w:ascii="Arial" w:cs="Arial" w:eastAsia="Arial" w:hAnsi="Arial"/>
                <w:sz w:val="18"/>
                <w:szCs w:val="18"/>
                <w:color w:val="auto"/>
              </w:rPr>
              <w:t>$</w:t>
            </w: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527,282</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640" w:type="dxa"/>
            <w:vAlign w:val="bottom"/>
            <w:tcBorders>
              <w:top w:val="single" w:sz="8" w:color="CFF0FC"/>
              <w:bottom w:val="single" w:sz="8" w:color="CFF0FC"/>
            </w:tcBorders>
            <w:vMerge w:val="restart"/>
          </w:tcPr>
          <w:p>
            <w:pPr>
              <w:spacing w:after="0"/>
              <w:rPr>
                <w:sz w:val="20"/>
                <w:szCs w:val="20"/>
                <w:color w:val="auto"/>
              </w:rPr>
            </w:pPr>
            <w:r>
              <w:rPr>
                <w:rFonts w:ascii="Arial" w:cs="Arial" w:eastAsia="Arial" w:hAnsi="Arial"/>
                <w:sz w:val="18"/>
                <w:szCs w:val="18"/>
                <w:color w:val="auto"/>
              </w:rPr>
              <w:t>Liabilities</w:t>
            </w:r>
          </w:p>
        </w:tc>
        <w:tc>
          <w:tcPr>
            <w:tcW w:w="20" w:type="dxa"/>
            <w:vAlign w:val="bottom"/>
            <w:tcBorders>
              <w:top w:val="single" w:sz="8" w:color="CFF0FC"/>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FF0FC"/>
            </w:tcBorders>
          </w:tcPr>
          <w:p>
            <w:pPr>
              <w:spacing w:after="0" w:line="20" w:lineRule="exact"/>
              <w:rPr>
                <w:sz w:val="1"/>
                <w:szCs w:val="1"/>
                <w:color w:val="auto"/>
              </w:rPr>
            </w:pPr>
          </w:p>
        </w:tc>
        <w:tc>
          <w:tcPr>
            <w:tcW w:w="200" w:type="dxa"/>
            <w:vAlign w:val="bottom"/>
            <w:tcBorders>
              <w:top w:val="single" w:sz="8" w:color="CFF0FC"/>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4640" w:type="dxa"/>
            <w:vAlign w:val="bottom"/>
            <w:vMerge w:val="continue"/>
          </w:tcPr>
          <w:p>
            <w:pPr>
              <w:spacing w:after="0"/>
              <w:rPr>
                <w:sz w:val="17"/>
                <w:szCs w:val="17"/>
                <w:color w:val="auto"/>
              </w:rPr>
            </w:pPr>
          </w:p>
        </w:tc>
        <w:tc>
          <w:tcPr>
            <w:tcW w:w="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6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Contingent consideration</w:t>
            </w:r>
          </w:p>
        </w:tc>
        <w:tc>
          <w:tcPr>
            <w:tcW w:w="30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520" w:type="dxa"/>
            <w:vAlign w:val="bottom"/>
            <w:gridSpan w:val="2"/>
            <w:shd w:val="clear" w:color="auto" w:fill="CFF0FC"/>
          </w:tcPr>
          <w:p>
            <w:pPr>
              <w:jc w:val="right"/>
              <w:ind w:right="13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FF0FC"/>
          </w:tcPr>
          <w:p>
            <w:pPr>
              <w:jc w:val="right"/>
              <w:ind w:right="862"/>
              <w:spacing w:after="0"/>
              <w:rPr>
                <w:sz w:val="20"/>
                <w:szCs w:val="20"/>
                <w:color w:val="auto"/>
              </w:rPr>
            </w:pPr>
            <w:r>
              <w:rPr>
                <w:rFonts w:ascii="Arial" w:cs="Arial" w:eastAsia="Arial" w:hAnsi="Arial"/>
                <w:sz w:val="18"/>
                <w:szCs w:val="18"/>
                <w:color w:val="auto"/>
              </w:rPr>
              <w:t>$</w:t>
            </w:r>
          </w:p>
        </w:tc>
        <w:tc>
          <w:tcPr>
            <w:tcW w:w="5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6,362</w:t>
            </w:r>
          </w:p>
        </w:tc>
        <w:tc>
          <w:tcPr>
            <w:tcW w:w="560" w:type="dxa"/>
            <w:vAlign w:val="bottom"/>
            <w:gridSpan w:val="2"/>
            <w:shd w:val="clear" w:color="auto" w:fill="CFF0FC"/>
          </w:tcPr>
          <w:p>
            <w:pPr>
              <w:jc w:val="right"/>
              <w:ind w:right="170"/>
              <w:spacing w:after="0"/>
              <w:rPr>
                <w:sz w:val="20"/>
                <w:szCs w:val="20"/>
                <w:color w:val="auto"/>
              </w:rPr>
            </w:pPr>
            <w:r>
              <w:rPr>
                <w:rFonts w:ascii="Arial" w:cs="Arial" w:eastAsia="Arial" w:hAnsi="Arial"/>
                <w:sz w:val="18"/>
                <w:szCs w:val="18"/>
                <w:color w:val="auto"/>
              </w:rPr>
              <w:t>$</w:t>
            </w: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6,362</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6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20" w:type="dxa"/>
            <w:vAlign w:val="bottom"/>
            <w:tcBorders>
              <w:right w:val="single" w:sz="8" w:color="auto"/>
            </w:tcBorders>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Borders>
              <w:right w:val="single" w:sz="8" w:color="auto"/>
            </w:tcBorders>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20" w:type="dxa"/>
            <w:vAlign w:val="bottom"/>
            <w:tcBorders>
              <w:right w:val="single" w:sz="8" w:color="auto"/>
            </w:tcBorders>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640" w:type="dxa"/>
            <w:vAlign w:val="bottom"/>
          </w:tcPr>
          <w:p>
            <w:pPr>
              <w:spacing w:after="0"/>
              <w:rPr>
                <w:sz w:val="20"/>
                <w:szCs w:val="20"/>
                <w:color w:val="auto"/>
              </w:rPr>
            </w:pPr>
            <w:r>
              <w:rPr>
                <w:rFonts w:ascii="Arial" w:cs="Arial" w:eastAsia="Arial" w:hAnsi="Arial"/>
                <w:sz w:val="18"/>
                <w:szCs w:val="18"/>
                <w:color w:val="auto"/>
              </w:rPr>
              <w:t>Total liabilities</w:t>
            </w:r>
          </w:p>
        </w:tc>
        <w:tc>
          <w:tcPr>
            <w:tcW w:w="300" w:type="dxa"/>
            <w:vAlign w:val="bottom"/>
            <w:gridSpan w:val="2"/>
          </w:tcPr>
          <w:p>
            <w:pPr>
              <w:jc w:val="right"/>
              <w:ind w:right="18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w:t>
            </w:r>
          </w:p>
        </w:tc>
        <w:tc>
          <w:tcPr>
            <w:tcW w:w="520" w:type="dxa"/>
            <w:vAlign w:val="bottom"/>
            <w:gridSpan w:val="2"/>
          </w:tcPr>
          <w:p>
            <w:pPr>
              <w:jc w:val="right"/>
              <w:ind w:right="130"/>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862"/>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6,362</w:t>
            </w:r>
          </w:p>
        </w:tc>
        <w:tc>
          <w:tcPr>
            <w:tcW w:w="560" w:type="dxa"/>
            <w:vAlign w:val="bottom"/>
            <w:gridSpan w:val="2"/>
          </w:tcPr>
          <w:p>
            <w:pPr>
              <w:jc w:val="right"/>
              <w:ind w:right="170"/>
              <w:spacing w:after="0"/>
              <w:rPr>
                <w:sz w:val="20"/>
                <w:szCs w:val="20"/>
                <w:color w:val="auto"/>
              </w:rPr>
            </w:pPr>
            <w:r>
              <w:rPr>
                <w:rFonts w:ascii="Arial" w:cs="Arial" w:eastAsia="Arial" w:hAnsi="Arial"/>
                <w:sz w:val="18"/>
                <w:szCs w:val="18"/>
                <w:color w:val="auto"/>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6,362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6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9"/>
        </w:trPr>
        <w:tc>
          <w:tcPr>
            <w:tcW w:w="4640" w:type="dxa"/>
            <w:vAlign w:val="bottom"/>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2460" w:type="dxa"/>
            <w:vAlign w:val="bottom"/>
            <w:tcBorders>
              <w:bottom w:val="single" w:sz="8" w:color="auto"/>
            </w:tcBorders>
            <w:gridSpan w:val="4"/>
          </w:tcPr>
          <w:p>
            <w:pPr>
              <w:jc w:val="right"/>
              <w:ind w:right="362"/>
              <w:spacing w:after="0"/>
              <w:rPr>
                <w:sz w:val="20"/>
                <w:szCs w:val="20"/>
                <w:color w:val="auto"/>
              </w:rPr>
            </w:pPr>
            <w:r>
              <w:rPr>
                <w:rFonts w:ascii="Arial" w:cs="Arial" w:eastAsia="Arial" w:hAnsi="Arial"/>
                <w:sz w:val="14"/>
                <w:szCs w:val="14"/>
                <w:b w:val="1"/>
                <w:bCs w:val="1"/>
                <w:color w:val="auto"/>
              </w:rPr>
              <w:t>December 31, 2018</w:t>
            </w:r>
          </w:p>
        </w:tc>
        <w:tc>
          <w:tcPr>
            <w:tcW w:w="5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9"/>
        </w:trPr>
        <w:tc>
          <w:tcPr>
            <w:tcW w:w="46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140" w:type="dxa"/>
            <w:vAlign w:val="bottom"/>
          </w:tcPr>
          <w:p>
            <w:pPr>
              <w:jc w:val="right"/>
              <w:ind w:right="392"/>
              <w:spacing w:after="0"/>
              <w:rPr>
                <w:sz w:val="20"/>
                <w:szCs w:val="20"/>
                <w:color w:val="auto"/>
              </w:rPr>
            </w:pPr>
            <w:r>
              <w:rPr>
                <w:rFonts w:ascii="Arial" w:cs="Arial" w:eastAsia="Arial" w:hAnsi="Arial"/>
                <w:sz w:val="14"/>
                <w:szCs w:val="14"/>
                <w:b w:val="1"/>
                <w:bCs w:val="1"/>
                <w:color w:val="auto"/>
              </w:rPr>
              <w:t>Level 1</w:t>
            </w:r>
          </w:p>
        </w:tc>
        <w:tc>
          <w:tcPr>
            <w:tcW w:w="2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40" w:type="dxa"/>
            <w:vAlign w:val="bottom"/>
            <w:gridSpan w:val="2"/>
          </w:tcPr>
          <w:p>
            <w:pPr>
              <w:ind w:left="220"/>
              <w:spacing w:after="0"/>
              <w:rPr>
                <w:sz w:val="20"/>
                <w:szCs w:val="20"/>
                <w:color w:val="auto"/>
              </w:rPr>
            </w:pPr>
            <w:r>
              <w:rPr>
                <w:rFonts w:ascii="Arial" w:cs="Arial" w:eastAsia="Arial" w:hAnsi="Arial"/>
                <w:sz w:val="14"/>
                <w:szCs w:val="14"/>
                <w:b w:val="1"/>
                <w:bCs w:val="1"/>
                <w:color w:val="auto"/>
              </w:rPr>
              <w:t>Level 2</w:t>
            </w:r>
          </w:p>
        </w:tc>
        <w:tc>
          <w:tcPr>
            <w:tcW w:w="20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Arial" w:cs="Arial" w:eastAsia="Arial" w:hAnsi="Arial"/>
                <w:sz w:val="14"/>
                <w:szCs w:val="14"/>
                <w:b w:val="1"/>
                <w:bCs w:val="1"/>
                <w:color w:val="auto"/>
              </w:rPr>
              <w:t>Level 3</w:t>
            </w:r>
          </w:p>
        </w:tc>
        <w:tc>
          <w:tcPr>
            <w:tcW w:w="5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300" w:type="dxa"/>
            <w:vAlign w:val="bottom"/>
            <w:gridSpan w:val="2"/>
          </w:tcPr>
          <w:p>
            <w:pPr>
              <w:ind w:left="26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10"/>
        </w:trPr>
        <w:tc>
          <w:tcPr>
            <w:tcW w:w="46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Cash equivalents</w:t>
            </w:r>
          </w:p>
        </w:tc>
        <w:tc>
          <w:tcPr>
            <w:tcW w:w="20" w:type="dxa"/>
            <w:vAlign w:val="bottom"/>
            <w:tcBorders>
              <w:top w:val="single" w:sz="8" w:color="auto"/>
            </w:tcBorders>
            <w:shd w:val="clear" w:color="auto" w:fill="CFF0FC"/>
          </w:tcPr>
          <w:p>
            <w:pPr>
              <w:spacing w:after="0"/>
              <w:rPr>
                <w:sz w:val="18"/>
                <w:szCs w:val="18"/>
                <w:color w:val="auto"/>
              </w:rPr>
            </w:pPr>
          </w:p>
        </w:tc>
        <w:tc>
          <w:tcPr>
            <w:tcW w:w="280" w:type="dxa"/>
            <w:vAlign w:val="bottom"/>
            <w:tcBorders>
              <w:top w:val="single" w:sz="8" w:color="auto"/>
            </w:tcBorders>
            <w:shd w:val="clear" w:color="auto" w:fill="CFF0FC"/>
          </w:tcPr>
          <w:p>
            <w:pPr>
              <w:spacing w:after="0"/>
              <w:rPr>
                <w:sz w:val="18"/>
                <w:szCs w:val="18"/>
                <w:color w:val="auto"/>
              </w:rPr>
            </w:pPr>
          </w:p>
        </w:tc>
        <w:tc>
          <w:tcPr>
            <w:tcW w:w="1140" w:type="dxa"/>
            <w:vAlign w:val="bottom"/>
            <w:tcBorders>
              <w:top w:val="single" w:sz="8" w:color="auto"/>
            </w:tcBorders>
            <w:shd w:val="clear" w:color="auto" w:fill="CFF0FC"/>
          </w:tcPr>
          <w:p>
            <w:pPr>
              <w:spacing w:after="0"/>
              <w:rPr>
                <w:sz w:val="18"/>
                <w:szCs w:val="18"/>
                <w:color w:val="auto"/>
              </w:rPr>
            </w:pPr>
          </w:p>
        </w:tc>
        <w:tc>
          <w:tcPr>
            <w:tcW w:w="220" w:type="dxa"/>
            <w:vAlign w:val="bottom"/>
            <w:tcBorders>
              <w:top w:val="single" w:sz="8" w:color="CFF0FC"/>
              <w:right w:val="single" w:sz="8" w:color="CFF0FC"/>
            </w:tcBorders>
            <w:shd w:val="clear" w:color="auto" w:fill="CFF0FC"/>
          </w:tcPr>
          <w:p>
            <w:pPr>
              <w:spacing w:after="0"/>
              <w:rPr>
                <w:sz w:val="18"/>
                <w:szCs w:val="18"/>
                <w:color w:val="auto"/>
              </w:rPr>
            </w:pPr>
          </w:p>
        </w:tc>
        <w:tc>
          <w:tcPr>
            <w:tcW w:w="300" w:type="dxa"/>
            <w:vAlign w:val="bottom"/>
            <w:tcBorders>
              <w:top w:val="single" w:sz="8" w:color="auto"/>
            </w:tcBorders>
            <w:shd w:val="clear" w:color="auto" w:fill="CFF0FC"/>
          </w:tcPr>
          <w:p>
            <w:pPr>
              <w:spacing w:after="0"/>
              <w:rPr>
                <w:sz w:val="18"/>
                <w:szCs w:val="18"/>
                <w:color w:val="auto"/>
              </w:rPr>
            </w:pPr>
          </w:p>
        </w:tc>
        <w:tc>
          <w:tcPr>
            <w:tcW w:w="1220" w:type="dxa"/>
            <w:vAlign w:val="bottom"/>
            <w:tcBorders>
              <w:top w:val="single" w:sz="8" w:color="auto"/>
            </w:tcBorders>
            <w:shd w:val="clear" w:color="auto" w:fill="CFF0FC"/>
          </w:tcPr>
          <w:p>
            <w:pPr>
              <w:spacing w:after="0"/>
              <w:rPr>
                <w:sz w:val="18"/>
                <w:szCs w:val="18"/>
                <w:color w:val="auto"/>
              </w:rPr>
            </w:pPr>
          </w:p>
        </w:tc>
        <w:tc>
          <w:tcPr>
            <w:tcW w:w="20" w:type="dxa"/>
            <w:vAlign w:val="bottom"/>
            <w:tcBorders>
              <w:top w:val="single" w:sz="8" w:color="auto"/>
            </w:tcBorders>
            <w:shd w:val="clear" w:color="auto" w:fill="CFF0FC"/>
          </w:tcPr>
          <w:p>
            <w:pPr>
              <w:spacing w:after="0"/>
              <w:rPr>
                <w:sz w:val="18"/>
                <w:szCs w:val="18"/>
                <w:color w:val="auto"/>
              </w:rPr>
            </w:pPr>
          </w:p>
        </w:tc>
        <w:tc>
          <w:tcPr>
            <w:tcW w:w="200" w:type="dxa"/>
            <w:vAlign w:val="bottom"/>
            <w:tcBorders>
              <w:top w:val="single" w:sz="8" w:color="CFF0FC"/>
              <w:right w:val="single" w:sz="8" w:color="CFF0FC"/>
            </w:tcBorders>
            <w:shd w:val="clear" w:color="auto" w:fill="CFF0FC"/>
          </w:tcPr>
          <w:p>
            <w:pPr>
              <w:spacing w:after="0"/>
              <w:rPr>
                <w:sz w:val="18"/>
                <w:szCs w:val="18"/>
                <w:color w:val="auto"/>
              </w:rPr>
            </w:pPr>
          </w:p>
        </w:tc>
        <w:tc>
          <w:tcPr>
            <w:tcW w:w="1020" w:type="dxa"/>
            <w:vAlign w:val="bottom"/>
            <w:tcBorders>
              <w:top w:val="single" w:sz="8" w:color="auto"/>
            </w:tcBorders>
            <w:shd w:val="clear" w:color="auto" w:fill="CFF0FC"/>
          </w:tcPr>
          <w:p>
            <w:pPr>
              <w:spacing w:after="0"/>
              <w:rPr>
                <w:sz w:val="18"/>
                <w:szCs w:val="18"/>
                <w:color w:val="auto"/>
              </w:rPr>
            </w:pPr>
          </w:p>
        </w:tc>
        <w:tc>
          <w:tcPr>
            <w:tcW w:w="500" w:type="dxa"/>
            <w:vAlign w:val="bottom"/>
            <w:tcBorders>
              <w:top w:val="single" w:sz="8" w:color="auto"/>
            </w:tcBorders>
            <w:shd w:val="clear" w:color="auto" w:fill="CFF0FC"/>
          </w:tcPr>
          <w:p>
            <w:pPr>
              <w:spacing w:after="0"/>
              <w:rPr>
                <w:sz w:val="18"/>
                <w:szCs w:val="18"/>
                <w:color w:val="auto"/>
              </w:rPr>
            </w:pPr>
          </w:p>
        </w:tc>
        <w:tc>
          <w:tcPr>
            <w:tcW w:w="220" w:type="dxa"/>
            <w:vAlign w:val="bottom"/>
            <w:tcBorders>
              <w:top w:val="single" w:sz="8" w:color="CFF0FC"/>
              <w:right w:val="single" w:sz="8" w:color="CFF0FC"/>
            </w:tcBorders>
            <w:shd w:val="clear" w:color="auto" w:fill="CFF0FC"/>
          </w:tcPr>
          <w:p>
            <w:pPr>
              <w:spacing w:after="0"/>
              <w:rPr>
                <w:sz w:val="18"/>
                <w:szCs w:val="18"/>
                <w:color w:val="auto"/>
              </w:rPr>
            </w:pPr>
          </w:p>
        </w:tc>
        <w:tc>
          <w:tcPr>
            <w:tcW w:w="340" w:type="dxa"/>
            <w:vAlign w:val="bottom"/>
            <w:tcBorders>
              <w:top w:val="single" w:sz="8" w:color="auto"/>
            </w:tcBorders>
            <w:shd w:val="clear" w:color="auto" w:fill="CFF0FC"/>
          </w:tcPr>
          <w:p>
            <w:pPr>
              <w:spacing w:after="0"/>
              <w:rPr>
                <w:sz w:val="18"/>
                <w:szCs w:val="18"/>
                <w:color w:val="auto"/>
              </w:rPr>
            </w:pPr>
          </w:p>
        </w:tc>
        <w:tc>
          <w:tcPr>
            <w:tcW w:w="1200" w:type="dxa"/>
            <w:vAlign w:val="bottom"/>
            <w:tcBorders>
              <w:top w:val="single" w:sz="8" w:color="auto"/>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40" w:type="dxa"/>
            <w:vAlign w:val="bottom"/>
          </w:tcPr>
          <w:p>
            <w:pPr>
              <w:ind w:left="260"/>
              <w:spacing w:after="0"/>
              <w:rPr>
                <w:sz w:val="20"/>
                <w:szCs w:val="20"/>
                <w:color w:val="auto"/>
              </w:rPr>
            </w:pPr>
            <w:r>
              <w:rPr>
                <w:rFonts w:ascii="Arial" w:cs="Arial" w:eastAsia="Arial" w:hAnsi="Arial"/>
                <w:sz w:val="18"/>
                <w:szCs w:val="18"/>
                <w:color w:val="auto"/>
              </w:rPr>
              <w:t>Money market funds</w:t>
            </w:r>
          </w:p>
        </w:tc>
        <w:tc>
          <w:tcPr>
            <w:tcW w:w="300" w:type="dxa"/>
            <w:vAlign w:val="bottom"/>
            <w:gridSpan w:val="2"/>
          </w:tcPr>
          <w:p>
            <w:pPr>
              <w:jc w:val="right"/>
              <w:ind w:right="200"/>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32,021</w:t>
            </w:r>
          </w:p>
        </w:tc>
        <w:tc>
          <w:tcPr>
            <w:tcW w:w="520" w:type="dxa"/>
            <w:vAlign w:val="bottom"/>
            <w:gridSpan w:val="2"/>
          </w:tcPr>
          <w:p>
            <w:pPr>
              <w:jc w:val="right"/>
              <w:ind w:right="110"/>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842"/>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w:t>
            </w:r>
          </w:p>
        </w:tc>
        <w:tc>
          <w:tcPr>
            <w:tcW w:w="560" w:type="dxa"/>
            <w:vAlign w:val="bottom"/>
            <w:gridSpan w:val="2"/>
          </w:tcPr>
          <w:p>
            <w:pPr>
              <w:jc w:val="right"/>
              <w:ind w:right="150"/>
              <w:spacing w:after="0"/>
              <w:rPr>
                <w:sz w:val="20"/>
                <w:szCs w:val="20"/>
                <w:color w:val="auto"/>
              </w:rPr>
            </w:pPr>
            <w:r>
              <w:rPr>
                <w:rFonts w:ascii="Arial" w:cs="Arial" w:eastAsia="Arial" w:hAnsi="Arial"/>
                <w:sz w:val="18"/>
                <w:szCs w:val="18"/>
                <w:color w:val="auto"/>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32,021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40" w:type="dxa"/>
            <w:vAlign w:val="bottom"/>
            <w:shd w:val="clear" w:color="auto" w:fill="CFF0FC"/>
          </w:tcPr>
          <w:p>
            <w:pPr>
              <w:spacing w:after="0"/>
              <w:rPr>
                <w:sz w:val="20"/>
                <w:szCs w:val="20"/>
                <w:color w:val="auto"/>
              </w:rPr>
            </w:pPr>
            <w:r>
              <w:rPr>
                <w:rFonts w:ascii="Arial" w:cs="Arial" w:eastAsia="Arial" w:hAnsi="Arial"/>
                <w:sz w:val="18"/>
                <w:szCs w:val="18"/>
                <w:color w:val="auto"/>
              </w:rPr>
              <w:t>Marketable securities</w:t>
            </w:r>
          </w:p>
        </w:tc>
        <w:tc>
          <w:tcPr>
            <w:tcW w:w="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140" w:type="dxa"/>
            <w:vAlign w:val="bottom"/>
            <w:shd w:val="clear" w:color="auto" w:fill="CFF0FC"/>
          </w:tcPr>
          <w:p>
            <w:pPr>
              <w:spacing w:after="0"/>
              <w:rPr>
                <w:sz w:val="18"/>
                <w:szCs w:val="18"/>
                <w:color w:val="auto"/>
              </w:rPr>
            </w:pPr>
          </w:p>
        </w:tc>
        <w:tc>
          <w:tcPr>
            <w:tcW w:w="220" w:type="dxa"/>
            <w:vAlign w:val="bottom"/>
            <w:tcBorders>
              <w:right w:val="single" w:sz="8" w:color="CFF0FC"/>
            </w:tcBorders>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22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200" w:type="dxa"/>
            <w:vAlign w:val="bottom"/>
            <w:tcBorders>
              <w:right w:val="single" w:sz="8" w:color="CFF0FC"/>
            </w:tcBorders>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500" w:type="dxa"/>
            <w:vAlign w:val="bottom"/>
            <w:shd w:val="clear" w:color="auto" w:fill="CFF0FC"/>
          </w:tcPr>
          <w:p>
            <w:pPr>
              <w:spacing w:after="0"/>
              <w:rPr>
                <w:sz w:val="18"/>
                <w:szCs w:val="18"/>
                <w:color w:val="auto"/>
              </w:rPr>
            </w:pPr>
          </w:p>
        </w:tc>
        <w:tc>
          <w:tcPr>
            <w:tcW w:w="220" w:type="dxa"/>
            <w:vAlign w:val="bottom"/>
            <w:tcBorders>
              <w:right w:val="single" w:sz="8" w:color="CFF0FC"/>
            </w:tcBorders>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40" w:type="dxa"/>
            <w:vAlign w:val="bottom"/>
          </w:tcPr>
          <w:p>
            <w:pPr>
              <w:ind w:left="260"/>
              <w:spacing w:after="0"/>
              <w:rPr>
                <w:sz w:val="20"/>
                <w:szCs w:val="20"/>
                <w:color w:val="auto"/>
              </w:rPr>
            </w:pPr>
            <w:r>
              <w:rPr>
                <w:rFonts w:ascii="Arial" w:cs="Arial" w:eastAsia="Arial" w:hAnsi="Arial"/>
                <w:sz w:val="18"/>
                <w:szCs w:val="18"/>
                <w:color w:val="auto"/>
              </w:rPr>
              <w:t>U.S. treasury securities</w:t>
            </w: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25,827</w:t>
            </w: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25,827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Corporate bonds</w:t>
            </w:r>
          </w:p>
        </w:tc>
        <w:tc>
          <w:tcPr>
            <w:tcW w:w="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right w:val="single" w:sz="8" w:color="CFF0FC"/>
            </w:tcBorders>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24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31,970</w:t>
            </w:r>
          </w:p>
        </w:tc>
        <w:tc>
          <w:tcPr>
            <w:tcW w:w="200" w:type="dxa"/>
            <w:vAlign w:val="bottom"/>
            <w:tcBorders>
              <w:right w:val="single" w:sz="8" w:color="CFF0FC"/>
            </w:tcBorders>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5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right w:val="single" w:sz="8" w:color="CFF0FC"/>
            </w:tcBorders>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31,970</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40" w:type="dxa"/>
            <w:vAlign w:val="bottom"/>
            <w:tcBorders>
              <w:bottom w:val="single" w:sz="8" w:color="CFF0FC"/>
            </w:tcBorders>
          </w:tcPr>
          <w:p>
            <w:pPr>
              <w:ind w:left="260"/>
              <w:spacing w:after="0"/>
              <w:rPr>
                <w:sz w:val="20"/>
                <w:szCs w:val="20"/>
                <w:color w:val="auto"/>
              </w:rPr>
            </w:pPr>
            <w:r>
              <w:rPr>
                <w:rFonts w:ascii="Arial" w:cs="Arial" w:eastAsia="Arial" w:hAnsi="Arial"/>
                <w:sz w:val="18"/>
                <w:szCs w:val="18"/>
                <w:color w:val="auto"/>
              </w:rPr>
              <w:t>Commercial paper</w:t>
            </w:r>
          </w:p>
        </w:tc>
        <w:tc>
          <w:tcPr>
            <w:tcW w:w="2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FF0FC"/>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28,599</w:t>
            </w:r>
          </w:p>
        </w:tc>
        <w:tc>
          <w:tcPr>
            <w:tcW w:w="200" w:type="dxa"/>
            <w:vAlign w:val="bottom"/>
            <w:tcBorders>
              <w:bottom w:val="single" w:sz="8" w:color="CFF0FC"/>
            </w:tcBorders>
          </w:tcPr>
          <w:p>
            <w:pPr>
              <w:spacing w:after="0"/>
              <w:rPr>
                <w:sz w:val="18"/>
                <w:szCs w:val="18"/>
                <w:color w:val="auto"/>
              </w:rPr>
            </w:pPr>
          </w:p>
        </w:tc>
        <w:tc>
          <w:tcPr>
            <w:tcW w:w="102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FF0FC"/>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28,599</w:t>
            </w:r>
          </w:p>
        </w:tc>
        <w:tc>
          <w:tcPr>
            <w:tcW w:w="100" w:type="dxa"/>
            <w:vAlign w:val="bottom"/>
            <w:tcBorders>
              <w:bottom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640" w:type="dxa"/>
            <w:vAlign w:val="bottom"/>
            <w:shd w:val="clear" w:color="auto" w:fill="CFF0FC"/>
          </w:tcPr>
          <w:p>
            <w:pPr>
              <w:spacing w:after="0"/>
              <w:rPr>
                <w:sz w:val="20"/>
                <w:szCs w:val="20"/>
                <w:color w:val="auto"/>
              </w:rPr>
            </w:pPr>
            <w:r>
              <w:rPr>
                <w:rFonts w:ascii="Arial" w:cs="Arial" w:eastAsia="Arial" w:hAnsi="Arial"/>
                <w:sz w:val="18"/>
                <w:szCs w:val="18"/>
                <w:color w:val="auto"/>
              </w:rPr>
              <w:t>Total assets</w:t>
            </w:r>
          </w:p>
        </w:tc>
        <w:tc>
          <w:tcPr>
            <w:tcW w:w="30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57,848</w:t>
            </w:r>
          </w:p>
        </w:tc>
        <w:tc>
          <w:tcPr>
            <w:tcW w:w="520" w:type="dxa"/>
            <w:vAlign w:val="bottom"/>
            <w:gridSpan w:val="2"/>
            <w:shd w:val="clear" w:color="auto" w:fill="CFF0FC"/>
          </w:tcPr>
          <w:p>
            <w:pPr>
              <w:jc w:val="right"/>
              <w:ind w:right="11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60,569</w:t>
            </w:r>
          </w:p>
        </w:tc>
        <w:tc>
          <w:tcPr>
            <w:tcW w:w="1220" w:type="dxa"/>
            <w:vAlign w:val="bottom"/>
            <w:gridSpan w:val="2"/>
            <w:shd w:val="clear" w:color="auto" w:fill="CFF0FC"/>
          </w:tcPr>
          <w:p>
            <w:pPr>
              <w:jc w:val="right"/>
              <w:ind w:right="842"/>
              <w:spacing w:after="0"/>
              <w:rPr>
                <w:sz w:val="20"/>
                <w:szCs w:val="20"/>
                <w:color w:val="auto"/>
              </w:rPr>
            </w:pPr>
            <w:r>
              <w:rPr>
                <w:rFonts w:ascii="Arial" w:cs="Arial" w:eastAsia="Arial" w:hAnsi="Arial"/>
                <w:sz w:val="18"/>
                <w:szCs w:val="18"/>
                <w:color w:val="auto"/>
              </w:rPr>
              <w:t>$</w:t>
            </w:r>
          </w:p>
        </w:tc>
        <w:tc>
          <w:tcPr>
            <w:tcW w:w="5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560" w:type="dxa"/>
            <w:vAlign w:val="bottom"/>
            <w:gridSpan w:val="2"/>
            <w:shd w:val="clear" w:color="auto" w:fill="CFF0FC"/>
          </w:tcPr>
          <w:p>
            <w:pPr>
              <w:jc w:val="right"/>
              <w:ind w:right="150"/>
              <w:spacing w:after="0"/>
              <w:rPr>
                <w:sz w:val="20"/>
                <w:szCs w:val="20"/>
                <w:color w:val="auto"/>
              </w:rPr>
            </w:pPr>
            <w:r>
              <w:rPr>
                <w:rFonts w:ascii="Arial" w:cs="Arial" w:eastAsia="Arial" w:hAnsi="Arial"/>
                <w:sz w:val="18"/>
                <w:szCs w:val="18"/>
                <w:color w:val="auto"/>
              </w:rPr>
              <w:t>$</w:t>
            </w: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118,417</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640" w:type="dxa"/>
            <w:vAlign w:val="bottom"/>
            <w:tcBorders>
              <w:top w:val="single" w:sz="8" w:color="CFF0FC"/>
              <w:bottom w:val="single" w:sz="8" w:color="CFF0FC"/>
            </w:tcBorders>
            <w:vMerge w:val="restart"/>
          </w:tcPr>
          <w:p>
            <w:pPr>
              <w:spacing w:after="0"/>
              <w:rPr>
                <w:sz w:val="20"/>
                <w:szCs w:val="20"/>
                <w:color w:val="auto"/>
              </w:rPr>
            </w:pPr>
            <w:r>
              <w:rPr>
                <w:rFonts w:ascii="Arial" w:cs="Arial" w:eastAsia="Arial" w:hAnsi="Arial"/>
                <w:sz w:val="18"/>
                <w:szCs w:val="18"/>
                <w:color w:val="auto"/>
              </w:rPr>
              <w:t>Liabilities</w:t>
            </w:r>
          </w:p>
        </w:tc>
        <w:tc>
          <w:tcPr>
            <w:tcW w:w="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FF0FC"/>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4640" w:type="dxa"/>
            <w:vAlign w:val="bottom"/>
            <w:vMerge w:val="continue"/>
          </w:tcPr>
          <w:p>
            <w:pPr>
              <w:spacing w:after="0"/>
              <w:rPr>
                <w:sz w:val="17"/>
                <w:szCs w:val="17"/>
                <w:color w:val="auto"/>
              </w:rPr>
            </w:pPr>
          </w:p>
        </w:tc>
        <w:tc>
          <w:tcPr>
            <w:tcW w:w="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6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Contingent consideration</w:t>
            </w:r>
          </w:p>
        </w:tc>
        <w:tc>
          <w:tcPr>
            <w:tcW w:w="300" w:type="dxa"/>
            <w:vAlign w:val="bottom"/>
            <w:tcBorders>
              <w:bottom w:val="single" w:sz="8" w:color="auto"/>
            </w:tcBorders>
            <w:gridSpan w:val="2"/>
            <w:shd w:val="clear" w:color="auto" w:fill="CFF0FC"/>
          </w:tcPr>
          <w:p>
            <w:pPr>
              <w:jc w:val="right"/>
              <w:ind w:right="20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right w:val="single" w:sz="8" w:color="CFF0FC"/>
            </w:tcBorders>
            <w:shd w:val="clear" w:color="auto" w:fill="CFF0FC"/>
          </w:tcPr>
          <w:p>
            <w:pPr>
              <w:spacing w:after="0"/>
              <w:rPr>
                <w:sz w:val="18"/>
                <w:szCs w:val="18"/>
                <w:color w:val="auto"/>
              </w:rPr>
            </w:pPr>
          </w:p>
        </w:tc>
        <w:tc>
          <w:tcPr>
            <w:tcW w:w="300" w:type="dxa"/>
            <w:vAlign w:val="bottom"/>
            <w:tcBorders>
              <w:bottom w:val="single" w:sz="8" w:color="auto"/>
            </w:tcBorders>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auto"/>
            </w:tcBorders>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w:t>
            </w:r>
          </w:p>
        </w:tc>
        <w:tc>
          <w:tcPr>
            <w:tcW w:w="200" w:type="dxa"/>
            <w:vAlign w:val="bottom"/>
            <w:tcBorders>
              <w:right w:val="single" w:sz="8" w:color="CFF0FC"/>
            </w:tcBorders>
            <w:shd w:val="clear" w:color="auto" w:fill="CFF0FC"/>
          </w:tcPr>
          <w:p>
            <w:pPr>
              <w:spacing w:after="0"/>
              <w:rPr>
                <w:sz w:val="18"/>
                <w:szCs w:val="18"/>
                <w:color w:val="auto"/>
              </w:rPr>
            </w:pPr>
          </w:p>
        </w:tc>
        <w:tc>
          <w:tcPr>
            <w:tcW w:w="1020" w:type="dxa"/>
            <w:vAlign w:val="bottom"/>
            <w:tcBorders>
              <w:bottom w:val="single" w:sz="8" w:color="auto"/>
            </w:tcBorders>
            <w:shd w:val="clear" w:color="auto" w:fill="CFF0FC"/>
          </w:tcPr>
          <w:p>
            <w:pPr>
              <w:jc w:val="right"/>
              <w:ind w:right="842"/>
              <w:spacing w:after="0"/>
              <w:rPr>
                <w:sz w:val="20"/>
                <w:szCs w:val="20"/>
                <w:color w:val="auto"/>
              </w:rPr>
            </w:pPr>
            <w:r>
              <w:rPr>
                <w:rFonts w:ascii="Arial" w:cs="Arial" w:eastAsia="Arial" w:hAnsi="Arial"/>
                <w:sz w:val="18"/>
                <w:szCs w:val="18"/>
                <w:color w:val="auto"/>
                <w:w w:val="79"/>
              </w:rPr>
              <w:t>$</w:t>
            </w:r>
          </w:p>
        </w:tc>
        <w:tc>
          <w:tcPr>
            <w:tcW w:w="5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6,316</w:t>
            </w:r>
          </w:p>
        </w:tc>
        <w:tc>
          <w:tcPr>
            <w:tcW w:w="220" w:type="dxa"/>
            <w:vAlign w:val="bottom"/>
            <w:tcBorders>
              <w:right w:val="single" w:sz="8" w:color="CFF0FC"/>
            </w:tcBorders>
            <w:shd w:val="clear" w:color="auto" w:fill="CFF0FC"/>
          </w:tcPr>
          <w:p>
            <w:pPr>
              <w:spacing w:after="0"/>
              <w:rPr>
                <w:sz w:val="18"/>
                <w:szCs w:val="18"/>
                <w:color w:val="auto"/>
              </w:rPr>
            </w:pPr>
          </w:p>
        </w:tc>
        <w:tc>
          <w:tcPr>
            <w:tcW w:w="340" w:type="dxa"/>
            <w:vAlign w:val="bottom"/>
            <w:tcBorders>
              <w:bottom w:val="single" w:sz="8" w:color="auto"/>
            </w:tcBorders>
            <w:shd w:val="clear" w:color="auto" w:fill="CFF0FC"/>
          </w:tcPr>
          <w:p>
            <w:pPr>
              <w:jc w:val="right"/>
              <w:ind w:right="15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6,316</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640" w:type="dxa"/>
            <w:vAlign w:val="bottom"/>
          </w:tcPr>
          <w:p>
            <w:pPr>
              <w:spacing w:after="0"/>
              <w:rPr>
                <w:sz w:val="20"/>
                <w:szCs w:val="20"/>
                <w:color w:val="auto"/>
              </w:rPr>
            </w:pPr>
            <w:r>
              <w:rPr>
                <w:rFonts w:ascii="Arial" w:cs="Arial" w:eastAsia="Arial" w:hAnsi="Arial"/>
                <w:sz w:val="18"/>
                <w:szCs w:val="18"/>
                <w:color w:val="auto"/>
              </w:rPr>
              <w:t>Total liabilities</w:t>
            </w:r>
          </w:p>
        </w:tc>
        <w:tc>
          <w:tcPr>
            <w:tcW w:w="300" w:type="dxa"/>
            <w:vAlign w:val="bottom"/>
            <w:gridSpan w:val="2"/>
          </w:tcPr>
          <w:p>
            <w:pPr>
              <w:jc w:val="right"/>
              <w:ind w:right="200"/>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w:t>
            </w:r>
          </w:p>
        </w:tc>
        <w:tc>
          <w:tcPr>
            <w:tcW w:w="520" w:type="dxa"/>
            <w:vAlign w:val="bottom"/>
            <w:gridSpan w:val="2"/>
          </w:tcPr>
          <w:p>
            <w:pPr>
              <w:jc w:val="right"/>
              <w:ind w:right="110"/>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842"/>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6,316</w:t>
            </w:r>
          </w:p>
        </w:tc>
        <w:tc>
          <w:tcPr>
            <w:tcW w:w="560" w:type="dxa"/>
            <w:vAlign w:val="bottom"/>
            <w:gridSpan w:val="2"/>
          </w:tcPr>
          <w:p>
            <w:pPr>
              <w:jc w:val="right"/>
              <w:ind w:right="150"/>
              <w:spacing w:after="0"/>
              <w:rPr>
                <w:sz w:val="20"/>
                <w:szCs w:val="20"/>
                <w:color w:val="auto"/>
              </w:rPr>
            </w:pPr>
            <w:r>
              <w:rPr>
                <w:rFonts w:ascii="Arial" w:cs="Arial" w:eastAsia="Arial" w:hAnsi="Arial"/>
                <w:sz w:val="18"/>
                <w:szCs w:val="18"/>
                <w:color w:val="auto"/>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6,316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64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99"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following table summarizes the changes in the contingent consideration liability (in thousands):</w:t>
      </w:r>
    </w:p>
    <w:p>
      <w:pPr>
        <w:spacing w:after="0" w:line="280"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3600" w:type="dxa"/>
            <w:vAlign w:val="bottom"/>
          </w:tcPr>
          <w:p>
            <w:pPr>
              <w:spacing w:after="0"/>
              <w:rPr>
                <w:sz w:val="15"/>
                <w:szCs w:val="15"/>
                <w:color w:val="auto"/>
              </w:rPr>
            </w:pPr>
          </w:p>
        </w:tc>
        <w:tc>
          <w:tcPr>
            <w:tcW w:w="1880" w:type="dxa"/>
            <w:vAlign w:val="bottom"/>
          </w:tcPr>
          <w:p>
            <w:pPr>
              <w:spacing w:after="0"/>
              <w:rPr>
                <w:sz w:val="15"/>
                <w:szCs w:val="15"/>
                <w:color w:val="auto"/>
              </w:rPr>
            </w:pPr>
          </w:p>
        </w:tc>
        <w:tc>
          <w:tcPr>
            <w:tcW w:w="110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84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rPr>
              <w:t>Year Ended December 31,</w:t>
            </w:r>
          </w:p>
        </w:tc>
        <w:tc>
          <w:tcPr>
            <w:tcW w:w="120" w:type="dxa"/>
            <w:vAlign w:val="bottom"/>
            <w:tcBorders>
              <w:bottom w:val="single" w:sz="8" w:color="auto"/>
            </w:tcBorders>
          </w:tcPr>
          <w:p>
            <w:pPr>
              <w:spacing w:after="0"/>
              <w:rPr>
                <w:sz w:val="15"/>
                <w:szCs w:val="15"/>
                <w:color w:val="auto"/>
              </w:rPr>
            </w:pPr>
          </w:p>
        </w:tc>
        <w:tc>
          <w:tcPr>
            <w:tcW w:w="440" w:type="dxa"/>
            <w:vAlign w:val="bottom"/>
            <w:tcBorders>
              <w:bottom w:val="single" w:sz="8" w:color="auto"/>
            </w:tcBorders>
          </w:tcPr>
          <w:p>
            <w:pPr>
              <w:spacing w:after="0"/>
              <w:rPr>
                <w:sz w:val="15"/>
                <w:szCs w:val="15"/>
                <w:color w:val="auto"/>
              </w:rPr>
            </w:pPr>
          </w:p>
        </w:tc>
        <w:tc>
          <w:tcPr>
            <w:tcW w:w="142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r>
      <w:tr>
        <w:trPr>
          <w:trHeight w:val="169"/>
        </w:trPr>
        <w:tc>
          <w:tcPr>
            <w:tcW w:w="3600" w:type="dxa"/>
            <w:vAlign w:val="bottom"/>
            <w:tcBorders>
              <w:bottom w:val="single" w:sz="8" w:color="CFF0FC"/>
            </w:tcBorders>
          </w:tcPr>
          <w:p>
            <w:pPr>
              <w:spacing w:after="0"/>
              <w:rPr>
                <w:sz w:val="14"/>
                <w:szCs w:val="14"/>
                <w:color w:val="auto"/>
              </w:rPr>
            </w:pPr>
          </w:p>
        </w:tc>
        <w:tc>
          <w:tcPr>
            <w:tcW w:w="1880" w:type="dxa"/>
            <w:vAlign w:val="bottom"/>
            <w:tcBorders>
              <w:bottom w:val="single" w:sz="8" w:color="CFF0FC"/>
            </w:tcBorders>
          </w:tcPr>
          <w:p>
            <w:pPr>
              <w:spacing w:after="0"/>
              <w:rPr>
                <w:sz w:val="14"/>
                <w:szCs w:val="14"/>
                <w:color w:val="auto"/>
              </w:rPr>
            </w:pPr>
          </w:p>
        </w:tc>
        <w:tc>
          <w:tcPr>
            <w:tcW w:w="11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2019</w:t>
            </w:r>
          </w:p>
        </w:tc>
        <w:tc>
          <w:tcPr>
            <w:tcW w:w="580" w:type="dxa"/>
            <w:vAlign w:val="bottom"/>
            <w:tcBorders>
              <w:bottom w:val="single" w:sz="8" w:color="auto"/>
            </w:tcBorders>
          </w:tcPr>
          <w:p>
            <w:pPr>
              <w:spacing w:after="0"/>
              <w:rPr>
                <w:sz w:val="14"/>
                <w:szCs w:val="14"/>
                <w:color w:val="auto"/>
              </w:rPr>
            </w:pPr>
          </w:p>
        </w:tc>
        <w:tc>
          <w:tcPr>
            <w:tcW w:w="240" w:type="dxa"/>
            <w:vAlign w:val="bottom"/>
            <w:tcBorders>
              <w:bottom w:val="single" w:sz="8" w:color="CFF0FC"/>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740" w:type="dxa"/>
            <w:vAlign w:val="bottom"/>
            <w:tcBorders>
              <w:bottom w:val="single" w:sz="8" w:color="auto"/>
            </w:tcBorders>
          </w:tcPr>
          <w:p>
            <w:pPr>
              <w:jc w:val="right"/>
              <w:ind w:right="697"/>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FF0FC"/>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1420" w:type="dxa"/>
            <w:vAlign w:val="bottom"/>
            <w:tcBorders>
              <w:bottom w:val="single" w:sz="8" w:color="auto"/>
            </w:tcBorders>
          </w:tcPr>
          <w:p>
            <w:pPr>
              <w:jc w:val="right"/>
              <w:ind w:right="694"/>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FF0FC"/>
            </w:tcBorders>
          </w:tcPr>
          <w:p>
            <w:pPr>
              <w:spacing w:after="0"/>
              <w:rPr>
                <w:sz w:val="14"/>
                <w:szCs w:val="14"/>
                <w:color w:val="auto"/>
              </w:rPr>
            </w:pPr>
          </w:p>
        </w:tc>
      </w:tr>
      <w:tr>
        <w:trPr>
          <w:trHeight w:val="210"/>
        </w:trPr>
        <w:tc>
          <w:tcPr>
            <w:tcW w:w="3600" w:type="dxa"/>
            <w:vAlign w:val="bottom"/>
            <w:shd w:val="clear" w:color="auto" w:fill="CFF0FC"/>
          </w:tcPr>
          <w:p>
            <w:pPr>
              <w:spacing w:after="0"/>
              <w:rPr>
                <w:sz w:val="20"/>
                <w:szCs w:val="20"/>
                <w:color w:val="auto"/>
              </w:rPr>
            </w:pPr>
            <w:r>
              <w:rPr>
                <w:rFonts w:ascii="Arial" w:cs="Arial" w:eastAsia="Arial" w:hAnsi="Arial"/>
                <w:sz w:val="18"/>
                <w:szCs w:val="18"/>
                <w:color w:val="auto"/>
              </w:rPr>
              <w:t>Beginning fair value</w:t>
            </w:r>
          </w:p>
        </w:tc>
        <w:tc>
          <w:tcPr>
            <w:tcW w:w="2980" w:type="dxa"/>
            <w:vAlign w:val="bottom"/>
            <w:gridSpan w:val="2"/>
            <w:shd w:val="clear" w:color="auto" w:fill="CFF0FC"/>
          </w:tcPr>
          <w:p>
            <w:pPr>
              <w:jc w:val="right"/>
              <w:ind w:right="928"/>
              <w:spacing w:after="0"/>
              <w:rPr>
                <w:sz w:val="20"/>
                <w:szCs w:val="20"/>
                <w:color w:val="auto"/>
              </w:rPr>
            </w:pPr>
            <w:r>
              <w:rPr>
                <w:rFonts w:ascii="Arial" w:cs="Arial" w:eastAsia="Arial" w:hAnsi="Arial"/>
                <w:sz w:val="18"/>
                <w:szCs w:val="18"/>
                <w:color w:val="auto"/>
              </w:rPr>
              <w:t>$</w:t>
            </w:r>
          </w:p>
        </w:tc>
        <w:tc>
          <w:tcPr>
            <w:tcW w:w="5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6,316</w:t>
            </w:r>
          </w:p>
        </w:tc>
        <w:tc>
          <w:tcPr>
            <w:tcW w:w="240" w:type="dxa"/>
            <w:vAlign w:val="bottom"/>
            <w:shd w:val="clear" w:color="auto" w:fill="CFF0FC"/>
          </w:tcPr>
          <w:p>
            <w:pPr>
              <w:spacing w:after="0"/>
              <w:rPr>
                <w:sz w:val="18"/>
                <w:szCs w:val="18"/>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5,866</w:t>
            </w:r>
          </w:p>
        </w:tc>
        <w:tc>
          <w:tcPr>
            <w:tcW w:w="100" w:type="dxa"/>
            <w:vAlign w:val="bottom"/>
            <w:shd w:val="clear" w:color="auto" w:fill="CFF0FC"/>
          </w:tcPr>
          <w:p>
            <w:pPr>
              <w:spacing w:after="0"/>
              <w:rPr>
                <w:sz w:val="18"/>
                <w:szCs w:val="18"/>
                <w:color w:val="auto"/>
              </w:rPr>
            </w:pPr>
          </w:p>
        </w:tc>
        <w:tc>
          <w:tcPr>
            <w:tcW w:w="560" w:type="dxa"/>
            <w:vAlign w:val="bottom"/>
            <w:gridSpan w:val="2"/>
            <w:shd w:val="clear" w:color="auto" w:fill="CFF0FC"/>
          </w:tcPr>
          <w:p>
            <w:pPr>
              <w:jc w:val="right"/>
              <w:ind w:right="340"/>
              <w:spacing w:after="0"/>
              <w:rPr>
                <w:sz w:val="20"/>
                <w:szCs w:val="20"/>
                <w:color w:val="auto"/>
              </w:rPr>
            </w:pPr>
            <w:r>
              <w:rPr>
                <w:rFonts w:ascii="Arial" w:cs="Arial" w:eastAsia="Arial" w:hAnsi="Arial"/>
                <w:sz w:val="18"/>
                <w:szCs w:val="18"/>
                <w:color w:val="auto"/>
              </w:rPr>
              <w:t>$</w:t>
            </w:r>
          </w:p>
        </w:tc>
        <w:tc>
          <w:tcPr>
            <w:tcW w:w="1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5,238</w:t>
            </w:r>
          </w:p>
        </w:tc>
        <w:tc>
          <w:tcPr>
            <w:tcW w:w="100" w:type="dxa"/>
            <w:vAlign w:val="bottom"/>
            <w:shd w:val="clear" w:color="auto" w:fill="CFF0FC"/>
          </w:tcPr>
          <w:p>
            <w:pPr>
              <w:spacing w:after="0"/>
              <w:rPr>
                <w:sz w:val="18"/>
                <w:szCs w:val="18"/>
                <w:color w:val="auto"/>
              </w:rPr>
            </w:pPr>
          </w:p>
        </w:tc>
      </w:tr>
      <w:tr>
        <w:trPr>
          <w:trHeight w:val="216"/>
        </w:trPr>
        <w:tc>
          <w:tcPr>
            <w:tcW w:w="3600" w:type="dxa"/>
            <w:vAlign w:val="bottom"/>
            <w:tcBorders>
              <w:bottom w:val="single" w:sz="8" w:color="CFF0FC"/>
            </w:tcBorders>
          </w:tcPr>
          <w:p>
            <w:pPr>
              <w:ind w:left="140"/>
              <w:spacing w:after="0"/>
              <w:rPr>
                <w:sz w:val="20"/>
                <w:szCs w:val="20"/>
                <w:color w:val="auto"/>
              </w:rPr>
            </w:pPr>
            <w:r>
              <w:rPr>
                <w:rFonts w:ascii="Arial" w:cs="Arial" w:eastAsia="Arial" w:hAnsi="Arial"/>
                <w:sz w:val="18"/>
                <w:szCs w:val="18"/>
                <w:color w:val="auto"/>
              </w:rPr>
              <w:t>Change in fair value</w:t>
            </w:r>
          </w:p>
        </w:tc>
        <w:tc>
          <w:tcPr>
            <w:tcW w:w="1880" w:type="dxa"/>
            <w:vAlign w:val="bottom"/>
            <w:tcBorders>
              <w:bottom w:val="single" w:sz="8" w:color="CFF0FC"/>
            </w:tcBorders>
          </w:tcPr>
          <w:p>
            <w:pPr>
              <w:spacing w:after="0"/>
              <w:rPr>
                <w:sz w:val="18"/>
                <w:szCs w:val="18"/>
                <w:color w:val="auto"/>
              </w:rPr>
            </w:pPr>
          </w:p>
        </w:tc>
        <w:tc>
          <w:tcPr>
            <w:tcW w:w="110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w:t>
            </w:r>
          </w:p>
        </w:tc>
        <w:tc>
          <w:tcPr>
            <w:tcW w:w="240" w:type="dxa"/>
            <w:vAlign w:val="bottom"/>
            <w:tcBorders>
              <w:bottom w:val="single" w:sz="8" w:color="CFF0FC"/>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450</w:t>
            </w:r>
          </w:p>
        </w:tc>
        <w:tc>
          <w:tcPr>
            <w:tcW w:w="100" w:type="dxa"/>
            <w:vAlign w:val="bottom"/>
            <w:tcBorders>
              <w:bottom w:val="single" w:sz="8" w:color="CFF0FC"/>
            </w:tcBorders>
          </w:tcPr>
          <w:p>
            <w:pPr>
              <w:spacing w:after="0"/>
              <w:rPr>
                <w:sz w:val="18"/>
                <w:szCs w:val="18"/>
                <w:color w:val="auto"/>
              </w:rPr>
            </w:pPr>
          </w:p>
        </w:tc>
        <w:tc>
          <w:tcPr>
            <w:tcW w:w="120" w:type="dxa"/>
            <w:vAlign w:val="bottom"/>
            <w:tcBorders>
              <w:bottom w:val="single" w:sz="8" w:color="CFF0FC"/>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628</w:t>
            </w:r>
          </w:p>
        </w:tc>
        <w:tc>
          <w:tcPr>
            <w:tcW w:w="100" w:type="dxa"/>
            <w:vAlign w:val="bottom"/>
            <w:tcBorders>
              <w:bottom w:val="single" w:sz="8" w:color="CFF0FC"/>
            </w:tcBorders>
          </w:tcPr>
          <w:p>
            <w:pPr>
              <w:spacing w:after="0"/>
              <w:rPr>
                <w:sz w:val="18"/>
                <w:szCs w:val="18"/>
                <w:color w:val="auto"/>
              </w:rPr>
            </w:pPr>
          </w:p>
        </w:tc>
      </w:tr>
      <w:tr>
        <w:trPr>
          <w:trHeight w:val="210"/>
        </w:trPr>
        <w:tc>
          <w:tcPr>
            <w:tcW w:w="3600" w:type="dxa"/>
            <w:vAlign w:val="bottom"/>
            <w:shd w:val="clear" w:color="auto" w:fill="CFF0FC"/>
          </w:tcPr>
          <w:p>
            <w:pPr>
              <w:spacing w:after="0"/>
              <w:rPr>
                <w:sz w:val="20"/>
                <w:szCs w:val="20"/>
                <w:color w:val="auto"/>
              </w:rPr>
            </w:pPr>
            <w:r>
              <w:rPr>
                <w:rFonts w:ascii="Arial" w:cs="Arial" w:eastAsia="Arial" w:hAnsi="Arial"/>
                <w:sz w:val="18"/>
                <w:szCs w:val="18"/>
                <w:color w:val="auto"/>
              </w:rPr>
              <w:t>Ending fair value</w:t>
            </w:r>
          </w:p>
        </w:tc>
        <w:tc>
          <w:tcPr>
            <w:tcW w:w="2980" w:type="dxa"/>
            <w:vAlign w:val="bottom"/>
            <w:gridSpan w:val="2"/>
            <w:shd w:val="clear" w:color="auto" w:fill="CFF0FC"/>
          </w:tcPr>
          <w:p>
            <w:pPr>
              <w:jc w:val="right"/>
              <w:ind w:right="928"/>
              <w:spacing w:after="0"/>
              <w:rPr>
                <w:sz w:val="20"/>
                <w:szCs w:val="20"/>
                <w:color w:val="auto"/>
              </w:rPr>
            </w:pPr>
            <w:r>
              <w:rPr>
                <w:rFonts w:ascii="Arial" w:cs="Arial" w:eastAsia="Arial" w:hAnsi="Arial"/>
                <w:sz w:val="18"/>
                <w:szCs w:val="18"/>
                <w:color w:val="auto"/>
              </w:rPr>
              <w:t>$</w:t>
            </w:r>
          </w:p>
        </w:tc>
        <w:tc>
          <w:tcPr>
            <w:tcW w:w="5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6,362</w:t>
            </w:r>
          </w:p>
        </w:tc>
        <w:tc>
          <w:tcPr>
            <w:tcW w:w="240" w:type="dxa"/>
            <w:vAlign w:val="bottom"/>
            <w:shd w:val="clear" w:color="auto" w:fill="CFF0FC"/>
          </w:tcPr>
          <w:p>
            <w:pPr>
              <w:spacing w:after="0"/>
              <w:rPr>
                <w:sz w:val="18"/>
                <w:szCs w:val="18"/>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6,316</w:t>
            </w:r>
          </w:p>
        </w:tc>
        <w:tc>
          <w:tcPr>
            <w:tcW w:w="100" w:type="dxa"/>
            <w:vAlign w:val="bottom"/>
            <w:shd w:val="clear" w:color="auto" w:fill="CFF0FC"/>
          </w:tcPr>
          <w:p>
            <w:pPr>
              <w:spacing w:after="0"/>
              <w:rPr>
                <w:sz w:val="18"/>
                <w:szCs w:val="18"/>
                <w:color w:val="auto"/>
              </w:rPr>
            </w:pPr>
          </w:p>
        </w:tc>
        <w:tc>
          <w:tcPr>
            <w:tcW w:w="560" w:type="dxa"/>
            <w:vAlign w:val="bottom"/>
            <w:gridSpan w:val="2"/>
            <w:shd w:val="clear" w:color="auto" w:fill="CFF0FC"/>
          </w:tcPr>
          <w:p>
            <w:pPr>
              <w:jc w:val="right"/>
              <w:ind w:right="340"/>
              <w:spacing w:after="0"/>
              <w:rPr>
                <w:sz w:val="20"/>
                <w:szCs w:val="20"/>
                <w:color w:val="auto"/>
              </w:rPr>
            </w:pPr>
            <w:r>
              <w:rPr>
                <w:rFonts w:ascii="Arial" w:cs="Arial" w:eastAsia="Arial" w:hAnsi="Arial"/>
                <w:sz w:val="18"/>
                <w:szCs w:val="18"/>
                <w:color w:val="auto"/>
              </w:rPr>
              <w:t>$</w:t>
            </w:r>
          </w:p>
        </w:tc>
        <w:tc>
          <w:tcPr>
            <w:tcW w:w="1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5,866</w:t>
            </w:r>
          </w:p>
        </w:tc>
        <w:tc>
          <w:tcPr>
            <w:tcW w:w="100" w:type="dxa"/>
            <w:vAlign w:val="bottom"/>
            <w:shd w:val="clear" w:color="auto" w:fill="CFF0FC"/>
          </w:tcPr>
          <w:p>
            <w:pPr>
              <w:spacing w:after="0"/>
              <w:rPr>
                <w:sz w:val="18"/>
                <w:szCs w:val="18"/>
                <w:color w:val="auto"/>
              </w:rPr>
            </w:pPr>
          </w:p>
        </w:tc>
      </w:tr>
      <w:tr>
        <w:trPr>
          <w:trHeight w:val="20"/>
        </w:trPr>
        <w:tc>
          <w:tcPr>
            <w:tcW w:w="3600" w:type="dxa"/>
            <w:vAlign w:val="bottom"/>
            <w:tcBorders>
              <w:top w:val="single" w:sz="8" w:color="CFF0FC"/>
            </w:tcBorders>
          </w:tcPr>
          <w:p>
            <w:pPr>
              <w:spacing w:after="0" w:line="20" w:lineRule="exact"/>
              <w:rPr>
                <w:sz w:val="1"/>
                <w:szCs w:val="1"/>
                <w:color w:val="auto"/>
              </w:rPr>
            </w:pPr>
          </w:p>
        </w:tc>
        <w:tc>
          <w:tcPr>
            <w:tcW w:w="1880" w:type="dxa"/>
            <w:vAlign w:val="bottom"/>
            <w:tcBorders>
              <w:top w:val="single" w:sz="8" w:color="CFF0FC"/>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r>
    </w:tbl>
    <w:p>
      <w:pPr>
        <w:spacing w:after="0" w:line="32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Note 8—Property and Equipment</w:t>
      </w:r>
    </w:p>
    <w:p>
      <w:pPr>
        <w:spacing w:after="0" w:line="126" w:lineRule="exact"/>
        <w:rPr>
          <w:sz w:val="20"/>
          <w:szCs w:val="20"/>
          <w:color w:val="auto"/>
        </w:rPr>
      </w:pPr>
    </w:p>
    <w:p>
      <w:pPr>
        <w:ind w:left="520"/>
        <w:spacing w:after="0"/>
        <w:rPr>
          <w:sz w:val="20"/>
          <w:szCs w:val="20"/>
          <w:color w:val="auto"/>
        </w:rPr>
      </w:pPr>
      <w:r>
        <w:rPr>
          <w:rFonts w:ascii="Arial" w:cs="Arial" w:eastAsia="Arial" w:hAnsi="Arial"/>
          <w:sz w:val="18"/>
          <w:szCs w:val="18"/>
          <w:color w:val="auto"/>
        </w:rPr>
        <w:t>Property and equipment consisted of the following (in thousands):</w:t>
      </w:r>
    </w:p>
    <w:p>
      <w:pPr>
        <w:spacing w:after="0" w:line="280"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476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560" w:type="dxa"/>
            <w:vAlign w:val="bottom"/>
            <w:tcBorders>
              <w:bottom w:val="single" w:sz="8" w:color="auto"/>
            </w:tcBorders>
          </w:tcPr>
          <w:p>
            <w:pPr>
              <w:spacing w:after="0"/>
              <w:rPr>
                <w:sz w:val="15"/>
                <w:szCs w:val="15"/>
                <w:color w:val="auto"/>
              </w:rPr>
            </w:pPr>
          </w:p>
        </w:tc>
        <w:tc>
          <w:tcPr>
            <w:tcW w:w="2800" w:type="dxa"/>
            <w:vAlign w:val="bottom"/>
            <w:tcBorders>
              <w:bottom w:val="single" w:sz="8" w:color="auto"/>
            </w:tcBorders>
            <w:gridSpan w:val="3"/>
          </w:tcPr>
          <w:p>
            <w:pPr>
              <w:jc w:val="right"/>
              <w:ind w:right="270"/>
              <w:spacing w:after="0"/>
              <w:rPr>
                <w:sz w:val="20"/>
                <w:szCs w:val="20"/>
                <w:color w:val="auto"/>
              </w:rPr>
            </w:pPr>
            <w:r>
              <w:rPr>
                <w:rFonts w:ascii="Arial" w:cs="Arial" w:eastAsia="Arial" w:hAnsi="Arial"/>
                <w:sz w:val="14"/>
                <w:szCs w:val="14"/>
                <w:b w:val="1"/>
                <w:bCs w:val="1"/>
                <w:color w:val="auto"/>
              </w:rPr>
              <w:t>December 31,</w:t>
            </w:r>
          </w:p>
        </w:tc>
        <w:tc>
          <w:tcPr>
            <w:tcW w:w="172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4760" w:type="dxa"/>
            <w:vAlign w:val="bottom"/>
            <w:tcBorders>
              <w:bottom w:val="single" w:sz="8" w:color="CFF0FC"/>
            </w:tcBorders>
          </w:tcPr>
          <w:p>
            <w:pPr>
              <w:spacing w:after="0"/>
              <w:rPr>
                <w:sz w:val="18"/>
                <w:szCs w:val="18"/>
                <w:color w:val="auto"/>
              </w:rPr>
            </w:pPr>
          </w:p>
        </w:tc>
        <w:tc>
          <w:tcPr>
            <w:tcW w:w="1480" w:type="dxa"/>
            <w:vAlign w:val="bottom"/>
            <w:tcBorders>
              <w:bottom w:val="single" w:sz="8" w:color="CFF0FC"/>
            </w:tcBorders>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1800" w:type="dxa"/>
            <w:vAlign w:val="bottom"/>
            <w:tcBorders>
              <w:bottom w:val="single" w:sz="8" w:color="auto"/>
            </w:tcBorders>
          </w:tcPr>
          <w:p>
            <w:pPr>
              <w:jc w:val="right"/>
              <w:ind w:right="954"/>
              <w:spacing w:after="0"/>
              <w:rPr>
                <w:sz w:val="20"/>
                <w:szCs w:val="20"/>
                <w:color w:val="auto"/>
              </w:rPr>
            </w:pPr>
            <w:r>
              <w:rPr>
                <w:rFonts w:ascii="Arial" w:cs="Arial" w:eastAsia="Arial" w:hAnsi="Arial"/>
                <w:sz w:val="14"/>
                <w:szCs w:val="14"/>
                <w:b w:val="1"/>
                <w:bCs w:val="1"/>
                <w:color w:val="auto"/>
              </w:rPr>
              <w:t>2019</w:t>
            </w:r>
          </w:p>
        </w:tc>
        <w:tc>
          <w:tcPr>
            <w:tcW w:w="340" w:type="dxa"/>
            <w:vAlign w:val="bottom"/>
            <w:tcBorders>
              <w:bottom w:val="single" w:sz="8" w:color="CFF0FC"/>
            </w:tcBorders>
          </w:tcPr>
          <w:p>
            <w:pPr>
              <w:spacing w:after="0"/>
              <w:rPr>
                <w:sz w:val="18"/>
                <w:szCs w:val="18"/>
                <w:color w:val="auto"/>
              </w:rPr>
            </w:pPr>
          </w:p>
        </w:tc>
        <w:tc>
          <w:tcPr>
            <w:tcW w:w="660" w:type="dxa"/>
            <w:vAlign w:val="bottom"/>
            <w:tcBorders>
              <w:bottom w:val="single" w:sz="8" w:color="auto"/>
            </w:tcBorders>
          </w:tcPr>
          <w:p>
            <w:pPr>
              <w:spacing w:after="0"/>
              <w:rPr>
                <w:sz w:val="18"/>
                <w:szCs w:val="18"/>
                <w:color w:val="auto"/>
              </w:rPr>
            </w:pPr>
          </w:p>
        </w:tc>
        <w:tc>
          <w:tcPr>
            <w:tcW w:w="1720" w:type="dxa"/>
            <w:vAlign w:val="bottom"/>
            <w:tcBorders>
              <w:bottom w:val="single" w:sz="8" w:color="auto"/>
            </w:tcBorders>
          </w:tcPr>
          <w:p>
            <w:pPr>
              <w:jc w:val="right"/>
              <w:ind w:right="952"/>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760" w:type="dxa"/>
            <w:vAlign w:val="bottom"/>
            <w:shd w:val="clear" w:color="auto" w:fill="CFF0FC"/>
          </w:tcPr>
          <w:p>
            <w:pPr>
              <w:spacing w:after="0"/>
              <w:rPr>
                <w:sz w:val="20"/>
                <w:szCs w:val="20"/>
                <w:color w:val="auto"/>
              </w:rPr>
            </w:pPr>
            <w:r>
              <w:rPr>
                <w:rFonts w:ascii="Arial" w:cs="Arial" w:eastAsia="Arial" w:hAnsi="Arial"/>
                <w:sz w:val="18"/>
                <w:szCs w:val="18"/>
                <w:color w:val="auto"/>
              </w:rPr>
              <w:t>Computers and equipment</w:t>
            </w:r>
          </w:p>
        </w:tc>
        <w:tc>
          <w:tcPr>
            <w:tcW w:w="2040" w:type="dxa"/>
            <w:vAlign w:val="bottom"/>
            <w:gridSpan w:val="2"/>
            <w:shd w:val="clear" w:color="auto" w:fill="CFF0FC"/>
          </w:tcPr>
          <w:p>
            <w:pPr>
              <w:jc w:val="right"/>
              <w:ind w:right="460"/>
              <w:spacing w:after="0"/>
              <w:rPr>
                <w:sz w:val="20"/>
                <w:szCs w:val="20"/>
                <w:color w:val="auto"/>
              </w:rPr>
            </w:pPr>
            <w:r>
              <w:rPr>
                <w:rFonts w:ascii="Arial" w:cs="Arial" w:eastAsia="Arial" w:hAnsi="Arial"/>
                <w:sz w:val="18"/>
                <w:szCs w:val="18"/>
                <w:color w:val="auto"/>
              </w:rPr>
              <w:t>$</w:t>
            </w:r>
          </w:p>
        </w:tc>
        <w:tc>
          <w:tcPr>
            <w:tcW w:w="1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10,547</w:t>
            </w:r>
          </w:p>
        </w:tc>
        <w:tc>
          <w:tcPr>
            <w:tcW w:w="340" w:type="dxa"/>
            <w:vAlign w:val="bottom"/>
            <w:shd w:val="clear" w:color="auto" w:fill="CFF0FC"/>
          </w:tcPr>
          <w:p>
            <w:pPr>
              <w:spacing w:after="0"/>
              <w:rPr>
                <w:sz w:val="18"/>
                <w:szCs w:val="18"/>
                <w:color w:val="auto"/>
              </w:rPr>
            </w:pPr>
          </w:p>
        </w:tc>
        <w:tc>
          <w:tcPr>
            <w:tcW w:w="660" w:type="dxa"/>
            <w:vAlign w:val="bottom"/>
            <w:shd w:val="clear" w:color="auto" w:fill="CFF0FC"/>
          </w:tcPr>
          <w:p>
            <w:pPr>
              <w:jc w:val="right"/>
              <w:ind w:right="470"/>
              <w:spacing w:after="0"/>
              <w:rPr>
                <w:sz w:val="20"/>
                <w:szCs w:val="20"/>
                <w:color w:val="auto"/>
              </w:rPr>
            </w:pPr>
            <w:r>
              <w:rPr>
                <w:rFonts w:ascii="Arial" w:cs="Arial" w:eastAsia="Arial" w:hAnsi="Arial"/>
                <w:sz w:val="18"/>
                <w:szCs w:val="18"/>
                <w:color w:val="auto"/>
                <w:w w:val="79"/>
              </w:rPr>
              <w:t>$</w:t>
            </w:r>
          </w:p>
        </w:tc>
        <w:tc>
          <w:tcPr>
            <w:tcW w:w="1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6,598</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60" w:type="dxa"/>
            <w:vAlign w:val="bottom"/>
          </w:tcPr>
          <w:p>
            <w:pPr>
              <w:spacing w:after="0"/>
              <w:rPr>
                <w:sz w:val="20"/>
                <w:szCs w:val="20"/>
                <w:color w:val="auto"/>
              </w:rPr>
            </w:pPr>
            <w:r>
              <w:rPr>
                <w:rFonts w:ascii="Arial" w:cs="Arial" w:eastAsia="Arial" w:hAnsi="Arial"/>
                <w:sz w:val="18"/>
                <w:szCs w:val="18"/>
                <w:color w:val="auto"/>
              </w:rPr>
              <w:t>Purchased software</w:t>
            </w:r>
          </w:p>
        </w:tc>
        <w:tc>
          <w:tcPr>
            <w:tcW w:w="14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800" w:type="dxa"/>
            <w:vAlign w:val="bottom"/>
          </w:tcPr>
          <w:p>
            <w:pPr>
              <w:jc w:val="right"/>
              <w:spacing w:after="0"/>
              <w:rPr>
                <w:sz w:val="20"/>
                <w:szCs w:val="20"/>
                <w:color w:val="auto"/>
              </w:rPr>
            </w:pPr>
            <w:r>
              <w:rPr>
                <w:rFonts w:ascii="Arial" w:cs="Arial" w:eastAsia="Arial" w:hAnsi="Arial"/>
                <w:sz w:val="18"/>
                <w:szCs w:val="18"/>
                <w:color w:val="auto"/>
              </w:rPr>
              <w:t>7,745</w:t>
            </w:r>
          </w:p>
        </w:tc>
        <w:tc>
          <w:tcPr>
            <w:tcW w:w="3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720" w:type="dxa"/>
            <w:vAlign w:val="bottom"/>
          </w:tcPr>
          <w:p>
            <w:pPr>
              <w:jc w:val="right"/>
              <w:spacing w:after="0"/>
              <w:rPr>
                <w:sz w:val="20"/>
                <w:szCs w:val="20"/>
                <w:color w:val="auto"/>
              </w:rPr>
            </w:pPr>
            <w:r>
              <w:rPr>
                <w:rFonts w:ascii="Arial" w:cs="Arial" w:eastAsia="Arial" w:hAnsi="Arial"/>
                <w:sz w:val="18"/>
                <w:szCs w:val="18"/>
                <w:color w:val="auto"/>
              </w:rPr>
              <w:t>7,356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60" w:type="dxa"/>
            <w:vAlign w:val="bottom"/>
            <w:shd w:val="clear" w:color="auto" w:fill="CFF0FC"/>
          </w:tcPr>
          <w:p>
            <w:pPr>
              <w:spacing w:after="0"/>
              <w:rPr>
                <w:sz w:val="20"/>
                <w:szCs w:val="20"/>
                <w:color w:val="auto"/>
              </w:rPr>
            </w:pPr>
            <w:r>
              <w:rPr>
                <w:rFonts w:ascii="Arial" w:cs="Arial" w:eastAsia="Arial" w:hAnsi="Arial"/>
                <w:sz w:val="18"/>
                <w:szCs w:val="18"/>
                <w:color w:val="auto"/>
              </w:rPr>
              <w:t>Furniture and fixtures</w:t>
            </w:r>
          </w:p>
        </w:tc>
        <w:tc>
          <w:tcPr>
            <w:tcW w:w="1480" w:type="dxa"/>
            <w:vAlign w:val="bottom"/>
            <w:shd w:val="clear" w:color="auto" w:fill="CFF0FC"/>
          </w:tcPr>
          <w:p>
            <w:pPr>
              <w:spacing w:after="0"/>
              <w:rPr>
                <w:sz w:val="18"/>
                <w:szCs w:val="18"/>
                <w:color w:val="auto"/>
              </w:rPr>
            </w:pPr>
          </w:p>
        </w:tc>
        <w:tc>
          <w:tcPr>
            <w:tcW w:w="560" w:type="dxa"/>
            <w:vAlign w:val="bottom"/>
            <w:shd w:val="clear" w:color="auto" w:fill="CFF0FC"/>
          </w:tcPr>
          <w:p>
            <w:pPr>
              <w:spacing w:after="0"/>
              <w:rPr>
                <w:sz w:val="18"/>
                <w:szCs w:val="18"/>
                <w:color w:val="auto"/>
              </w:rPr>
            </w:pPr>
          </w:p>
        </w:tc>
        <w:tc>
          <w:tcPr>
            <w:tcW w:w="1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2,606</w:t>
            </w:r>
          </w:p>
        </w:tc>
        <w:tc>
          <w:tcPr>
            <w:tcW w:w="340" w:type="dxa"/>
            <w:vAlign w:val="bottom"/>
            <w:shd w:val="clear" w:color="auto" w:fill="CFF0FC"/>
          </w:tcPr>
          <w:p>
            <w:pPr>
              <w:spacing w:after="0"/>
              <w:rPr>
                <w:sz w:val="18"/>
                <w:szCs w:val="18"/>
                <w:color w:val="auto"/>
              </w:rPr>
            </w:pPr>
          </w:p>
        </w:tc>
        <w:tc>
          <w:tcPr>
            <w:tcW w:w="660" w:type="dxa"/>
            <w:vAlign w:val="bottom"/>
            <w:shd w:val="clear" w:color="auto" w:fill="CFF0FC"/>
          </w:tcPr>
          <w:p>
            <w:pPr>
              <w:spacing w:after="0"/>
              <w:rPr>
                <w:sz w:val="18"/>
                <w:szCs w:val="18"/>
                <w:color w:val="auto"/>
              </w:rPr>
            </w:pPr>
          </w:p>
        </w:tc>
        <w:tc>
          <w:tcPr>
            <w:tcW w:w="1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2,571</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60" w:type="dxa"/>
            <w:vAlign w:val="bottom"/>
          </w:tcPr>
          <w:p>
            <w:pPr>
              <w:spacing w:after="0"/>
              <w:rPr>
                <w:sz w:val="20"/>
                <w:szCs w:val="20"/>
                <w:color w:val="auto"/>
              </w:rPr>
            </w:pPr>
            <w:r>
              <w:rPr>
                <w:rFonts w:ascii="Arial" w:cs="Arial" w:eastAsia="Arial" w:hAnsi="Arial"/>
                <w:sz w:val="18"/>
                <w:szCs w:val="18"/>
                <w:color w:val="auto"/>
              </w:rPr>
              <w:t>Leasehold improvements</w:t>
            </w:r>
          </w:p>
        </w:tc>
        <w:tc>
          <w:tcPr>
            <w:tcW w:w="14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800" w:type="dxa"/>
            <w:vAlign w:val="bottom"/>
          </w:tcPr>
          <w:p>
            <w:pPr>
              <w:jc w:val="right"/>
              <w:spacing w:after="0"/>
              <w:rPr>
                <w:sz w:val="20"/>
                <w:szCs w:val="20"/>
                <w:color w:val="auto"/>
              </w:rPr>
            </w:pPr>
            <w:r>
              <w:rPr>
                <w:rFonts w:ascii="Arial" w:cs="Arial" w:eastAsia="Arial" w:hAnsi="Arial"/>
                <w:sz w:val="18"/>
                <w:szCs w:val="18"/>
                <w:color w:val="auto"/>
              </w:rPr>
              <w:t>10,134</w:t>
            </w:r>
          </w:p>
        </w:tc>
        <w:tc>
          <w:tcPr>
            <w:tcW w:w="3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720" w:type="dxa"/>
            <w:vAlign w:val="bottom"/>
          </w:tcPr>
          <w:p>
            <w:pPr>
              <w:jc w:val="right"/>
              <w:spacing w:after="0"/>
              <w:rPr>
                <w:sz w:val="20"/>
                <w:szCs w:val="20"/>
                <w:color w:val="auto"/>
              </w:rPr>
            </w:pPr>
            <w:r>
              <w:rPr>
                <w:rFonts w:ascii="Arial" w:cs="Arial" w:eastAsia="Arial" w:hAnsi="Arial"/>
                <w:sz w:val="18"/>
                <w:szCs w:val="18"/>
                <w:color w:val="auto"/>
              </w:rPr>
              <w:t>10,077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60" w:type="dxa"/>
            <w:vAlign w:val="bottom"/>
            <w:shd w:val="clear" w:color="auto" w:fill="CFF0FC"/>
          </w:tcPr>
          <w:p>
            <w:pPr>
              <w:spacing w:after="0"/>
              <w:rPr>
                <w:sz w:val="20"/>
                <w:szCs w:val="20"/>
                <w:color w:val="auto"/>
              </w:rPr>
            </w:pPr>
            <w:r>
              <w:rPr>
                <w:rFonts w:ascii="Arial" w:cs="Arial" w:eastAsia="Arial" w:hAnsi="Arial"/>
                <w:sz w:val="18"/>
                <w:szCs w:val="18"/>
                <w:color w:val="auto"/>
              </w:rPr>
              <w:t>Construction in progress</w:t>
            </w:r>
          </w:p>
        </w:tc>
        <w:tc>
          <w:tcPr>
            <w:tcW w:w="1480" w:type="dxa"/>
            <w:vAlign w:val="bottom"/>
            <w:shd w:val="clear" w:color="auto" w:fill="CFF0FC"/>
          </w:tcPr>
          <w:p>
            <w:pPr>
              <w:spacing w:after="0"/>
              <w:rPr>
                <w:sz w:val="18"/>
                <w:szCs w:val="18"/>
                <w:color w:val="auto"/>
              </w:rPr>
            </w:pPr>
          </w:p>
        </w:tc>
        <w:tc>
          <w:tcPr>
            <w:tcW w:w="560" w:type="dxa"/>
            <w:vAlign w:val="bottom"/>
            <w:shd w:val="clear" w:color="auto" w:fill="CFF0FC"/>
          </w:tcPr>
          <w:p>
            <w:pPr>
              <w:spacing w:after="0"/>
              <w:rPr>
                <w:sz w:val="18"/>
                <w:szCs w:val="18"/>
                <w:color w:val="auto"/>
              </w:rPr>
            </w:pPr>
          </w:p>
        </w:tc>
        <w:tc>
          <w:tcPr>
            <w:tcW w:w="1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528</w:t>
            </w:r>
          </w:p>
        </w:tc>
        <w:tc>
          <w:tcPr>
            <w:tcW w:w="340" w:type="dxa"/>
            <w:vAlign w:val="bottom"/>
            <w:shd w:val="clear" w:color="auto" w:fill="CFF0FC"/>
          </w:tcPr>
          <w:p>
            <w:pPr>
              <w:spacing w:after="0"/>
              <w:rPr>
                <w:sz w:val="18"/>
                <w:szCs w:val="18"/>
                <w:color w:val="auto"/>
              </w:rPr>
            </w:pPr>
          </w:p>
        </w:tc>
        <w:tc>
          <w:tcPr>
            <w:tcW w:w="660" w:type="dxa"/>
            <w:vAlign w:val="bottom"/>
            <w:shd w:val="clear" w:color="auto" w:fill="CFF0FC"/>
          </w:tcPr>
          <w:p>
            <w:pPr>
              <w:spacing w:after="0"/>
              <w:rPr>
                <w:sz w:val="18"/>
                <w:szCs w:val="18"/>
                <w:color w:val="auto"/>
              </w:rPr>
            </w:pPr>
          </w:p>
        </w:tc>
        <w:tc>
          <w:tcPr>
            <w:tcW w:w="182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476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560" w:type="dxa"/>
            <w:vAlign w:val="bottom"/>
            <w:tcBorders>
              <w:top w:val="single" w:sz="8" w:color="auto"/>
            </w:tcBorders>
          </w:tcPr>
          <w:p>
            <w:pPr>
              <w:spacing w:after="0"/>
              <w:rPr>
                <w:sz w:val="18"/>
                <w:szCs w:val="18"/>
                <w:color w:val="auto"/>
              </w:rPr>
            </w:pPr>
          </w:p>
        </w:tc>
        <w:tc>
          <w:tcPr>
            <w:tcW w:w="1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31,560</w:t>
            </w:r>
          </w:p>
        </w:tc>
        <w:tc>
          <w:tcPr>
            <w:tcW w:w="340" w:type="dxa"/>
            <w:vAlign w:val="bottom"/>
          </w:tcPr>
          <w:p>
            <w:pPr>
              <w:spacing w:after="0"/>
              <w:rPr>
                <w:sz w:val="18"/>
                <w:szCs w:val="18"/>
                <w:color w:val="auto"/>
              </w:rPr>
            </w:pPr>
          </w:p>
        </w:tc>
        <w:tc>
          <w:tcPr>
            <w:tcW w:w="660" w:type="dxa"/>
            <w:vAlign w:val="bottom"/>
            <w:tcBorders>
              <w:top w:val="single" w:sz="8" w:color="auto"/>
            </w:tcBorders>
          </w:tcPr>
          <w:p>
            <w:pPr>
              <w:spacing w:after="0"/>
              <w:rPr>
                <w:sz w:val="18"/>
                <w:szCs w:val="18"/>
                <w:color w:val="auto"/>
              </w:rPr>
            </w:pPr>
          </w:p>
        </w:tc>
        <w:tc>
          <w:tcPr>
            <w:tcW w:w="1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26,602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60" w:type="dxa"/>
            <w:vAlign w:val="bottom"/>
            <w:shd w:val="clear" w:color="auto" w:fill="CFF0FC"/>
          </w:tcPr>
          <w:p>
            <w:pPr>
              <w:spacing w:after="0"/>
              <w:rPr>
                <w:sz w:val="20"/>
                <w:szCs w:val="20"/>
                <w:color w:val="auto"/>
              </w:rPr>
            </w:pPr>
            <w:r>
              <w:rPr>
                <w:rFonts w:ascii="Arial" w:cs="Arial" w:eastAsia="Arial" w:hAnsi="Arial"/>
                <w:sz w:val="18"/>
                <w:szCs w:val="18"/>
                <w:color w:val="auto"/>
              </w:rPr>
              <w:t>Less: accumulated depreciation and amortization</w:t>
            </w:r>
          </w:p>
        </w:tc>
        <w:tc>
          <w:tcPr>
            <w:tcW w:w="1480" w:type="dxa"/>
            <w:vAlign w:val="bottom"/>
            <w:shd w:val="clear" w:color="auto" w:fill="CFF0FC"/>
          </w:tcPr>
          <w:p>
            <w:pPr>
              <w:spacing w:after="0"/>
              <w:rPr>
                <w:sz w:val="18"/>
                <w:szCs w:val="18"/>
                <w:color w:val="auto"/>
              </w:rPr>
            </w:pPr>
          </w:p>
        </w:tc>
        <w:tc>
          <w:tcPr>
            <w:tcW w:w="560" w:type="dxa"/>
            <w:vAlign w:val="bottom"/>
            <w:shd w:val="clear" w:color="auto" w:fill="CFF0FC"/>
          </w:tcPr>
          <w:p>
            <w:pPr>
              <w:spacing w:after="0"/>
              <w:rPr>
                <w:sz w:val="18"/>
                <w:szCs w:val="18"/>
                <w:color w:val="auto"/>
              </w:rPr>
            </w:pPr>
          </w:p>
        </w:tc>
        <w:tc>
          <w:tcPr>
            <w:tcW w:w="2140" w:type="dxa"/>
            <w:vAlign w:val="bottom"/>
            <w:gridSpan w:val="2"/>
            <w:shd w:val="clear" w:color="auto" w:fill="CFF0FC"/>
          </w:tcPr>
          <w:p>
            <w:pPr>
              <w:jc w:val="right"/>
              <w:ind w:right="280"/>
              <w:spacing w:after="0"/>
              <w:rPr>
                <w:sz w:val="20"/>
                <w:szCs w:val="20"/>
                <w:color w:val="auto"/>
              </w:rPr>
            </w:pPr>
            <w:r>
              <w:rPr>
                <w:rFonts w:ascii="Arial" w:cs="Arial" w:eastAsia="Arial" w:hAnsi="Arial"/>
                <w:sz w:val="18"/>
                <w:szCs w:val="18"/>
                <w:color w:val="auto"/>
              </w:rPr>
              <w:t>(18,536)</w:t>
            </w:r>
          </w:p>
        </w:tc>
        <w:tc>
          <w:tcPr>
            <w:tcW w:w="660" w:type="dxa"/>
            <w:vAlign w:val="bottom"/>
            <w:shd w:val="clear" w:color="auto" w:fill="CFF0FC"/>
          </w:tcPr>
          <w:p>
            <w:pPr>
              <w:spacing w:after="0"/>
              <w:rPr>
                <w:sz w:val="18"/>
                <w:szCs w:val="18"/>
                <w:color w:val="auto"/>
              </w:rPr>
            </w:pPr>
          </w:p>
        </w:tc>
        <w:tc>
          <w:tcPr>
            <w:tcW w:w="182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(13,066)</w:t>
            </w:r>
          </w:p>
        </w:tc>
        <w:tc>
          <w:tcPr>
            <w:tcW w:w="0" w:type="dxa"/>
            <w:vAlign w:val="bottom"/>
          </w:tcPr>
          <w:p>
            <w:pPr>
              <w:spacing w:after="0"/>
              <w:rPr>
                <w:sz w:val="1"/>
                <w:szCs w:val="1"/>
                <w:color w:val="auto"/>
              </w:rPr>
            </w:pPr>
          </w:p>
        </w:tc>
      </w:tr>
      <w:tr>
        <w:trPr>
          <w:trHeight w:val="20"/>
        </w:trPr>
        <w:tc>
          <w:tcPr>
            <w:tcW w:w="476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80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7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760" w:type="dxa"/>
            <w:vAlign w:val="bottom"/>
          </w:tcPr>
          <w:p>
            <w:pPr>
              <w:spacing w:after="0"/>
              <w:rPr>
                <w:sz w:val="18"/>
                <w:szCs w:val="18"/>
                <w:color w:val="auto"/>
              </w:rPr>
            </w:pPr>
          </w:p>
        </w:tc>
        <w:tc>
          <w:tcPr>
            <w:tcW w:w="2040" w:type="dxa"/>
            <w:vAlign w:val="bottom"/>
            <w:gridSpan w:val="2"/>
          </w:tcPr>
          <w:p>
            <w:pPr>
              <w:jc w:val="right"/>
              <w:ind w:right="460"/>
              <w:spacing w:after="0"/>
              <w:rPr>
                <w:sz w:val="20"/>
                <w:szCs w:val="20"/>
                <w:color w:val="auto"/>
              </w:rPr>
            </w:pPr>
            <w:r>
              <w:rPr>
                <w:rFonts w:ascii="Arial" w:cs="Arial" w:eastAsia="Arial" w:hAnsi="Arial"/>
                <w:sz w:val="18"/>
                <w:szCs w:val="18"/>
                <w:color w:val="auto"/>
              </w:rPr>
              <w:t>$</w:t>
            </w:r>
          </w:p>
        </w:tc>
        <w:tc>
          <w:tcPr>
            <w:tcW w:w="1800" w:type="dxa"/>
            <w:vAlign w:val="bottom"/>
          </w:tcPr>
          <w:p>
            <w:pPr>
              <w:jc w:val="right"/>
              <w:spacing w:after="0"/>
              <w:rPr>
                <w:sz w:val="20"/>
                <w:szCs w:val="20"/>
                <w:color w:val="auto"/>
              </w:rPr>
            </w:pPr>
            <w:r>
              <w:rPr>
                <w:rFonts w:ascii="Arial" w:cs="Arial" w:eastAsia="Arial" w:hAnsi="Arial"/>
                <w:sz w:val="18"/>
                <w:szCs w:val="18"/>
                <w:color w:val="auto"/>
              </w:rPr>
              <w:t>13,024</w:t>
            </w:r>
          </w:p>
        </w:tc>
        <w:tc>
          <w:tcPr>
            <w:tcW w:w="340" w:type="dxa"/>
            <w:vAlign w:val="bottom"/>
          </w:tcPr>
          <w:p>
            <w:pPr>
              <w:spacing w:after="0"/>
              <w:rPr>
                <w:sz w:val="18"/>
                <w:szCs w:val="18"/>
                <w:color w:val="auto"/>
              </w:rPr>
            </w:pPr>
          </w:p>
        </w:tc>
        <w:tc>
          <w:tcPr>
            <w:tcW w:w="660" w:type="dxa"/>
            <w:vAlign w:val="bottom"/>
          </w:tcPr>
          <w:p>
            <w:pPr>
              <w:jc w:val="right"/>
              <w:ind w:right="470"/>
              <w:spacing w:after="0"/>
              <w:rPr>
                <w:sz w:val="20"/>
                <w:szCs w:val="20"/>
                <w:color w:val="auto"/>
              </w:rPr>
            </w:pPr>
            <w:r>
              <w:rPr>
                <w:rFonts w:ascii="Arial" w:cs="Arial" w:eastAsia="Arial" w:hAnsi="Arial"/>
                <w:sz w:val="18"/>
                <w:szCs w:val="18"/>
                <w:color w:val="auto"/>
                <w:w w:val="79"/>
              </w:rPr>
              <w:t>$</w:t>
            </w:r>
          </w:p>
        </w:tc>
        <w:tc>
          <w:tcPr>
            <w:tcW w:w="1720" w:type="dxa"/>
            <w:vAlign w:val="bottom"/>
          </w:tcPr>
          <w:p>
            <w:pPr>
              <w:jc w:val="right"/>
              <w:spacing w:after="0"/>
              <w:rPr>
                <w:sz w:val="20"/>
                <w:szCs w:val="20"/>
                <w:color w:val="auto"/>
              </w:rPr>
            </w:pPr>
            <w:r>
              <w:rPr>
                <w:rFonts w:ascii="Arial" w:cs="Arial" w:eastAsia="Arial" w:hAnsi="Arial"/>
                <w:sz w:val="18"/>
                <w:szCs w:val="18"/>
                <w:color w:val="auto"/>
              </w:rPr>
              <w:t>13,536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760" w:type="dxa"/>
            <w:vAlign w:val="bottom"/>
          </w:tcPr>
          <w:p>
            <w:pPr>
              <w:spacing w:after="0" w:line="20" w:lineRule="exact"/>
              <w:rPr>
                <w:sz w:val="1"/>
                <w:szCs w:val="1"/>
                <w:color w:val="auto"/>
              </w:rPr>
            </w:pPr>
          </w:p>
        </w:tc>
        <w:tc>
          <w:tcPr>
            <w:tcW w:w="1480" w:type="dxa"/>
            <w:vAlign w:val="bottom"/>
            <w:vMerge w:val="restart"/>
          </w:tcPr>
          <w:p>
            <w:pPr>
              <w:jc w:val="right"/>
              <w:ind w:right="330"/>
              <w:spacing w:after="0"/>
              <w:rPr>
                <w:sz w:val="20"/>
                <w:szCs w:val="20"/>
                <w:color w:val="auto"/>
              </w:rPr>
            </w:pPr>
            <w:r>
              <w:rPr>
                <w:rFonts w:ascii="Arial" w:cs="Arial" w:eastAsia="Arial" w:hAnsi="Arial"/>
                <w:sz w:val="18"/>
                <w:szCs w:val="18"/>
                <w:color w:val="auto"/>
              </w:rPr>
              <w:t>79</w:t>
            </w:r>
          </w:p>
        </w:tc>
        <w:tc>
          <w:tcPr>
            <w:tcW w:w="560" w:type="dxa"/>
            <w:vAlign w:val="bottom"/>
            <w:tcBorders>
              <w:top w:val="single" w:sz="8" w:color="auto"/>
              <w:bottom w:val="single" w:sz="8" w:color="auto"/>
            </w:tcBorders>
          </w:tcPr>
          <w:p>
            <w:pPr>
              <w:spacing w:after="0" w:line="20" w:lineRule="exact"/>
              <w:rPr>
                <w:sz w:val="1"/>
                <w:szCs w:val="1"/>
                <w:color w:val="auto"/>
              </w:rPr>
            </w:pPr>
          </w:p>
        </w:tc>
        <w:tc>
          <w:tcPr>
            <w:tcW w:w="18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56"/>
        </w:trPr>
        <w:tc>
          <w:tcPr>
            <w:tcW w:w="4760" w:type="dxa"/>
            <w:vAlign w:val="bottom"/>
          </w:tcPr>
          <w:p>
            <w:pPr>
              <w:spacing w:after="0"/>
              <w:rPr>
                <w:sz w:val="24"/>
                <w:szCs w:val="24"/>
                <w:color w:val="auto"/>
              </w:rPr>
            </w:pPr>
          </w:p>
        </w:tc>
        <w:tc>
          <w:tcPr>
            <w:tcW w:w="1480" w:type="dxa"/>
            <w:vAlign w:val="bottom"/>
            <w:vMerge w:val="continue"/>
          </w:tcPr>
          <w:p>
            <w:pPr>
              <w:spacing w:after="0"/>
              <w:rPr>
                <w:sz w:val="24"/>
                <w:szCs w:val="24"/>
                <w:color w:val="auto"/>
              </w:rPr>
            </w:pPr>
          </w:p>
        </w:tc>
        <w:tc>
          <w:tcPr>
            <w:tcW w:w="56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2"/>
        </w:trPr>
        <w:tc>
          <w:tcPr>
            <w:tcW w:w="4760" w:type="dxa"/>
            <w:vAlign w:val="bottom"/>
            <w:tcBorders>
              <w:bottom w:val="single" w:sz="8" w:color="9A9A9A"/>
            </w:tcBorders>
          </w:tcPr>
          <w:p>
            <w:pPr>
              <w:spacing w:after="0"/>
              <w:rPr>
                <w:sz w:val="8"/>
                <w:szCs w:val="8"/>
                <w:color w:val="auto"/>
              </w:rPr>
            </w:pPr>
          </w:p>
        </w:tc>
        <w:tc>
          <w:tcPr>
            <w:tcW w:w="1480" w:type="dxa"/>
            <w:vAlign w:val="bottom"/>
            <w:tcBorders>
              <w:bottom w:val="single" w:sz="8" w:color="9A9A9A"/>
            </w:tcBorders>
          </w:tcPr>
          <w:p>
            <w:pPr>
              <w:spacing w:after="0"/>
              <w:rPr>
                <w:sz w:val="8"/>
                <w:szCs w:val="8"/>
                <w:color w:val="auto"/>
              </w:rPr>
            </w:pPr>
          </w:p>
        </w:tc>
        <w:tc>
          <w:tcPr>
            <w:tcW w:w="560" w:type="dxa"/>
            <w:vAlign w:val="bottom"/>
            <w:tcBorders>
              <w:bottom w:val="single" w:sz="8" w:color="9A9A9A"/>
            </w:tcBorders>
          </w:tcPr>
          <w:p>
            <w:pPr>
              <w:spacing w:after="0"/>
              <w:rPr>
                <w:sz w:val="8"/>
                <w:szCs w:val="8"/>
                <w:color w:val="auto"/>
              </w:rPr>
            </w:pPr>
          </w:p>
        </w:tc>
        <w:tc>
          <w:tcPr>
            <w:tcW w:w="1800" w:type="dxa"/>
            <w:vAlign w:val="bottom"/>
            <w:tcBorders>
              <w:bottom w:val="single" w:sz="8" w:color="9A9A9A"/>
            </w:tcBorders>
          </w:tcPr>
          <w:p>
            <w:pPr>
              <w:spacing w:after="0"/>
              <w:rPr>
                <w:sz w:val="8"/>
                <w:szCs w:val="8"/>
                <w:color w:val="auto"/>
              </w:rPr>
            </w:pPr>
          </w:p>
        </w:tc>
        <w:tc>
          <w:tcPr>
            <w:tcW w:w="340" w:type="dxa"/>
            <w:vAlign w:val="bottom"/>
            <w:tcBorders>
              <w:bottom w:val="single" w:sz="8" w:color="9A9A9A"/>
            </w:tcBorders>
          </w:tcPr>
          <w:p>
            <w:pPr>
              <w:spacing w:after="0"/>
              <w:rPr>
                <w:sz w:val="8"/>
                <w:szCs w:val="8"/>
                <w:color w:val="auto"/>
              </w:rPr>
            </w:pPr>
          </w:p>
        </w:tc>
        <w:tc>
          <w:tcPr>
            <w:tcW w:w="660" w:type="dxa"/>
            <w:vAlign w:val="bottom"/>
            <w:tcBorders>
              <w:bottom w:val="single" w:sz="8" w:color="9A9A9A"/>
            </w:tcBorders>
          </w:tcPr>
          <w:p>
            <w:pPr>
              <w:spacing w:after="0"/>
              <w:rPr>
                <w:sz w:val="8"/>
                <w:szCs w:val="8"/>
                <w:color w:val="auto"/>
              </w:rPr>
            </w:pPr>
          </w:p>
        </w:tc>
        <w:tc>
          <w:tcPr>
            <w:tcW w:w="172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7230110</wp:posOffset>
            </wp:positionH>
            <wp:positionV relativeFrom="paragraph">
              <wp:posOffset>-29210</wp:posOffset>
            </wp:positionV>
            <wp:extent cx="34290" cy="425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20"/>
          </w:cols>
          <w:pgMar w:left="240" w:top="657" w:right="239" w:bottom="1440" w:gutter="0" w:footer="0" w:header="0"/>
        </w:sectPr>
      </w:pPr>
    </w:p>
    <w:bookmarkStart w:id="79" w:name="page80"/>
    <w:bookmarkEnd w:id="79"/>
    <w:p>
      <w:pPr>
        <w:ind w:right="240" w:firstLine="518"/>
        <w:spacing w:after="0" w:line="246" w:lineRule="auto"/>
        <w:rPr>
          <w:sz w:val="20"/>
          <w:szCs w:val="20"/>
          <w:color w:val="auto"/>
        </w:rPr>
      </w:pPr>
      <w:r>
        <w:rPr>
          <w:rFonts w:ascii="Arial" w:cs="Arial" w:eastAsia="Arial" w:hAnsi="Arial"/>
          <w:sz w:val="18"/>
          <w:szCs w:val="18"/>
          <w:color w:val="auto"/>
        </w:rPr>
        <w:t>Depreciation and amortization expense related to property and equipment was $6.3 million, $5.4 million, and $4.0 million for the years ended December 31, 2019, 2018, and 2017, respectively.</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Note 9—Convertible Senior Notes</w:t>
      </w:r>
    </w:p>
    <w:p>
      <w:pPr>
        <w:spacing w:after="0" w:line="234" w:lineRule="exact"/>
        <w:rPr>
          <w:sz w:val="20"/>
          <w:szCs w:val="20"/>
          <w:color w:val="auto"/>
        </w:rPr>
      </w:pPr>
    </w:p>
    <w:p>
      <w:pPr>
        <w:ind w:firstLine="588"/>
        <w:spacing w:after="0" w:line="238" w:lineRule="auto"/>
        <w:rPr>
          <w:sz w:val="20"/>
          <w:szCs w:val="20"/>
          <w:color w:val="auto"/>
        </w:rPr>
      </w:pPr>
      <w:r>
        <w:rPr>
          <w:rFonts w:ascii="Arial" w:cs="Arial" w:eastAsia="Arial" w:hAnsi="Arial"/>
          <w:sz w:val="18"/>
          <w:szCs w:val="18"/>
          <w:color w:val="auto"/>
        </w:rPr>
        <w:t>On August 13, 2019, the Company issued 0.125% Convertible Senior Notes due in 2024 for aggregate gross proceeds of $500.0 million, which includes the initial purchasers’ option of $65.0 million, in a private placement in reliance on Section 4(a)(2) of the Securities Act of 1933, as amended (the “Securities Act”). The initial resale of the Notes by the initial purchasers to qualified institutional buyers was exempt from registration pursuant to Rule 144A under the Securities Act. The Notes were issued pursuant to an Indenture (the “Indenture”) between the Company and U.S. Bank National Association, as trustee (the “Trustee”).</w:t>
      </w:r>
    </w:p>
    <w:p>
      <w:pPr>
        <w:spacing w:after="0" w:line="203" w:lineRule="exact"/>
        <w:rPr>
          <w:sz w:val="20"/>
          <w:szCs w:val="20"/>
          <w:color w:val="auto"/>
        </w:rPr>
      </w:pPr>
    </w:p>
    <w:p>
      <w:pPr>
        <w:jc w:val="both"/>
        <w:ind w:right="640" w:firstLine="593"/>
        <w:spacing w:after="0"/>
        <w:rPr>
          <w:sz w:val="20"/>
          <w:szCs w:val="20"/>
          <w:color w:val="auto"/>
        </w:rPr>
      </w:pPr>
      <w:r>
        <w:rPr>
          <w:rFonts w:ascii="Arial" w:cs="Arial" w:eastAsia="Arial" w:hAnsi="Arial"/>
          <w:sz w:val="18"/>
          <w:szCs w:val="18"/>
          <w:color w:val="auto"/>
        </w:rPr>
        <w:t>Interest on the Notes is payable semi-annually in cash at a rate of 0.125% per annum on February 1 and August 1 of each year, beginning on February 1, 2020. The Notes mature on August 1, 2024 unless redeemed, repurchased or converted prior to such date in accordance with their terms.</w:t>
      </w:r>
    </w:p>
    <w:p>
      <w:pPr>
        <w:spacing w:after="0" w:line="203" w:lineRule="exact"/>
        <w:rPr>
          <w:sz w:val="20"/>
          <w:szCs w:val="20"/>
          <w:color w:val="auto"/>
        </w:rPr>
      </w:pPr>
    </w:p>
    <w:p>
      <w:pPr>
        <w:ind w:right="420" w:firstLine="588"/>
        <w:spacing w:after="0" w:line="246" w:lineRule="auto"/>
        <w:rPr>
          <w:sz w:val="20"/>
          <w:szCs w:val="20"/>
          <w:color w:val="auto"/>
        </w:rPr>
      </w:pPr>
      <w:r>
        <w:rPr>
          <w:rFonts w:ascii="Arial" w:cs="Arial" w:eastAsia="Arial" w:hAnsi="Arial"/>
          <w:sz w:val="18"/>
          <w:szCs w:val="18"/>
          <w:color w:val="auto"/>
        </w:rPr>
        <w:t>Prior to the close of business on the business day immediately preceding May 1, 2024, the Notes will be convertible only under the following circumstances:</w:t>
      </w:r>
    </w:p>
    <w:p>
      <w:pPr>
        <w:spacing w:after="0" w:line="197" w:lineRule="exact"/>
        <w:rPr>
          <w:sz w:val="20"/>
          <w:szCs w:val="20"/>
          <w:color w:val="auto"/>
        </w:rPr>
      </w:pPr>
    </w:p>
    <w:p>
      <w:pPr>
        <w:ind w:right="180" w:firstLine="596"/>
        <w:spacing w:after="0" w:line="239" w:lineRule="auto"/>
        <w:tabs>
          <w:tab w:leader="none" w:pos="858" w:val="left"/>
        </w:tabs>
        <w:numPr>
          <w:ilvl w:val="0"/>
          <w:numId w:val="26"/>
        </w:numPr>
        <w:rPr>
          <w:rFonts w:ascii="Arial" w:cs="Arial" w:eastAsia="Arial" w:hAnsi="Arial"/>
          <w:sz w:val="18"/>
          <w:szCs w:val="18"/>
          <w:color w:val="auto"/>
        </w:rPr>
      </w:pPr>
      <w:r>
        <w:rPr>
          <w:rFonts w:ascii="Arial" w:cs="Arial" w:eastAsia="Arial" w:hAnsi="Arial"/>
          <w:sz w:val="18"/>
          <w:szCs w:val="18"/>
          <w:color w:val="auto"/>
        </w:rPr>
        <w:t>during any calendar quarter commencing after the calendar quarter ending on December 31, 2019, and only during such calendar quarter, if the last reported sale price of the common stock for at least 20 trading days (whether or not consecutive) during a period of 30 consecutive trading days ending on, and including, the last trading day of the immediately preceding calendar quarter is greater than or equal to 130% of the conversion price for the Notes on each applicable trading day;</w:t>
      </w:r>
    </w:p>
    <w:p>
      <w:pPr>
        <w:spacing w:after="0" w:line="201" w:lineRule="exact"/>
        <w:rPr>
          <w:rFonts w:ascii="Arial" w:cs="Arial" w:eastAsia="Arial" w:hAnsi="Arial"/>
          <w:sz w:val="18"/>
          <w:szCs w:val="18"/>
          <w:color w:val="auto"/>
        </w:rPr>
      </w:pPr>
    </w:p>
    <w:p>
      <w:pPr>
        <w:ind w:right="480" w:firstLine="596"/>
        <w:spacing w:after="0"/>
        <w:tabs>
          <w:tab w:leader="none" w:pos="858" w:val="left"/>
        </w:tabs>
        <w:numPr>
          <w:ilvl w:val="0"/>
          <w:numId w:val="26"/>
        </w:numPr>
        <w:rPr>
          <w:rFonts w:ascii="Arial" w:cs="Arial" w:eastAsia="Arial" w:hAnsi="Arial"/>
          <w:sz w:val="18"/>
          <w:szCs w:val="18"/>
          <w:color w:val="auto"/>
        </w:rPr>
      </w:pPr>
      <w:r>
        <w:rPr>
          <w:rFonts w:ascii="Arial" w:cs="Arial" w:eastAsia="Arial" w:hAnsi="Arial"/>
          <w:sz w:val="18"/>
          <w:szCs w:val="18"/>
          <w:color w:val="auto"/>
        </w:rPr>
        <w:t>during the five business-day period after any five consecutive trading-day period in which the trading price per $1,000 principal amount of Notes for each trading day of the measurement period was less than 98% of the product of the last reported sale price of the common stock and the conversion rate on each such trading day;</w:t>
      </w:r>
    </w:p>
    <w:p>
      <w:pPr>
        <w:spacing w:after="0" w:line="202" w:lineRule="exact"/>
        <w:rPr>
          <w:rFonts w:ascii="Arial" w:cs="Arial" w:eastAsia="Arial" w:hAnsi="Arial"/>
          <w:sz w:val="18"/>
          <w:szCs w:val="18"/>
          <w:color w:val="auto"/>
        </w:rPr>
      </w:pPr>
    </w:p>
    <w:p>
      <w:pPr>
        <w:ind w:right="520" w:firstLine="596"/>
        <w:spacing w:after="0" w:line="246" w:lineRule="auto"/>
        <w:tabs>
          <w:tab w:leader="none" w:pos="858" w:val="left"/>
        </w:tabs>
        <w:numPr>
          <w:ilvl w:val="0"/>
          <w:numId w:val="26"/>
        </w:numPr>
        <w:rPr>
          <w:rFonts w:ascii="Arial" w:cs="Arial" w:eastAsia="Arial" w:hAnsi="Arial"/>
          <w:sz w:val="18"/>
          <w:szCs w:val="18"/>
          <w:color w:val="auto"/>
        </w:rPr>
      </w:pPr>
      <w:r>
        <w:rPr>
          <w:rFonts w:ascii="Arial" w:cs="Arial" w:eastAsia="Arial" w:hAnsi="Arial"/>
          <w:sz w:val="18"/>
          <w:szCs w:val="18"/>
          <w:color w:val="auto"/>
        </w:rPr>
        <w:t>if the Company calls any or all of the Notes for redemption, at any time prior to the close of business on the second scheduled trading day immediately preceding the redemption date; or</w:t>
      </w:r>
    </w:p>
    <w:p>
      <w:pPr>
        <w:spacing w:after="0" w:line="196" w:lineRule="exact"/>
        <w:rPr>
          <w:rFonts w:ascii="Arial" w:cs="Arial" w:eastAsia="Arial" w:hAnsi="Arial"/>
          <w:sz w:val="18"/>
          <w:szCs w:val="18"/>
          <w:color w:val="auto"/>
        </w:rPr>
      </w:pPr>
    </w:p>
    <w:p>
      <w:pPr>
        <w:ind w:left="860" w:hanging="264"/>
        <w:spacing w:after="0"/>
        <w:tabs>
          <w:tab w:leader="none" w:pos="8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upon the occurrence of specified corporate events set forth in the Indenture.</w:t>
      </w:r>
    </w:p>
    <w:p>
      <w:pPr>
        <w:spacing w:after="0" w:line="212" w:lineRule="exact"/>
        <w:rPr>
          <w:sz w:val="20"/>
          <w:szCs w:val="20"/>
          <w:color w:val="auto"/>
        </w:rPr>
      </w:pPr>
    </w:p>
    <w:p>
      <w:pPr>
        <w:ind w:firstLine="588"/>
        <w:spacing w:after="0" w:line="246" w:lineRule="auto"/>
        <w:rPr>
          <w:sz w:val="20"/>
          <w:szCs w:val="20"/>
          <w:color w:val="auto"/>
        </w:rPr>
      </w:pPr>
      <w:r>
        <w:rPr>
          <w:rFonts w:ascii="Arial" w:cs="Arial" w:eastAsia="Arial" w:hAnsi="Arial"/>
          <w:sz w:val="18"/>
          <w:szCs w:val="18"/>
          <w:color w:val="auto"/>
        </w:rPr>
        <w:t>On or after May 1, 2024, until the close of business on the second scheduled trading day immediately preceding the maturity date of the Notes, holders of the Notes, at their option, may convert all or any portion of their Notes regardless of the foregoing conditions.</w:t>
      </w:r>
    </w:p>
    <w:p>
      <w:pPr>
        <w:spacing w:after="0" w:line="197" w:lineRule="exact"/>
        <w:rPr>
          <w:sz w:val="20"/>
          <w:szCs w:val="20"/>
          <w:color w:val="auto"/>
        </w:rPr>
      </w:pPr>
    </w:p>
    <w:p>
      <w:pPr>
        <w:ind w:right="80" w:firstLine="588"/>
        <w:spacing w:after="0" w:line="237" w:lineRule="auto"/>
        <w:rPr>
          <w:sz w:val="20"/>
          <w:szCs w:val="20"/>
          <w:color w:val="auto"/>
        </w:rPr>
      </w:pPr>
      <w:r>
        <w:rPr>
          <w:rFonts w:ascii="Arial" w:cs="Arial" w:eastAsia="Arial" w:hAnsi="Arial"/>
          <w:sz w:val="18"/>
          <w:szCs w:val="18"/>
          <w:color w:val="auto"/>
        </w:rPr>
        <w:t>The Notes have an initial conversion rate of 13.6244 shares of common stock per $1,000 principal amount of Notes, equivalent to an initial conversion price of approximately $73.40 per share of common stock. The conversion rate is subject to adjustment for certain events. Upon conversion, the Company will pay or deliver, as the case may be, cash, shares of its common stock or a combination of cash and shares of its common stock, at its election. It is the Company’s current intent to settle conversions of the Notes through “combination settlement”, which involves repayment of the principal portion in cash and any excess of the conversion value over the principal amount in shares of its common stock.</w:t>
      </w:r>
    </w:p>
    <w:p>
      <w:pPr>
        <w:spacing w:after="0" w:line="205" w:lineRule="exact"/>
        <w:rPr>
          <w:sz w:val="20"/>
          <w:szCs w:val="20"/>
          <w:color w:val="auto"/>
        </w:rPr>
      </w:pPr>
    </w:p>
    <w:p>
      <w:pPr>
        <w:ind w:right="160" w:firstLine="588"/>
        <w:spacing w:after="0"/>
        <w:rPr>
          <w:sz w:val="20"/>
          <w:szCs w:val="20"/>
          <w:color w:val="auto"/>
        </w:rPr>
      </w:pPr>
      <w:r>
        <w:rPr>
          <w:rFonts w:ascii="Arial" w:cs="Arial" w:eastAsia="Arial" w:hAnsi="Arial"/>
          <w:sz w:val="18"/>
          <w:szCs w:val="18"/>
          <w:color w:val="auto"/>
        </w:rPr>
        <w:t>If the Company undergoes a fundamental change, as described in the Indenture, prior to the maturity date of the Notes, holders of the Notes may require the Company to repurchase all or a portion of the Notes for cash at a price equal to 100% of the principal amount of the Notes to be repurchased, plus any accrued and unpaid interest to, but excluding, the fundamental change repurchase date.</w:t>
      </w:r>
    </w:p>
    <w:p>
      <w:pPr>
        <w:spacing w:after="0" w:line="203" w:lineRule="exact"/>
        <w:rPr>
          <w:sz w:val="20"/>
          <w:szCs w:val="20"/>
          <w:color w:val="auto"/>
        </w:rPr>
      </w:pPr>
    </w:p>
    <w:p>
      <w:pPr>
        <w:ind w:right="100" w:firstLine="588"/>
        <w:spacing w:after="0" w:line="238" w:lineRule="auto"/>
        <w:rPr>
          <w:sz w:val="20"/>
          <w:szCs w:val="20"/>
          <w:color w:val="auto"/>
        </w:rPr>
      </w:pPr>
      <w:r>
        <w:rPr>
          <w:rFonts w:ascii="Arial" w:cs="Arial" w:eastAsia="Arial" w:hAnsi="Arial"/>
          <w:sz w:val="18"/>
          <w:szCs w:val="18"/>
          <w:color w:val="auto"/>
        </w:rPr>
        <w:t>The Notes are the Company’s senior unsecured obligations and will rank senior in right of payment to any of the Company’s indebtedness that is expressly subordinated in right of payment to the Notes; equal in right of payment to any of the Company’s unsecured indebtedness that is not so subordinated; effectively junior in right of payment to any of the Company’s secured indebtedness to the extent of the value of the assets securing such indebtedness; and structurally junior to all indebtedness and other liabilities (including trade payables) of current or future subsidiaries of the Company.</w:t>
      </w: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272020" cy="425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00"/>
          </w:cols>
          <w:pgMar w:left="240" w:top="395" w:right="259" w:bottom="1440" w:gutter="0" w:footer="0" w:header="0"/>
        </w:sectPr>
      </w:pPr>
    </w:p>
    <w:bookmarkStart w:id="80" w:name="page81"/>
    <w:bookmarkEnd w:id="80"/>
    <w:p>
      <w:pPr>
        <w:ind w:right="60" w:firstLine="588"/>
        <w:spacing w:after="0" w:line="238" w:lineRule="auto"/>
        <w:rPr>
          <w:sz w:val="20"/>
          <w:szCs w:val="20"/>
          <w:color w:val="auto"/>
        </w:rPr>
      </w:pPr>
      <w:r>
        <w:rPr>
          <w:rFonts w:ascii="Arial" w:cs="Arial" w:eastAsia="Arial" w:hAnsi="Arial"/>
          <w:sz w:val="18"/>
          <w:szCs w:val="18"/>
          <w:color w:val="auto"/>
        </w:rPr>
        <w:t>The Indenture contains customary events of default with respect to the Notes and provides that upon certain events of default occurring and continuing, the Trustee may, and the Trustee at the request of holders of at least 25% in principal amount of the Notes shall, declare all principal and accrued and unpaid interest, if any, of the Notes to be due and payable. In case of certain events of bankruptcy, insolvency or reorganization, involving the Company, all of the principal of, and accrued and unpaid interest on the Notes will automatically become due and payable.</w:t>
      </w:r>
    </w:p>
    <w:p>
      <w:pPr>
        <w:spacing w:after="0" w:line="203" w:lineRule="exact"/>
        <w:rPr>
          <w:sz w:val="20"/>
          <w:szCs w:val="20"/>
          <w:color w:val="auto"/>
        </w:rPr>
      </w:pPr>
    </w:p>
    <w:p>
      <w:pPr>
        <w:ind w:firstLine="588"/>
        <w:spacing w:after="0" w:line="236" w:lineRule="auto"/>
        <w:rPr>
          <w:sz w:val="20"/>
          <w:szCs w:val="20"/>
          <w:color w:val="auto"/>
        </w:rPr>
      </w:pPr>
      <w:r>
        <w:rPr>
          <w:rFonts w:ascii="Arial" w:cs="Arial" w:eastAsia="Arial" w:hAnsi="Arial"/>
          <w:sz w:val="18"/>
          <w:szCs w:val="18"/>
          <w:color w:val="auto"/>
        </w:rPr>
        <w:t>In accounting for the issuance of the Notes, the Company allocated the proceeds of the Notes between liability and equity components, with the equity component representing the difference between the proceeds and the fair value of a similar liability that does not have an associated convertible feature. To estimate the fair value of a similar liability that does not have an associated conversion feature, the Company discounted the contractual cash flows of the Notes at an estimated interest rate for a comparable nonconvertible note. The Company applied judgment to determine the interest rate, which was estimated based on the credit spread implied by the Notes issuance and based on the credit spread implied by the J.P. Morgan Yield Index based on estimates of its credit rating. The significant assumptions used in these models were the expected volatility over the term of the Notes and an estimate of the Company’s credit rating. The difference between the principal amount of the Notes and the liability component of $114.2 million was recorded as a debt discount. In addition, the Company incurred $12.8 million of transaction costs related to the Notes of which $9.9 million and $2.9 million, respectively, was allocated to the liability and equity components of the Notes. Transaction costs allocated to the liability component was recorded as additional debt discount. The equity component of the Notes will not be remeasured as long as it continues to meet the conditions for equity classification. The debt discount is amortized to interest expense over the term of the Notes using the effective interest method.</w:t>
      </w:r>
    </w:p>
    <w:p>
      <w:pPr>
        <w:spacing w:after="0" w:line="205" w:lineRule="exact"/>
        <w:rPr>
          <w:sz w:val="20"/>
          <w:szCs w:val="20"/>
          <w:color w:val="auto"/>
        </w:rPr>
      </w:pPr>
    </w:p>
    <w:p>
      <w:pPr>
        <w:ind w:left="600"/>
        <w:spacing w:after="0"/>
        <w:rPr>
          <w:sz w:val="20"/>
          <w:szCs w:val="20"/>
          <w:color w:val="auto"/>
        </w:rPr>
      </w:pPr>
      <w:r>
        <w:rPr>
          <w:rFonts w:ascii="Arial" w:cs="Arial" w:eastAsia="Arial" w:hAnsi="Arial"/>
          <w:sz w:val="18"/>
          <w:szCs w:val="18"/>
          <w:color w:val="auto"/>
        </w:rPr>
        <w:t>The Notes consisted of the following (in thousands):</w:t>
      </w:r>
    </w:p>
    <w:p>
      <w:pPr>
        <w:spacing w:after="0" w:line="10"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6240" w:type="dxa"/>
            <w:vAlign w:val="bottom"/>
          </w:tcPr>
          <w:p>
            <w:pPr>
              <w:spacing w:after="0"/>
              <w:rPr>
                <w:sz w:val="17"/>
                <w:szCs w:val="17"/>
                <w:color w:val="auto"/>
              </w:rPr>
            </w:pPr>
          </w:p>
        </w:tc>
        <w:tc>
          <w:tcPr>
            <w:tcW w:w="25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320" w:type="dxa"/>
            <w:vAlign w:val="bottom"/>
            <w:gridSpan w:val="2"/>
          </w:tcPr>
          <w:p>
            <w:pPr>
              <w:jc w:val="right"/>
              <w:ind w:right="760"/>
              <w:spacing w:after="0"/>
              <w:rPr>
                <w:sz w:val="20"/>
                <w:szCs w:val="20"/>
                <w:color w:val="auto"/>
              </w:rPr>
            </w:pPr>
            <w:r>
              <w:rPr>
                <w:rFonts w:ascii="Arial" w:cs="Arial" w:eastAsia="Arial" w:hAnsi="Arial"/>
                <w:sz w:val="14"/>
                <w:szCs w:val="14"/>
                <w:b w:val="1"/>
                <w:bCs w:val="1"/>
                <w:color w:val="auto"/>
              </w:rPr>
              <w:t>December 31, 2019</w:t>
            </w:r>
          </w:p>
        </w:tc>
      </w:tr>
      <w:tr>
        <w:trPr>
          <w:trHeight w:val="216"/>
        </w:trPr>
        <w:tc>
          <w:tcPr>
            <w:tcW w:w="62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Liability:</w:t>
            </w:r>
          </w:p>
        </w:tc>
        <w:tc>
          <w:tcPr>
            <w:tcW w:w="2500" w:type="dxa"/>
            <w:vAlign w:val="bottom"/>
            <w:tcBorders>
              <w:top w:val="single" w:sz="8" w:color="CFF0FC"/>
            </w:tcBorders>
            <w:shd w:val="clear" w:color="auto" w:fill="CFF0FC"/>
          </w:tcPr>
          <w:p>
            <w:pPr>
              <w:spacing w:after="0"/>
              <w:rPr>
                <w:sz w:val="18"/>
                <w:szCs w:val="18"/>
                <w:color w:val="auto"/>
              </w:rPr>
            </w:pPr>
          </w:p>
        </w:tc>
        <w:tc>
          <w:tcPr>
            <w:tcW w:w="360" w:type="dxa"/>
            <w:vAlign w:val="bottom"/>
            <w:tcBorders>
              <w:top w:val="single" w:sz="8" w:color="auto"/>
            </w:tcBorders>
            <w:shd w:val="clear" w:color="auto" w:fill="CFF0FC"/>
          </w:tcPr>
          <w:p>
            <w:pPr>
              <w:spacing w:after="0"/>
              <w:rPr>
                <w:sz w:val="18"/>
                <w:szCs w:val="18"/>
                <w:color w:val="auto"/>
              </w:rPr>
            </w:pPr>
          </w:p>
        </w:tc>
        <w:tc>
          <w:tcPr>
            <w:tcW w:w="2200" w:type="dxa"/>
            <w:vAlign w:val="bottom"/>
            <w:tcBorders>
              <w:top w:val="single" w:sz="8" w:color="auto"/>
            </w:tcBorders>
            <w:shd w:val="clear" w:color="auto" w:fill="CFF0FC"/>
          </w:tcPr>
          <w:p>
            <w:pPr>
              <w:spacing w:after="0"/>
              <w:rPr>
                <w:sz w:val="18"/>
                <w:szCs w:val="18"/>
                <w:color w:val="auto"/>
              </w:rPr>
            </w:pPr>
          </w:p>
        </w:tc>
        <w:tc>
          <w:tcPr>
            <w:tcW w:w="120" w:type="dxa"/>
            <w:vAlign w:val="bottom"/>
            <w:tcBorders>
              <w:top w:val="single" w:sz="8" w:color="CFF0FC"/>
            </w:tcBorders>
            <w:shd w:val="clear" w:color="auto" w:fill="CFF0FC"/>
          </w:tcPr>
          <w:p>
            <w:pPr>
              <w:spacing w:after="0"/>
              <w:rPr>
                <w:sz w:val="18"/>
                <w:szCs w:val="18"/>
                <w:color w:val="auto"/>
              </w:rPr>
            </w:pPr>
          </w:p>
        </w:tc>
      </w:tr>
      <w:tr>
        <w:trPr>
          <w:trHeight w:val="216"/>
        </w:trPr>
        <w:tc>
          <w:tcPr>
            <w:tcW w:w="6240" w:type="dxa"/>
            <w:vAlign w:val="bottom"/>
          </w:tcPr>
          <w:p>
            <w:pPr>
              <w:spacing w:after="0"/>
              <w:rPr>
                <w:sz w:val="20"/>
                <w:szCs w:val="20"/>
                <w:color w:val="auto"/>
              </w:rPr>
            </w:pPr>
            <w:r>
              <w:rPr>
                <w:rFonts w:ascii="Arial" w:cs="Arial" w:eastAsia="Arial" w:hAnsi="Arial"/>
                <w:sz w:val="18"/>
                <w:szCs w:val="18"/>
                <w:color w:val="auto"/>
              </w:rPr>
              <w:t>Principal</w:t>
            </w:r>
          </w:p>
        </w:tc>
        <w:tc>
          <w:tcPr>
            <w:tcW w:w="28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200" w:type="dxa"/>
            <w:vAlign w:val="bottom"/>
          </w:tcPr>
          <w:p>
            <w:pPr>
              <w:jc w:val="right"/>
              <w:spacing w:after="0"/>
              <w:rPr>
                <w:sz w:val="20"/>
                <w:szCs w:val="20"/>
                <w:color w:val="auto"/>
              </w:rPr>
            </w:pPr>
            <w:r>
              <w:rPr>
                <w:rFonts w:ascii="Arial" w:cs="Arial" w:eastAsia="Arial" w:hAnsi="Arial"/>
                <w:sz w:val="18"/>
                <w:szCs w:val="18"/>
                <w:color w:val="auto"/>
              </w:rPr>
              <w:t>500,000</w:t>
            </w:r>
          </w:p>
        </w:tc>
        <w:tc>
          <w:tcPr>
            <w:tcW w:w="120" w:type="dxa"/>
            <w:vAlign w:val="bottom"/>
          </w:tcPr>
          <w:p>
            <w:pPr>
              <w:spacing w:after="0"/>
              <w:rPr>
                <w:sz w:val="18"/>
                <w:szCs w:val="18"/>
                <w:color w:val="auto"/>
              </w:rPr>
            </w:pPr>
          </w:p>
        </w:tc>
      </w:tr>
      <w:tr>
        <w:trPr>
          <w:trHeight w:val="216"/>
        </w:trPr>
        <w:tc>
          <w:tcPr>
            <w:tcW w:w="6240" w:type="dxa"/>
            <w:vAlign w:val="bottom"/>
            <w:shd w:val="clear" w:color="auto" w:fill="CFF0FC"/>
          </w:tcPr>
          <w:p>
            <w:pPr>
              <w:spacing w:after="0"/>
              <w:rPr>
                <w:sz w:val="20"/>
                <w:szCs w:val="20"/>
                <w:color w:val="auto"/>
              </w:rPr>
            </w:pPr>
            <w:r>
              <w:rPr>
                <w:rFonts w:ascii="Arial" w:cs="Arial" w:eastAsia="Arial" w:hAnsi="Arial"/>
                <w:sz w:val="18"/>
                <w:szCs w:val="18"/>
                <w:color w:val="auto"/>
              </w:rPr>
              <w:t>Unamortized debt discount and issuance costs</w:t>
            </w:r>
          </w:p>
        </w:tc>
        <w:tc>
          <w:tcPr>
            <w:tcW w:w="250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232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(115,657)</w:t>
            </w:r>
          </w:p>
        </w:tc>
      </w:tr>
      <w:tr>
        <w:trPr>
          <w:trHeight w:val="20"/>
        </w:trPr>
        <w:tc>
          <w:tcPr>
            <w:tcW w:w="6240" w:type="dxa"/>
            <w:vAlign w:val="bottom"/>
          </w:tcPr>
          <w:p>
            <w:pPr>
              <w:spacing w:after="0" w:line="20" w:lineRule="exact"/>
              <w:rPr>
                <w:sz w:val="1"/>
                <w:szCs w:val="1"/>
                <w:color w:val="auto"/>
              </w:rPr>
            </w:pPr>
          </w:p>
        </w:tc>
        <w:tc>
          <w:tcPr>
            <w:tcW w:w="250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22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30"/>
        </w:trPr>
        <w:tc>
          <w:tcPr>
            <w:tcW w:w="6240" w:type="dxa"/>
            <w:vAlign w:val="bottom"/>
          </w:tcPr>
          <w:p>
            <w:pPr>
              <w:spacing w:after="0"/>
              <w:rPr>
                <w:sz w:val="20"/>
                <w:szCs w:val="20"/>
                <w:color w:val="auto"/>
              </w:rPr>
            </w:pPr>
            <w:r>
              <w:rPr>
                <w:rFonts w:ascii="Arial" w:cs="Arial" w:eastAsia="Arial" w:hAnsi="Arial"/>
                <w:sz w:val="18"/>
                <w:szCs w:val="18"/>
                <w:color w:val="auto"/>
              </w:rPr>
              <w:t>Net carrying amount</w:t>
            </w:r>
          </w:p>
        </w:tc>
        <w:tc>
          <w:tcPr>
            <w:tcW w:w="28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200" w:type="dxa"/>
            <w:vAlign w:val="bottom"/>
          </w:tcPr>
          <w:p>
            <w:pPr>
              <w:jc w:val="right"/>
              <w:spacing w:after="0"/>
              <w:rPr>
                <w:sz w:val="20"/>
                <w:szCs w:val="20"/>
                <w:color w:val="auto"/>
              </w:rPr>
            </w:pPr>
            <w:r>
              <w:rPr>
                <w:rFonts w:ascii="Arial" w:cs="Arial" w:eastAsia="Arial" w:hAnsi="Arial"/>
                <w:sz w:val="18"/>
                <w:szCs w:val="18"/>
                <w:color w:val="auto"/>
              </w:rPr>
              <w:t>384,343</w:t>
            </w:r>
          </w:p>
        </w:tc>
        <w:tc>
          <w:tcPr>
            <w:tcW w:w="120" w:type="dxa"/>
            <w:vAlign w:val="bottom"/>
          </w:tcPr>
          <w:p>
            <w:pPr>
              <w:spacing w:after="0"/>
              <w:rPr>
                <w:sz w:val="19"/>
                <w:szCs w:val="19"/>
                <w:color w:val="auto"/>
              </w:rPr>
            </w:pPr>
          </w:p>
        </w:tc>
      </w:tr>
      <w:tr>
        <w:trPr>
          <w:trHeight w:val="20"/>
        </w:trPr>
        <w:tc>
          <w:tcPr>
            <w:tcW w:w="6240" w:type="dxa"/>
            <w:vAlign w:val="bottom"/>
            <w:tcBorders>
              <w:top w:val="single" w:sz="8" w:color="CFF0FC"/>
            </w:tcBorders>
            <w:shd w:val="clear" w:color="auto" w:fill="CFF0FC"/>
          </w:tcPr>
          <w:p>
            <w:pPr>
              <w:spacing w:after="0" w:line="20" w:lineRule="exact"/>
              <w:rPr>
                <w:sz w:val="1"/>
                <w:szCs w:val="1"/>
                <w:color w:val="auto"/>
              </w:rPr>
            </w:pPr>
          </w:p>
        </w:tc>
        <w:tc>
          <w:tcPr>
            <w:tcW w:w="2500" w:type="dxa"/>
            <w:vAlign w:val="bottom"/>
            <w:tcBorders>
              <w:top w:val="single" w:sz="8" w:color="CFF0FC"/>
            </w:tcBorders>
            <w:shd w:val="clear" w:color="auto" w:fill="CFF0FC"/>
          </w:tcPr>
          <w:p>
            <w:pPr>
              <w:spacing w:after="0" w:line="20" w:lineRule="exact"/>
              <w:rPr>
                <w:sz w:val="1"/>
                <w:szCs w:val="1"/>
                <w:color w:val="auto"/>
              </w:rPr>
            </w:pPr>
          </w:p>
        </w:tc>
        <w:tc>
          <w:tcPr>
            <w:tcW w:w="360" w:type="dxa"/>
            <w:vAlign w:val="bottom"/>
            <w:tcBorders>
              <w:top w:val="single" w:sz="8" w:color="auto"/>
            </w:tcBorders>
            <w:shd w:val="clear" w:color="auto" w:fill="000000"/>
          </w:tcPr>
          <w:p>
            <w:pPr>
              <w:spacing w:after="0" w:line="20" w:lineRule="exact"/>
              <w:rPr>
                <w:sz w:val="1"/>
                <w:szCs w:val="1"/>
                <w:color w:val="auto"/>
              </w:rPr>
            </w:pPr>
          </w:p>
        </w:tc>
        <w:tc>
          <w:tcPr>
            <w:tcW w:w="220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r>
      <w:tr>
        <w:trPr>
          <w:trHeight w:val="197"/>
        </w:trPr>
        <w:tc>
          <w:tcPr>
            <w:tcW w:w="6240" w:type="dxa"/>
            <w:vAlign w:val="bottom"/>
            <w:shd w:val="clear" w:color="auto" w:fill="CFF0FC"/>
          </w:tcPr>
          <w:p>
            <w:pPr>
              <w:spacing w:after="0" w:line="196" w:lineRule="exact"/>
              <w:rPr>
                <w:sz w:val="20"/>
                <w:szCs w:val="20"/>
                <w:color w:val="auto"/>
              </w:rPr>
            </w:pPr>
            <w:r>
              <w:rPr>
                <w:rFonts w:ascii="Arial" w:cs="Arial" w:eastAsia="Arial" w:hAnsi="Arial"/>
                <w:sz w:val="18"/>
                <w:szCs w:val="18"/>
                <w:color w:val="auto"/>
              </w:rPr>
              <w:t>Carrying amount of the equity component</w:t>
            </w:r>
          </w:p>
        </w:tc>
        <w:tc>
          <w:tcPr>
            <w:tcW w:w="2860" w:type="dxa"/>
            <w:vAlign w:val="bottom"/>
            <w:gridSpan w:val="2"/>
            <w:shd w:val="clear" w:color="auto" w:fill="CFF0FC"/>
          </w:tcPr>
          <w:p>
            <w:pPr>
              <w:jc w:val="right"/>
              <w:ind w:right="260"/>
              <w:spacing w:after="0" w:line="196" w:lineRule="exact"/>
              <w:rPr>
                <w:sz w:val="20"/>
                <w:szCs w:val="20"/>
                <w:color w:val="auto"/>
              </w:rPr>
            </w:pPr>
            <w:r>
              <w:rPr>
                <w:rFonts w:ascii="Arial" w:cs="Arial" w:eastAsia="Arial" w:hAnsi="Arial"/>
                <w:sz w:val="18"/>
                <w:szCs w:val="18"/>
                <w:color w:val="auto"/>
              </w:rPr>
              <w:t>$</w:t>
            </w:r>
          </w:p>
        </w:tc>
        <w:tc>
          <w:tcPr>
            <w:tcW w:w="220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111,230</w:t>
            </w:r>
          </w:p>
        </w:tc>
        <w:tc>
          <w:tcPr>
            <w:tcW w:w="120" w:type="dxa"/>
            <w:vAlign w:val="bottom"/>
            <w:shd w:val="clear" w:color="auto" w:fill="CFF0FC"/>
          </w:tcPr>
          <w:p>
            <w:pPr>
              <w:spacing w:after="0"/>
              <w:rPr>
                <w:sz w:val="17"/>
                <w:szCs w:val="17"/>
                <w:color w:val="auto"/>
              </w:rPr>
            </w:pPr>
          </w:p>
        </w:tc>
      </w:tr>
      <w:tr>
        <w:trPr>
          <w:trHeight w:val="20"/>
        </w:trPr>
        <w:tc>
          <w:tcPr>
            <w:tcW w:w="6240" w:type="dxa"/>
            <w:vAlign w:val="bottom"/>
            <w:tcBorders>
              <w:top w:val="single" w:sz="8" w:color="CFF0FC"/>
            </w:tcBorders>
          </w:tcPr>
          <w:p>
            <w:pPr>
              <w:spacing w:after="0" w:line="20" w:lineRule="exact"/>
              <w:rPr>
                <w:sz w:val="1"/>
                <w:szCs w:val="1"/>
                <w:color w:val="auto"/>
              </w:rPr>
            </w:pPr>
          </w:p>
        </w:tc>
        <w:tc>
          <w:tcPr>
            <w:tcW w:w="2500" w:type="dxa"/>
            <w:vAlign w:val="bottom"/>
            <w:tcBorders>
              <w:top w:val="single" w:sz="8" w:color="CFF0FC"/>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22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r>
    </w:tbl>
    <w:p>
      <w:pPr>
        <w:spacing w:after="0" w:line="242" w:lineRule="exact"/>
        <w:rPr>
          <w:sz w:val="20"/>
          <w:szCs w:val="20"/>
          <w:color w:val="auto"/>
        </w:rPr>
      </w:pPr>
    </w:p>
    <w:p>
      <w:pPr>
        <w:ind w:left="600"/>
        <w:spacing w:after="0"/>
        <w:rPr>
          <w:sz w:val="20"/>
          <w:szCs w:val="20"/>
          <w:color w:val="auto"/>
        </w:rPr>
      </w:pPr>
      <w:r>
        <w:rPr>
          <w:rFonts w:ascii="Arial" w:cs="Arial" w:eastAsia="Arial" w:hAnsi="Arial"/>
          <w:sz w:val="18"/>
          <w:szCs w:val="18"/>
          <w:color w:val="auto"/>
        </w:rPr>
        <w:t>The effective interest rate of the liability component of the Notes, excluding the conversion option, is 6.06%.</w:t>
      </w:r>
    </w:p>
    <w:p>
      <w:pPr>
        <w:spacing w:after="0" w:line="212" w:lineRule="exact"/>
        <w:rPr>
          <w:sz w:val="20"/>
          <w:szCs w:val="20"/>
          <w:color w:val="auto"/>
        </w:rPr>
      </w:pPr>
    </w:p>
    <w:p>
      <w:pPr>
        <w:ind w:right="60" w:firstLine="588"/>
        <w:spacing w:after="0" w:line="239" w:lineRule="auto"/>
        <w:rPr>
          <w:sz w:val="20"/>
          <w:szCs w:val="20"/>
          <w:color w:val="auto"/>
        </w:rPr>
      </w:pPr>
      <w:r>
        <w:rPr>
          <w:rFonts w:ascii="Arial" w:cs="Arial" w:eastAsia="Arial" w:hAnsi="Arial"/>
          <w:sz w:val="18"/>
          <w:szCs w:val="18"/>
          <w:color w:val="auto"/>
        </w:rPr>
        <w:t>The Company carries the Notes at face value less unamortized discount and issuance costs on its consolidated balance sheet and presents the fair value for disclosure purposes only. The estimated fair value of the Notes, based on a market approach at December 31, 2019 was approximately $505.0 million, which represents a Level 2 valuation. The estimated fair value was determined based on the actual bids and offers of the Notes in an over-the-counter market on the last trading day of the period.</w:t>
      </w:r>
    </w:p>
    <w:p>
      <w:pPr>
        <w:spacing w:after="0" w:line="202" w:lineRule="exact"/>
        <w:rPr>
          <w:sz w:val="20"/>
          <w:szCs w:val="20"/>
          <w:color w:val="auto"/>
        </w:rPr>
      </w:pPr>
    </w:p>
    <w:p>
      <w:pPr>
        <w:ind w:right="40" w:firstLine="588"/>
        <w:spacing w:after="0" w:line="246" w:lineRule="auto"/>
        <w:rPr>
          <w:sz w:val="20"/>
          <w:szCs w:val="20"/>
          <w:color w:val="auto"/>
        </w:rPr>
      </w:pPr>
      <w:r>
        <w:rPr>
          <w:rFonts w:ascii="Arial" w:cs="Arial" w:eastAsia="Arial" w:hAnsi="Arial"/>
          <w:sz w:val="18"/>
          <w:szCs w:val="18"/>
          <w:color w:val="auto"/>
        </w:rPr>
        <w:t>During the year ended December 31, 2019, the Company recognized $8.4 million of interest expense related to the amortization of debt discount and issuance costs and $0.2 million of coupon interest expense.</w:t>
      </w:r>
    </w:p>
    <w:p>
      <w:pPr>
        <w:spacing w:after="0" w:line="197" w:lineRule="exact"/>
        <w:rPr>
          <w:sz w:val="20"/>
          <w:szCs w:val="20"/>
          <w:color w:val="auto"/>
        </w:rPr>
      </w:pPr>
    </w:p>
    <w:p>
      <w:pPr>
        <w:ind w:left="600"/>
        <w:spacing w:after="0"/>
        <w:rPr>
          <w:sz w:val="20"/>
          <w:szCs w:val="20"/>
          <w:color w:val="auto"/>
        </w:rPr>
      </w:pPr>
      <w:r>
        <w:rPr>
          <w:rFonts w:ascii="Arial" w:cs="Arial" w:eastAsia="Arial" w:hAnsi="Arial"/>
          <w:sz w:val="18"/>
          <w:szCs w:val="18"/>
          <w:color w:val="auto"/>
        </w:rPr>
        <w:t>At December 31, 2019, the remaining life of the Notes is approximately 55 months.</w:t>
      </w:r>
    </w:p>
    <w:p>
      <w:pPr>
        <w:spacing w:after="0" w:line="212" w:lineRule="exact"/>
        <w:rPr>
          <w:sz w:val="20"/>
          <w:szCs w:val="20"/>
          <w:color w:val="auto"/>
        </w:rPr>
      </w:pPr>
    </w:p>
    <w:p>
      <w:pPr>
        <w:ind w:left="600"/>
        <w:spacing w:after="0"/>
        <w:rPr>
          <w:sz w:val="20"/>
          <w:szCs w:val="20"/>
          <w:color w:val="auto"/>
        </w:rPr>
      </w:pPr>
      <w:r>
        <w:rPr>
          <w:rFonts w:ascii="Arial" w:cs="Arial" w:eastAsia="Arial" w:hAnsi="Arial"/>
          <w:sz w:val="18"/>
          <w:szCs w:val="18"/>
          <w:color w:val="auto"/>
        </w:rPr>
        <w:t>The Notes were not convertible at December 31, 2019.</w:t>
      </w:r>
    </w:p>
    <w:p>
      <w:pPr>
        <w:spacing w:after="0" w:line="298" w:lineRule="exact"/>
        <w:rPr>
          <w:sz w:val="20"/>
          <w:szCs w:val="20"/>
          <w:color w:val="auto"/>
        </w:rPr>
      </w:pPr>
    </w:p>
    <w:p>
      <w:pPr>
        <w:ind w:left="600"/>
        <w:spacing w:after="0"/>
        <w:rPr>
          <w:sz w:val="20"/>
          <w:szCs w:val="20"/>
          <w:color w:val="auto"/>
        </w:rPr>
      </w:pPr>
      <w:r>
        <w:rPr>
          <w:rFonts w:ascii="Arial" w:cs="Arial" w:eastAsia="Arial" w:hAnsi="Arial"/>
          <w:sz w:val="18"/>
          <w:szCs w:val="18"/>
          <w:b w:val="1"/>
          <w:bCs w:val="1"/>
          <w:i w:val="1"/>
          <w:iCs w:val="1"/>
          <w:color w:val="auto"/>
        </w:rPr>
        <w:t>Capped Calls</w:t>
      </w:r>
    </w:p>
    <w:p>
      <w:pPr>
        <w:spacing w:after="0" w:line="126" w:lineRule="exact"/>
        <w:rPr>
          <w:sz w:val="20"/>
          <w:szCs w:val="20"/>
          <w:color w:val="auto"/>
        </w:rPr>
      </w:pPr>
    </w:p>
    <w:p>
      <w:pPr>
        <w:ind w:right="160" w:firstLine="593"/>
        <w:spacing w:after="0"/>
        <w:rPr>
          <w:sz w:val="20"/>
          <w:szCs w:val="20"/>
          <w:color w:val="auto"/>
        </w:rPr>
      </w:pPr>
      <w:r>
        <w:rPr>
          <w:rFonts w:ascii="Arial" w:cs="Arial" w:eastAsia="Arial" w:hAnsi="Arial"/>
          <w:sz w:val="18"/>
          <w:szCs w:val="18"/>
          <w:color w:val="auto"/>
        </w:rPr>
        <w:t>In conjunction with the issuance of the Notes, the Company entered into capped call transactions (the “Capped Calls”) with a certain counterparty affiliated with the Initial Purchasers and others at a cost of approximately $46.2 million, which was recorded as a reduction of the Company’s additional paid-in capital in the accompanying consolidated financial statements.</w:t>
      </w:r>
    </w:p>
    <w:p>
      <w:pPr>
        <w:spacing w:after="0" w:line="203" w:lineRule="exact"/>
        <w:rPr>
          <w:sz w:val="20"/>
          <w:szCs w:val="20"/>
          <w:color w:val="auto"/>
        </w:rPr>
      </w:pPr>
    </w:p>
    <w:p>
      <w:pPr>
        <w:ind w:right="200" w:firstLine="588"/>
        <w:spacing w:after="0"/>
        <w:rPr>
          <w:sz w:val="20"/>
          <w:szCs w:val="20"/>
          <w:color w:val="auto"/>
        </w:rPr>
      </w:pPr>
      <w:r>
        <w:rPr>
          <w:rFonts w:ascii="Arial" w:cs="Arial" w:eastAsia="Arial" w:hAnsi="Arial"/>
          <w:sz w:val="18"/>
          <w:szCs w:val="18"/>
          <w:color w:val="auto"/>
        </w:rPr>
        <w:t>Under the Capped Calls, the Company purchased capped call options that in the aggregate relate to the total number of shares of the Company’s common stock, with an exercise price equal to the initial conversion price of each of the Notes, and a cap price of $106.76 per share of common stock, subject to certain adjustments under the terms of the Capped Calls.</w:t>
      </w: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272020" cy="425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571" w:right="239" w:bottom="1440" w:gutter="0" w:footer="0" w:header="0"/>
        </w:sectPr>
      </w:pPr>
    </w:p>
    <w:bookmarkStart w:id="81" w:name="page82"/>
    <w:bookmarkEnd w:id="81"/>
    <w:p>
      <w:pPr>
        <w:ind w:right="420" w:firstLine="588"/>
        <w:spacing w:after="0"/>
        <w:rPr>
          <w:sz w:val="20"/>
          <w:szCs w:val="20"/>
          <w:color w:val="auto"/>
        </w:rPr>
      </w:pPr>
      <w:r>
        <w:rPr>
          <w:rFonts w:ascii="Arial" w:cs="Arial" w:eastAsia="Arial" w:hAnsi="Arial"/>
          <w:sz w:val="18"/>
          <w:szCs w:val="18"/>
          <w:color w:val="auto"/>
        </w:rPr>
        <w:t>By entering into the Capped Calls, the Company expects to reduce the potential dilution to its common stock (or, in the event a conversion of the Notes is settled in cash, to reduce its cash payment obligation) in the event that at the time of conversion of the Notes its common stock price exceeds the conversion price of the Notes.</w:t>
      </w:r>
    </w:p>
    <w:p>
      <w:pPr>
        <w:spacing w:after="0" w:line="203" w:lineRule="exact"/>
        <w:rPr>
          <w:sz w:val="20"/>
          <w:szCs w:val="20"/>
          <w:color w:val="auto"/>
        </w:rPr>
      </w:pPr>
    </w:p>
    <w:p>
      <w:pPr>
        <w:ind w:right="220" w:firstLine="588"/>
        <w:spacing w:after="0" w:line="246" w:lineRule="auto"/>
        <w:rPr>
          <w:sz w:val="20"/>
          <w:szCs w:val="20"/>
          <w:color w:val="auto"/>
        </w:rPr>
      </w:pPr>
      <w:r>
        <w:rPr>
          <w:rFonts w:ascii="Arial" w:cs="Arial" w:eastAsia="Arial" w:hAnsi="Arial"/>
          <w:sz w:val="18"/>
          <w:szCs w:val="18"/>
          <w:color w:val="auto"/>
        </w:rPr>
        <w:t>The cost of the Capped Calls is not expected to be tax deductible as the Company did not elect to integrate the Capped Calls into the Notes for tax purposes.</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Note 10—Intangible Assets and Goodwill</w:t>
      </w:r>
    </w:p>
    <w:p>
      <w:pPr>
        <w:spacing w:after="0" w:line="126"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carrying value of intangible assets was as follows (in thousands):</w:t>
      </w:r>
    </w:p>
    <w:p>
      <w:pPr>
        <w:spacing w:after="0" w:line="280"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5920" w:type="dxa"/>
            <w:vAlign w:val="bottom"/>
          </w:tcPr>
          <w:p>
            <w:pPr>
              <w:spacing w:after="0"/>
              <w:rPr>
                <w:sz w:val="15"/>
                <w:szCs w:val="15"/>
                <w:color w:val="auto"/>
              </w:rPr>
            </w:pPr>
          </w:p>
        </w:tc>
        <w:tc>
          <w:tcPr>
            <w:tcW w:w="66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spacing w:after="0"/>
              <w:rPr>
                <w:sz w:val="15"/>
                <w:szCs w:val="15"/>
                <w:color w:val="auto"/>
              </w:rPr>
            </w:pPr>
          </w:p>
        </w:tc>
        <w:tc>
          <w:tcPr>
            <w:tcW w:w="2180" w:type="dxa"/>
            <w:vAlign w:val="bottom"/>
            <w:tcBorders>
              <w:bottom w:val="single" w:sz="8" w:color="auto"/>
            </w:tcBorders>
            <w:gridSpan w:val="4"/>
          </w:tcPr>
          <w:p>
            <w:pPr>
              <w:jc w:val="right"/>
              <w:ind w:right="640"/>
              <w:spacing w:after="0"/>
              <w:rPr>
                <w:sz w:val="20"/>
                <w:szCs w:val="20"/>
                <w:color w:val="auto"/>
              </w:rPr>
            </w:pPr>
            <w:r>
              <w:rPr>
                <w:rFonts w:ascii="Arial" w:cs="Arial" w:eastAsia="Arial" w:hAnsi="Arial"/>
                <w:sz w:val="14"/>
                <w:szCs w:val="14"/>
                <w:b w:val="1"/>
                <w:bCs w:val="1"/>
                <w:color w:val="auto"/>
              </w:rPr>
              <w:t>December 31, 2019</w:t>
            </w:r>
          </w:p>
        </w:tc>
        <w:tc>
          <w:tcPr>
            <w:tcW w:w="18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r>
      <w:tr>
        <w:trPr>
          <w:trHeight w:val="156"/>
        </w:trPr>
        <w:tc>
          <w:tcPr>
            <w:tcW w:w="59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640" w:type="dxa"/>
            <w:vAlign w:val="bottom"/>
            <w:gridSpan w:val="2"/>
          </w:tcPr>
          <w:p>
            <w:pPr>
              <w:jc w:val="right"/>
              <w:ind w:right="640"/>
              <w:spacing w:after="0" w:line="156" w:lineRule="exact"/>
              <w:rPr>
                <w:sz w:val="20"/>
                <w:szCs w:val="20"/>
                <w:color w:val="auto"/>
              </w:rPr>
            </w:pPr>
            <w:r>
              <w:rPr>
                <w:rFonts w:ascii="Arial" w:cs="Arial" w:eastAsia="Arial" w:hAnsi="Arial"/>
                <w:sz w:val="14"/>
                <w:szCs w:val="14"/>
                <w:b w:val="1"/>
                <w:bCs w:val="1"/>
                <w:color w:val="auto"/>
              </w:rPr>
              <w:t>Accumulated</w:t>
            </w:r>
          </w:p>
        </w:tc>
        <w:tc>
          <w:tcPr>
            <w:tcW w:w="180" w:type="dxa"/>
            <w:vAlign w:val="bottom"/>
          </w:tcPr>
          <w:p>
            <w:pPr>
              <w:spacing w:after="0"/>
              <w:rPr>
                <w:sz w:val="13"/>
                <w:szCs w:val="13"/>
                <w:color w:val="auto"/>
              </w:rPr>
            </w:pPr>
          </w:p>
        </w:tc>
        <w:tc>
          <w:tcPr>
            <w:tcW w:w="1340" w:type="dxa"/>
            <w:vAlign w:val="bottom"/>
            <w:gridSpan w:val="2"/>
          </w:tcPr>
          <w:p>
            <w:pPr>
              <w:jc w:val="center"/>
              <w:ind w:right="280"/>
              <w:spacing w:after="0" w:line="156" w:lineRule="exact"/>
              <w:rPr>
                <w:sz w:val="20"/>
                <w:szCs w:val="20"/>
                <w:color w:val="auto"/>
              </w:rPr>
            </w:pPr>
            <w:r>
              <w:rPr>
                <w:rFonts w:ascii="Arial" w:cs="Arial" w:eastAsia="Arial" w:hAnsi="Arial"/>
                <w:sz w:val="14"/>
                <w:szCs w:val="14"/>
                <w:b w:val="1"/>
                <w:bCs w:val="1"/>
                <w:color w:val="auto"/>
              </w:rPr>
              <w:t>Net Carrying</w:t>
            </w:r>
          </w:p>
        </w:tc>
      </w:tr>
      <w:tr>
        <w:trPr>
          <w:trHeight w:val="175"/>
        </w:trPr>
        <w:tc>
          <w:tcPr>
            <w:tcW w:w="5920" w:type="dxa"/>
            <w:vAlign w:val="bottom"/>
            <w:tcBorders>
              <w:bottom w:val="single" w:sz="8" w:color="CFF0FC"/>
            </w:tcBorders>
          </w:tcPr>
          <w:p>
            <w:pPr>
              <w:spacing w:after="0"/>
              <w:rPr>
                <w:sz w:val="15"/>
                <w:szCs w:val="15"/>
                <w:color w:val="auto"/>
              </w:rPr>
            </w:pPr>
          </w:p>
        </w:tc>
        <w:tc>
          <w:tcPr>
            <w:tcW w:w="180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Gross Carrying Amount</w:t>
            </w:r>
          </w:p>
        </w:tc>
        <w:tc>
          <w:tcPr>
            <w:tcW w:w="340" w:type="dxa"/>
            <w:vAlign w:val="bottom"/>
            <w:tcBorders>
              <w:bottom w:val="single" w:sz="8" w:color="CFF0FC"/>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tcPr>
          <w:p>
            <w:pPr>
              <w:jc w:val="right"/>
              <w:ind w:right="236"/>
              <w:spacing w:after="0"/>
              <w:rPr>
                <w:sz w:val="20"/>
                <w:szCs w:val="20"/>
                <w:color w:val="auto"/>
              </w:rPr>
            </w:pPr>
            <w:r>
              <w:rPr>
                <w:rFonts w:ascii="Arial" w:cs="Arial" w:eastAsia="Arial" w:hAnsi="Arial"/>
                <w:sz w:val="14"/>
                <w:szCs w:val="14"/>
                <w:b w:val="1"/>
                <w:bCs w:val="1"/>
                <w:color w:val="auto"/>
              </w:rPr>
              <w:t>Amortization</w:t>
            </w:r>
          </w:p>
        </w:tc>
        <w:tc>
          <w:tcPr>
            <w:tcW w:w="340" w:type="dxa"/>
            <w:vAlign w:val="bottom"/>
            <w:tcBorders>
              <w:bottom w:val="single" w:sz="8" w:color="CFF0FC"/>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tcPr>
          <w:p>
            <w:pPr>
              <w:jc w:val="center"/>
              <w:ind w:right="96"/>
              <w:spacing w:after="0"/>
              <w:rPr>
                <w:sz w:val="20"/>
                <w:szCs w:val="20"/>
                <w:color w:val="auto"/>
              </w:rPr>
            </w:pPr>
            <w:r>
              <w:rPr>
                <w:rFonts w:ascii="Arial" w:cs="Arial" w:eastAsia="Arial" w:hAnsi="Arial"/>
                <w:sz w:val="14"/>
                <w:szCs w:val="14"/>
                <w:b w:val="1"/>
                <w:bCs w:val="1"/>
                <w:color w:val="auto"/>
              </w:rPr>
              <w:t>Amount</w:t>
            </w:r>
          </w:p>
        </w:tc>
        <w:tc>
          <w:tcPr>
            <w:tcW w:w="100" w:type="dxa"/>
            <w:vAlign w:val="bottom"/>
            <w:tcBorders>
              <w:bottom w:val="single" w:sz="8" w:color="CFF0FC"/>
            </w:tcBorders>
          </w:tcPr>
          <w:p>
            <w:pPr>
              <w:spacing w:after="0"/>
              <w:rPr>
                <w:sz w:val="15"/>
                <w:szCs w:val="15"/>
                <w:color w:val="auto"/>
              </w:rPr>
            </w:pPr>
          </w:p>
        </w:tc>
      </w:tr>
      <w:tr>
        <w:trPr>
          <w:trHeight w:val="210"/>
        </w:trPr>
        <w:tc>
          <w:tcPr>
            <w:tcW w:w="5920" w:type="dxa"/>
            <w:vAlign w:val="bottom"/>
            <w:shd w:val="clear" w:color="auto" w:fill="CFF0FC"/>
          </w:tcPr>
          <w:p>
            <w:pPr>
              <w:spacing w:after="0"/>
              <w:rPr>
                <w:sz w:val="20"/>
                <w:szCs w:val="20"/>
                <w:color w:val="auto"/>
              </w:rPr>
            </w:pPr>
            <w:r>
              <w:rPr>
                <w:rFonts w:ascii="Arial" w:cs="Arial" w:eastAsia="Arial" w:hAnsi="Arial"/>
                <w:sz w:val="18"/>
                <w:szCs w:val="18"/>
                <w:color w:val="auto"/>
              </w:rPr>
              <w:t>Trade name</w:t>
            </w:r>
          </w:p>
        </w:tc>
        <w:tc>
          <w:tcPr>
            <w:tcW w:w="660" w:type="dxa"/>
            <w:vAlign w:val="bottom"/>
            <w:shd w:val="clear" w:color="auto" w:fill="CFF0FC"/>
          </w:tcPr>
          <w:p>
            <w:pPr>
              <w:jc w:val="right"/>
              <w:ind w:right="476"/>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15,977</w:t>
            </w:r>
          </w:p>
        </w:tc>
        <w:tc>
          <w:tcPr>
            <w:tcW w:w="54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w:t>
            </w:r>
          </w:p>
        </w:tc>
        <w:tc>
          <w:tcPr>
            <w:tcW w:w="1640" w:type="dxa"/>
            <w:vAlign w:val="bottom"/>
            <w:gridSpan w:val="2"/>
            <w:shd w:val="clear" w:color="auto" w:fill="CFF0FC"/>
          </w:tcPr>
          <w:p>
            <w:pPr>
              <w:jc w:val="right"/>
              <w:ind w:right="280"/>
              <w:spacing w:after="0"/>
              <w:rPr>
                <w:sz w:val="20"/>
                <w:szCs w:val="20"/>
                <w:color w:val="auto"/>
              </w:rPr>
            </w:pPr>
            <w:r>
              <w:rPr>
                <w:rFonts w:ascii="Arial" w:cs="Arial" w:eastAsia="Arial" w:hAnsi="Arial"/>
                <w:sz w:val="18"/>
                <w:szCs w:val="18"/>
                <w:color w:val="auto"/>
              </w:rPr>
              <w:t>(10,124)</w:t>
            </w: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5,853</w:t>
            </w:r>
          </w:p>
        </w:tc>
        <w:tc>
          <w:tcPr>
            <w:tcW w:w="100" w:type="dxa"/>
            <w:vAlign w:val="bottom"/>
            <w:shd w:val="clear" w:color="auto" w:fill="CFF0FC"/>
          </w:tcPr>
          <w:p>
            <w:pPr>
              <w:spacing w:after="0"/>
              <w:rPr>
                <w:sz w:val="18"/>
                <w:szCs w:val="18"/>
                <w:color w:val="auto"/>
              </w:rPr>
            </w:pPr>
          </w:p>
        </w:tc>
      </w:tr>
      <w:tr>
        <w:trPr>
          <w:trHeight w:val="216"/>
        </w:trPr>
        <w:tc>
          <w:tcPr>
            <w:tcW w:w="5920" w:type="dxa"/>
            <w:vAlign w:val="bottom"/>
          </w:tcPr>
          <w:p>
            <w:pPr>
              <w:spacing w:after="0"/>
              <w:rPr>
                <w:sz w:val="20"/>
                <w:szCs w:val="20"/>
                <w:color w:val="auto"/>
              </w:rPr>
            </w:pPr>
            <w:r>
              <w:rPr>
                <w:rFonts w:ascii="Arial" w:cs="Arial" w:eastAsia="Arial" w:hAnsi="Arial"/>
                <w:sz w:val="18"/>
                <w:szCs w:val="18"/>
                <w:color w:val="auto"/>
              </w:rPr>
              <w:t>Developed technology</w:t>
            </w:r>
          </w:p>
        </w:tc>
        <w:tc>
          <w:tcPr>
            <w:tcW w:w="66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42,558</w:t>
            </w: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40" w:type="dxa"/>
            <w:vAlign w:val="bottom"/>
            <w:gridSpan w:val="2"/>
          </w:tcPr>
          <w:p>
            <w:pPr>
              <w:jc w:val="right"/>
              <w:ind w:right="280"/>
              <w:spacing w:after="0"/>
              <w:rPr>
                <w:sz w:val="20"/>
                <w:szCs w:val="20"/>
                <w:color w:val="auto"/>
              </w:rPr>
            </w:pPr>
            <w:r>
              <w:rPr>
                <w:rFonts w:ascii="Arial" w:cs="Arial" w:eastAsia="Arial" w:hAnsi="Arial"/>
                <w:sz w:val="18"/>
                <w:szCs w:val="18"/>
                <w:color w:val="auto"/>
              </w:rPr>
              <w:t>(39,270)</w:t>
            </w:r>
          </w:p>
        </w:tc>
        <w:tc>
          <w:tcPr>
            <w:tcW w:w="18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3,288</w:t>
            </w:r>
          </w:p>
        </w:tc>
        <w:tc>
          <w:tcPr>
            <w:tcW w:w="100" w:type="dxa"/>
            <w:vAlign w:val="bottom"/>
          </w:tcPr>
          <w:p>
            <w:pPr>
              <w:spacing w:after="0"/>
              <w:rPr>
                <w:sz w:val="18"/>
                <w:szCs w:val="18"/>
                <w:color w:val="auto"/>
              </w:rPr>
            </w:pPr>
          </w:p>
        </w:tc>
      </w:tr>
      <w:tr>
        <w:trPr>
          <w:trHeight w:val="216"/>
        </w:trPr>
        <w:tc>
          <w:tcPr>
            <w:tcW w:w="5920" w:type="dxa"/>
            <w:vAlign w:val="bottom"/>
            <w:shd w:val="clear" w:color="auto" w:fill="CFF0FC"/>
          </w:tcPr>
          <w:p>
            <w:pPr>
              <w:spacing w:after="0"/>
              <w:rPr>
                <w:sz w:val="20"/>
                <w:szCs w:val="20"/>
                <w:color w:val="auto"/>
              </w:rPr>
            </w:pPr>
            <w:r>
              <w:rPr>
                <w:rFonts w:ascii="Arial" w:cs="Arial" w:eastAsia="Arial" w:hAnsi="Arial"/>
                <w:sz w:val="18"/>
                <w:szCs w:val="18"/>
                <w:color w:val="auto"/>
              </w:rPr>
              <w:t>Customer relationships</w:t>
            </w:r>
          </w:p>
        </w:tc>
        <w:tc>
          <w:tcPr>
            <w:tcW w:w="660" w:type="dxa"/>
            <w:vAlign w:val="bottom"/>
            <w:shd w:val="clear" w:color="auto" w:fill="CFF0FC"/>
          </w:tcPr>
          <w:p>
            <w:pPr>
              <w:spacing w:after="0"/>
              <w:rPr>
                <w:sz w:val="18"/>
                <w:szCs w:val="18"/>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31,783</w:t>
            </w:r>
          </w:p>
        </w:tc>
        <w:tc>
          <w:tcPr>
            <w:tcW w:w="3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640" w:type="dxa"/>
            <w:vAlign w:val="bottom"/>
            <w:gridSpan w:val="2"/>
            <w:shd w:val="clear" w:color="auto" w:fill="CFF0FC"/>
          </w:tcPr>
          <w:p>
            <w:pPr>
              <w:jc w:val="right"/>
              <w:ind w:right="280"/>
              <w:spacing w:after="0"/>
              <w:rPr>
                <w:sz w:val="20"/>
                <w:szCs w:val="20"/>
                <w:color w:val="auto"/>
              </w:rPr>
            </w:pPr>
            <w:r>
              <w:rPr>
                <w:rFonts w:ascii="Arial" w:cs="Arial" w:eastAsia="Arial" w:hAnsi="Arial"/>
                <w:sz w:val="18"/>
                <w:szCs w:val="18"/>
                <w:color w:val="auto"/>
              </w:rPr>
              <w:t>(23,404)</w:t>
            </w:r>
          </w:p>
        </w:tc>
        <w:tc>
          <w:tcPr>
            <w:tcW w:w="180" w:type="dxa"/>
            <w:vAlign w:val="bottom"/>
            <w:shd w:val="clear" w:color="auto" w:fill="CFF0FC"/>
          </w:tcPr>
          <w:p>
            <w:pPr>
              <w:spacing w:after="0"/>
              <w:rPr>
                <w:sz w:val="18"/>
                <w:szCs w:val="18"/>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8,379</w:t>
            </w:r>
          </w:p>
        </w:tc>
        <w:tc>
          <w:tcPr>
            <w:tcW w:w="100" w:type="dxa"/>
            <w:vAlign w:val="bottom"/>
            <w:shd w:val="clear" w:color="auto" w:fill="CFF0FC"/>
          </w:tcPr>
          <w:p>
            <w:pPr>
              <w:spacing w:after="0"/>
              <w:rPr>
                <w:sz w:val="18"/>
                <w:szCs w:val="18"/>
                <w:color w:val="auto"/>
              </w:rPr>
            </w:pPr>
          </w:p>
        </w:tc>
      </w:tr>
      <w:tr>
        <w:trPr>
          <w:trHeight w:val="20"/>
        </w:trPr>
        <w:tc>
          <w:tcPr>
            <w:tcW w:w="592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5920" w:type="dxa"/>
            <w:vAlign w:val="bottom"/>
          </w:tcPr>
          <w:p>
            <w:pPr>
              <w:spacing w:after="0"/>
              <w:rPr>
                <w:sz w:val="18"/>
                <w:szCs w:val="18"/>
                <w:color w:val="auto"/>
              </w:rPr>
            </w:pPr>
          </w:p>
        </w:tc>
        <w:tc>
          <w:tcPr>
            <w:tcW w:w="660" w:type="dxa"/>
            <w:vAlign w:val="bottom"/>
          </w:tcPr>
          <w:p>
            <w:pPr>
              <w:jc w:val="right"/>
              <w:ind w:right="476"/>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90,318</w:t>
            </w:r>
          </w:p>
        </w:tc>
        <w:tc>
          <w:tcPr>
            <w:tcW w:w="5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640" w:type="dxa"/>
            <w:vAlign w:val="bottom"/>
            <w:gridSpan w:val="2"/>
          </w:tcPr>
          <w:p>
            <w:pPr>
              <w:jc w:val="right"/>
              <w:ind w:right="280"/>
              <w:spacing w:after="0"/>
              <w:rPr>
                <w:sz w:val="20"/>
                <w:szCs w:val="20"/>
                <w:color w:val="auto"/>
              </w:rPr>
            </w:pPr>
            <w:r>
              <w:rPr>
                <w:rFonts w:ascii="Arial" w:cs="Arial" w:eastAsia="Arial" w:hAnsi="Arial"/>
                <w:sz w:val="18"/>
                <w:szCs w:val="18"/>
                <w:color w:val="auto"/>
              </w:rPr>
              <w:t>(72,798)</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17,520</w:t>
            </w:r>
          </w:p>
        </w:tc>
        <w:tc>
          <w:tcPr>
            <w:tcW w:w="100" w:type="dxa"/>
            <w:vAlign w:val="bottom"/>
          </w:tcPr>
          <w:p>
            <w:pPr>
              <w:spacing w:after="0"/>
              <w:rPr>
                <w:sz w:val="18"/>
                <w:szCs w:val="18"/>
                <w:color w:val="auto"/>
              </w:rPr>
            </w:pPr>
          </w:p>
        </w:tc>
      </w:tr>
      <w:tr>
        <w:trPr>
          <w:trHeight w:val="20"/>
        </w:trPr>
        <w:tc>
          <w:tcPr>
            <w:tcW w:w="592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500" w:type="dxa"/>
            <w:vAlign w:val="bottom"/>
            <w:tcBorders>
              <w:top w:val="single" w:sz="8" w:color="auto"/>
              <w:bottom w:val="single" w:sz="8" w:color="auto"/>
            </w:tcBorders>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440"/>
        </w:trPr>
        <w:tc>
          <w:tcPr>
            <w:tcW w:w="5920" w:type="dxa"/>
            <w:vAlign w:val="bottom"/>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2180" w:type="dxa"/>
            <w:vAlign w:val="bottom"/>
            <w:tcBorders>
              <w:bottom w:val="single" w:sz="8" w:color="auto"/>
            </w:tcBorders>
            <w:gridSpan w:val="4"/>
          </w:tcPr>
          <w:p>
            <w:pPr>
              <w:jc w:val="right"/>
              <w:ind w:right="640"/>
              <w:spacing w:after="0"/>
              <w:rPr>
                <w:sz w:val="20"/>
                <w:szCs w:val="20"/>
                <w:color w:val="auto"/>
              </w:rPr>
            </w:pPr>
            <w:r>
              <w:rPr>
                <w:rFonts w:ascii="Arial" w:cs="Arial" w:eastAsia="Arial" w:hAnsi="Arial"/>
                <w:sz w:val="14"/>
                <w:szCs w:val="14"/>
                <w:b w:val="1"/>
                <w:bCs w:val="1"/>
                <w:color w:val="auto"/>
              </w:rPr>
              <w:t>December 31, 2018</w:t>
            </w:r>
          </w:p>
        </w:tc>
        <w:tc>
          <w:tcPr>
            <w:tcW w:w="18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156"/>
        </w:trPr>
        <w:tc>
          <w:tcPr>
            <w:tcW w:w="59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640" w:type="dxa"/>
            <w:vAlign w:val="bottom"/>
            <w:gridSpan w:val="2"/>
          </w:tcPr>
          <w:p>
            <w:pPr>
              <w:jc w:val="right"/>
              <w:ind w:right="640"/>
              <w:spacing w:after="0" w:line="156" w:lineRule="exact"/>
              <w:rPr>
                <w:sz w:val="20"/>
                <w:szCs w:val="20"/>
                <w:color w:val="auto"/>
              </w:rPr>
            </w:pPr>
            <w:r>
              <w:rPr>
                <w:rFonts w:ascii="Arial" w:cs="Arial" w:eastAsia="Arial" w:hAnsi="Arial"/>
                <w:sz w:val="14"/>
                <w:szCs w:val="14"/>
                <w:b w:val="1"/>
                <w:bCs w:val="1"/>
                <w:color w:val="auto"/>
              </w:rPr>
              <w:t>Accumulated</w:t>
            </w:r>
          </w:p>
        </w:tc>
        <w:tc>
          <w:tcPr>
            <w:tcW w:w="180" w:type="dxa"/>
            <w:vAlign w:val="bottom"/>
          </w:tcPr>
          <w:p>
            <w:pPr>
              <w:spacing w:after="0"/>
              <w:rPr>
                <w:sz w:val="13"/>
                <w:szCs w:val="13"/>
                <w:color w:val="auto"/>
              </w:rPr>
            </w:pPr>
          </w:p>
        </w:tc>
        <w:tc>
          <w:tcPr>
            <w:tcW w:w="1340" w:type="dxa"/>
            <w:vAlign w:val="bottom"/>
            <w:gridSpan w:val="2"/>
          </w:tcPr>
          <w:p>
            <w:pPr>
              <w:jc w:val="center"/>
              <w:ind w:right="280"/>
              <w:spacing w:after="0" w:line="156" w:lineRule="exact"/>
              <w:rPr>
                <w:sz w:val="20"/>
                <w:szCs w:val="20"/>
                <w:color w:val="auto"/>
              </w:rPr>
            </w:pPr>
            <w:r>
              <w:rPr>
                <w:rFonts w:ascii="Arial" w:cs="Arial" w:eastAsia="Arial" w:hAnsi="Arial"/>
                <w:sz w:val="14"/>
                <w:szCs w:val="14"/>
                <w:b w:val="1"/>
                <w:bCs w:val="1"/>
                <w:color w:val="auto"/>
              </w:rPr>
              <w:t>Net Carrying</w:t>
            </w:r>
          </w:p>
        </w:tc>
      </w:tr>
      <w:tr>
        <w:trPr>
          <w:trHeight w:val="175"/>
        </w:trPr>
        <w:tc>
          <w:tcPr>
            <w:tcW w:w="5920" w:type="dxa"/>
            <w:vAlign w:val="bottom"/>
            <w:tcBorders>
              <w:bottom w:val="single" w:sz="8" w:color="CFF0FC"/>
            </w:tcBorders>
          </w:tcPr>
          <w:p>
            <w:pPr>
              <w:spacing w:after="0"/>
              <w:rPr>
                <w:sz w:val="15"/>
                <w:szCs w:val="15"/>
                <w:color w:val="auto"/>
              </w:rPr>
            </w:pPr>
          </w:p>
        </w:tc>
        <w:tc>
          <w:tcPr>
            <w:tcW w:w="180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Gross Carrying Amount</w:t>
            </w:r>
          </w:p>
        </w:tc>
        <w:tc>
          <w:tcPr>
            <w:tcW w:w="340" w:type="dxa"/>
            <w:vAlign w:val="bottom"/>
            <w:tcBorders>
              <w:bottom w:val="single" w:sz="8" w:color="CFF0FC"/>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tcPr>
          <w:p>
            <w:pPr>
              <w:jc w:val="right"/>
              <w:ind w:right="236"/>
              <w:spacing w:after="0"/>
              <w:rPr>
                <w:sz w:val="20"/>
                <w:szCs w:val="20"/>
                <w:color w:val="auto"/>
              </w:rPr>
            </w:pPr>
            <w:r>
              <w:rPr>
                <w:rFonts w:ascii="Arial" w:cs="Arial" w:eastAsia="Arial" w:hAnsi="Arial"/>
                <w:sz w:val="14"/>
                <w:szCs w:val="14"/>
                <w:b w:val="1"/>
                <w:bCs w:val="1"/>
                <w:color w:val="auto"/>
              </w:rPr>
              <w:t>Amortization</w:t>
            </w:r>
          </w:p>
        </w:tc>
        <w:tc>
          <w:tcPr>
            <w:tcW w:w="340" w:type="dxa"/>
            <w:vAlign w:val="bottom"/>
            <w:tcBorders>
              <w:bottom w:val="single" w:sz="8" w:color="CFF0FC"/>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tcPr>
          <w:p>
            <w:pPr>
              <w:jc w:val="center"/>
              <w:ind w:right="96"/>
              <w:spacing w:after="0"/>
              <w:rPr>
                <w:sz w:val="20"/>
                <w:szCs w:val="20"/>
                <w:color w:val="auto"/>
              </w:rPr>
            </w:pPr>
            <w:r>
              <w:rPr>
                <w:rFonts w:ascii="Arial" w:cs="Arial" w:eastAsia="Arial" w:hAnsi="Arial"/>
                <w:sz w:val="14"/>
                <w:szCs w:val="14"/>
                <w:b w:val="1"/>
                <w:bCs w:val="1"/>
                <w:color w:val="auto"/>
              </w:rPr>
              <w:t>Amount</w:t>
            </w:r>
          </w:p>
        </w:tc>
        <w:tc>
          <w:tcPr>
            <w:tcW w:w="100" w:type="dxa"/>
            <w:vAlign w:val="bottom"/>
            <w:tcBorders>
              <w:bottom w:val="single" w:sz="8" w:color="CFF0FC"/>
            </w:tcBorders>
          </w:tcPr>
          <w:p>
            <w:pPr>
              <w:spacing w:after="0"/>
              <w:rPr>
                <w:sz w:val="15"/>
                <w:szCs w:val="15"/>
                <w:color w:val="auto"/>
              </w:rPr>
            </w:pPr>
          </w:p>
        </w:tc>
      </w:tr>
      <w:tr>
        <w:trPr>
          <w:trHeight w:val="210"/>
        </w:trPr>
        <w:tc>
          <w:tcPr>
            <w:tcW w:w="5920" w:type="dxa"/>
            <w:vAlign w:val="bottom"/>
            <w:shd w:val="clear" w:color="auto" w:fill="CFF0FC"/>
          </w:tcPr>
          <w:p>
            <w:pPr>
              <w:spacing w:after="0"/>
              <w:rPr>
                <w:sz w:val="20"/>
                <w:szCs w:val="20"/>
                <w:color w:val="auto"/>
              </w:rPr>
            </w:pPr>
            <w:r>
              <w:rPr>
                <w:rFonts w:ascii="Arial" w:cs="Arial" w:eastAsia="Arial" w:hAnsi="Arial"/>
                <w:sz w:val="18"/>
                <w:szCs w:val="18"/>
                <w:color w:val="auto"/>
              </w:rPr>
              <w:t>Trade name</w:t>
            </w:r>
          </w:p>
        </w:tc>
        <w:tc>
          <w:tcPr>
            <w:tcW w:w="660" w:type="dxa"/>
            <w:vAlign w:val="bottom"/>
            <w:shd w:val="clear" w:color="auto" w:fill="CFF0FC"/>
          </w:tcPr>
          <w:p>
            <w:pPr>
              <w:jc w:val="right"/>
              <w:ind w:right="476"/>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15,977</w:t>
            </w:r>
          </w:p>
        </w:tc>
        <w:tc>
          <w:tcPr>
            <w:tcW w:w="54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w:t>
            </w:r>
          </w:p>
        </w:tc>
        <w:tc>
          <w:tcPr>
            <w:tcW w:w="1640" w:type="dxa"/>
            <w:vAlign w:val="bottom"/>
            <w:gridSpan w:val="2"/>
            <w:shd w:val="clear" w:color="auto" w:fill="CFF0FC"/>
          </w:tcPr>
          <w:p>
            <w:pPr>
              <w:jc w:val="right"/>
              <w:ind w:right="280"/>
              <w:spacing w:after="0"/>
              <w:rPr>
                <w:sz w:val="20"/>
                <w:szCs w:val="20"/>
                <w:color w:val="auto"/>
              </w:rPr>
            </w:pPr>
            <w:r>
              <w:rPr>
                <w:rFonts w:ascii="Arial" w:cs="Arial" w:eastAsia="Arial" w:hAnsi="Arial"/>
                <w:sz w:val="18"/>
                <w:szCs w:val="18"/>
                <w:color w:val="auto"/>
              </w:rPr>
              <w:t>(8,528)</w:t>
            </w: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7,449</w:t>
            </w:r>
          </w:p>
        </w:tc>
        <w:tc>
          <w:tcPr>
            <w:tcW w:w="100" w:type="dxa"/>
            <w:vAlign w:val="bottom"/>
            <w:shd w:val="clear" w:color="auto" w:fill="CFF0FC"/>
          </w:tcPr>
          <w:p>
            <w:pPr>
              <w:spacing w:after="0"/>
              <w:rPr>
                <w:sz w:val="18"/>
                <w:szCs w:val="18"/>
                <w:color w:val="auto"/>
              </w:rPr>
            </w:pPr>
          </w:p>
        </w:tc>
      </w:tr>
      <w:tr>
        <w:trPr>
          <w:trHeight w:val="216"/>
        </w:trPr>
        <w:tc>
          <w:tcPr>
            <w:tcW w:w="5920" w:type="dxa"/>
            <w:vAlign w:val="bottom"/>
          </w:tcPr>
          <w:p>
            <w:pPr>
              <w:spacing w:after="0"/>
              <w:rPr>
                <w:sz w:val="20"/>
                <w:szCs w:val="20"/>
                <w:color w:val="auto"/>
              </w:rPr>
            </w:pPr>
            <w:r>
              <w:rPr>
                <w:rFonts w:ascii="Arial" w:cs="Arial" w:eastAsia="Arial" w:hAnsi="Arial"/>
                <w:sz w:val="18"/>
                <w:szCs w:val="18"/>
                <w:color w:val="auto"/>
              </w:rPr>
              <w:t>Developed technology</w:t>
            </w:r>
          </w:p>
        </w:tc>
        <w:tc>
          <w:tcPr>
            <w:tcW w:w="66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42,558</w:t>
            </w: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40" w:type="dxa"/>
            <w:vAlign w:val="bottom"/>
            <w:gridSpan w:val="2"/>
          </w:tcPr>
          <w:p>
            <w:pPr>
              <w:jc w:val="right"/>
              <w:ind w:right="280"/>
              <w:spacing w:after="0"/>
              <w:rPr>
                <w:sz w:val="20"/>
                <w:szCs w:val="20"/>
                <w:color w:val="auto"/>
              </w:rPr>
            </w:pPr>
            <w:r>
              <w:rPr>
                <w:rFonts w:ascii="Arial" w:cs="Arial" w:eastAsia="Arial" w:hAnsi="Arial"/>
                <w:sz w:val="18"/>
                <w:szCs w:val="18"/>
                <w:color w:val="auto"/>
              </w:rPr>
              <w:t>(34,472)</w:t>
            </w:r>
          </w:p>
        </w:tc>
        <w:tc>
          <w:tcPr>
            <w:tcW w:w="18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8,086</w:t>
            </w:r>
          </w:p>
        </w:tc>
        <w:tc>
          <w:tcPr>
            <w:tcW w:w="100" w:type="dxa"/>
            <w:vAlign w:val="bottom"/>
          </w:tcPr>
          <w:p>
            <w:pPr>
              <w:spacing w:after="0"/>
              <w:rPr>
                <w:sz w:val="18"/>
                <w:szCs w:val="18"/>
                <w:color w:val="auto"/>
              </w:rPr>
            </w:pPr>
          </w:p>
        </w:tc>
      </w:tr>
      <w:tr>
        <w:trPr>
          <w:trHeight w:val="216"/>
        </w:trPr>
        <w:tc>
          <w:tcPr>
            <w:tcW w:w="5920" w:type="dxa"/>
            <w:vAlign w:val="bottom"/>
            <w:shd w:val="clear" w:color="auto" w:fill="CFF0FC"/>
          </w:tcPr>
          <w:p>
            <w:pPr>
              <w:spacing w:after="0"/>
              <w:rPr>
                <w:sz w:val="20"/>
                <w:szCs w:val="20"/>
                <w:color w:val="auto"/>
              </w:rPr>
            </w:pPr>
            <w:r>
              <w:rPr>
                <w:rFonts w:ascii="Arial" w:cs="Arial" w:eastAsia="Arial" w:hAnsi="Arial"/>
                <w:sz w:val="18"/>
                <w:szCs w:val="18"/>
                <w:color w:val="auto"/>
              </w:rPr>
              <w:t>Customer relationships</w:t>
            </w:r>
          </w:p>
        </w:tc>
        <w:tc>
          <w:tcPr>
            <w:tcW w:w="660" w:type="dxa"/>
            <w:vAlign w:val="bottom"/>
            <w:shd w:val="clear" w:color="auto" w:fill="CFF0FC"/>
          </w:tcPr>
          <w:p>
            <w:pPr>
              <w:spacing w:after="0"/>
              <w:rPr>
                <w:sz w:val="18"/>
                <w:szCs w:val="18"/>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31,783</w:t>
            </w:r>
          </w:p>
        </w:tc>
        <w:tc>
          <w:tcPr>
            <w:tcW w:w="3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640" w:type="dxa"/>
            <w:vAlign w:val="bottom"/>
            <w:gridSpan w:val="2"/>
            <w:shd w:val="clear" w:color="auto" w:fill="CFF0FC"/>
          </w:tcPr>
          <w:p>
            <w:pPr>
              <w:jc w:val="right"/>
              <w:ind w:right="280"/>
              <w:spacing w:after="0"/>
              <w:rPr>
                <w:sz w:val="20"/>
                <w:szCs w:val="20"/>
                <w:color w:val="auto"/>
              </w:rPr>
            </w:pPr>
            <w:r>
              <w:rPr>
                <w:rFonts w:ascii="Arial" w:cs="Arial" w:eastAsia="Arial" w:hAnsi="Arial"/>
                <w:sz w:val="18"/>
                <w:szCs w:val="18"/>
                <w:color w:val="auto"/>
              </w:rPr>
              <w:t>(19,533)</w:t>
            </w:r>
          </w:p>
        </w:tc>
        <w:tc>
          <w:tcPr>
            <w:tcW w:w="180" w:type="dxa"/>
            <w:vAlign w:val="bottom"/>
            <w:shd w:val="clear" w:color="auto" w:fill="CFF0FC"/>
          </w:tcPr>
          <w:p>
            <w:pPr>
              <w:spacing w:after="0"/>
              <w:rPr>
                <w:sz w:val="18"/>
                <w:szCs w:val="18"/>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12,250</w:t>
            </w:r>
          </w:p>
        </w:tc>
        <w:tc>
          <w:tcPr>
            <w:tcW w:w="100" w:type="dxa"/>
            <w:vAlign w:val="bottom"/>
            <w:shd w:val="clear" w:color="auto" w:fill="CFF0FC"/>
          </w:tcPr>
          <w:p>
            <w:pPr>
              <w:spacing w:after="0"/>
              <w:rPr>
                <w:sz w:val="18"/>
                <w:szCs w:val="18"/>
                <w:color w:val="auto"/>
              </w:rPr>
            </w:pPr>
          </w:p>
        </w:tc>
      </w:tr>
      <w:tr>
        <w:trPr>
          <w:trHeight w:val="20"/>
        </w:trPr>
        <w:tc>
          <w:tcPr>
            <w:tcW w:w="592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5920" w:type="dxa"/>
            <w:vAlign w:val="bottom"/>
          </w:tcPr>
          <w:p>
            <w:pPr>
              <w:spacing w:after="0"/>
              <w:rPr>
                <w:sz w:val="18"/>
                <w:szCs w:val="18"/>
                <w:color w:val="auto"/>
              </w:rPr>
            </w:pPr>
          </w:p>
        </w:tc>
        <w:tc>
          <w:tcPr>
            <w:tcW w:w="660" w:type="dxa"/>
            <w:vAlign w:val="bottom"/>
          </w:tcPr>
          <w:p>
            <w:pPr>
              <w:jc w:val="right"/>
              <w:ind w:right="476"/>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90,318</w:t>
            </w:r>
          </w:p>
        </w:tc>
        <w:tc>
          <w:tcPr>
            <w:tcW w:w="5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640" w:type="dxa"/>
            <w:vAlign w:val="bottom"/>
            <w:gridSpan w:val="2"/>
          </w:tcPr>
          <w:p>
            <w:pPr>
              <w:jc w:val="right"/>
              <w:ind w:right="280"/>
              <w:spacing w:after="0"/>
              <w:rPr>
                <w:sz w:val="20"/>
                <w:szCs w:val="20"/>
                <w:color w:val="auto"/>
              </w:rPr>
            </w:pPr>
            <w:r>
              <w:rPr>
                <w:rFonts w:ascii="Arial" w:cs="Arial" w:eastAsia="Arial" w:hAnsi="Arial"/>
                <w:sz w:val="18"/>
                <w:szCs w:val="18"/>
                <w:color w:val="auto"/>
              </w:rPr>
              <w:t>(62,533)</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27,785</w:t>
            </w:r>
          </w:p>
        </w:tc>
        <w:tc>
          <w:tcPr>
            <w:tcW w:w="100" w:type="dxa"/>
            <w:vAlign w:val="bottom"/>
          </w:tcPr>
          <w:p>
            <w:pPr>
              <w:spacing w:after="0"/>
              <w:rPr>
                <w:sz w:val="18"/>
                <w:szCs w:val="18"/>
                <w:color w:val="auto"/>
              </w:rPr>
            </w:pPr>
          </w:p>
        </w:tc>
      </w:tr>
      <w:tr>
        <w:trPr>
          <w:trHeight w:val="20"/>
        </w:trPr>
        <w:tc>
          <w:tcPr>
            <w:tcW w:w="592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58" w:lineRule="exact"/>
        <w:rPr>
          <w:sz w:val="20"/>
          <w:szCs w:val="20"/>
          <w:color w:val="auto"/>
        </w:rPr>
      </w:pPr>
    </w:p>
    <w:p>
      <w:pPr>
        <w:ind w:right="80" w:firstLine="518"/>
        <w:spacing w:after="0" w:line="246" w:lineRule="auto"/>
        <w:rPr>
          <w:sz w:val="20"/>
          <w:szCs w:val="20"/>
          <w:color w:val="auto"/>
        </w:rPr>
      </w:pPr>
      <w:r>
        <w:rPr>
          <w:rFonts w:ascii="Arial" w:cs="Arial" w:eastAsia="Arial" w:hAnsi="Arial"/>
          <w:sz w:val="18"/>
          <w:szCs w:val="18"/>
          <w:color w:val="auto"/>
        </w:rPr>
        <w:t>Amortization expense is included in the following functional statements of operations expense categories. Amortization expense was as follows (in thousands):</w:t>
      </w:r>
    </w:p>
    <w:p>
      <w:pPr>
        <w:spacing w:after="0" w:line="266"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5920" w:type="dxa"/>
            <w:vAlign w:val="bottom"/>
          </w:tcPr>
          <w:p>
            <w:pPr>
              <w:spacing w:after="0"/>
              <w:rPr>
                <w:sz w:val="15"/>
                <w:szCs w:val="15"/>
                <w:color w:val="auto"/>
              </w:rPr>
            </w:pPr>
          </w:p>
        </w:tc>
        <w:tc>
          <w:tcPr>
            <w:tcW w:w="114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spacing w:after="0"/>
              <w:rPr>
                <w:sz w:val="15"/>
                <w:szCs w:val="15"/>
                <w:color w:val="auto"/>
              </w:rPr>
            </w:pPr>
          </w:p>
        </w:tc>
        <w:tc>
          <w:tcPr>
            <w:tcW w:w="2180" w:type="dxa"/>
            <w:vAlign w:val="bottom"/>
            <w:tcBorders>
              <w:bottom w:val="single" w:sz="8" w:color="auto"/>
            </w:tcBorders>
            <w:gridSpan w:val="4"/>
          </w:tcPr>
          <w:p>
            <w:pPr>
              <w:ind w:left="20"/>
              <w:spacing w:after="0"/>
              <w:rPr>
                <w:sz w:val="20"/>
                <w:szCs w:val="20"/>
                <w:color w:val="auto"/>
              </w:rPr>
            </w:pPr>
            <w:r>
              <w:rPr>
                <w:rFonts w:ascii="Arial" w:cs="Arial" w:eastAsia="Arial" w:hAnsi="Arial"/>
                <w:sz w:val="14"/>
                <w:szCs w:val="14"/>
                <w:b w:val="1"/>
                <w:bCs w:val="1"/>
                <w:color w:val="auto"/>
              </w:rPr>
              <w:t>Year Ended December 31,</w:t>
            </w:r>
          </w:p>
        </w:tc>
        <w:tc>
          <w:tcPr>
            <w:tcW w:w="32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r>
      <w:tr>
        <w:trPr>
          <w:trHeight w:val="210"/>
        </w:trPr>
        <w:tc>
          <w:tcPr>
            <w:tcW w:w="5920" w:type="dxa"/>
            <w:vAlign w:val="bottom"/>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2019</w:t>
            </w:r>
          </w:p>
        </w:tc>
        <w:tc>
          <w:tcPr>
            <w:tcW w:w="660" w:type="dxa"/>
            <w:vAlign w:val="bottom"/>
            <w:tcBorders>
              <w:bottom w:val="single" w:sz="8" w:color="auto"/>
            </w:tcBorders>
          </w:tcPr>
          <w:p>
            <w:pPr>
              <w:spacing w:after="0"/>
              <w:rPr>
                <w:sz w:val="18"/>
                <w:szCs w:val="18"/>
                <w:color w:val="auto"/>
              </w:rPr>
            </w:pPr>
          </w:p>
        </w:tc>
        <w:tc>
          <w:tcPr>
            <w:tcW w:w="34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514"/>
              <w:spacing w:after="0"/>
              <w:rPr>
                <w:sz w:val="20"/>
                <w:szCs w:val="20"/>
                <w:color w:val="auto"/>
              </w:rPr>
            </w:pPr>
            <w:r>
              <w:rPr>
                <w:rFonts w:ascii="Arial" w:cs="Arial" w:eastAsia="Arial" w:hAnsi="Arial"/>
                <w:sz w:val="14"/>
                <w:szCs w:val="14"/>
                <w:b w:val="1"/>
                <w:bCs w:val="1"/>
                <w:color w:val="auto"/>
              </w:rPr>
              <w:t>2018</w:t>
            </w:r>
          </w:p>
        </w:tc>
        <w:tc>
          <w:tcPr>
            <w:tcW w:w="34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474"/>
              <w:spacing w:after="0"/>
              <w:rPr>
                <w:sz w:val="20"/>
                <w:szCs w:val="20"/>
                <w:color w:val="auto"/>
              </w:rPr>
            </w:pPr>
            <w:r>
              <w:rPr>
                <w:rFonts w:ascii="Arial" w:cs="Arial" w:eastAsia="Arial" w:hAnsi="Arial"/>
                <w:sz w:val="14"/>
                <w:szCs w:val="14"/>
                <w:b w:val="1"/>
                <w:bCs w:val="1"/>
                <w:color w:val="auto"/>
              </w:rPr>
              <w:t>2017</w:t>
            </w:r>
          </w:p>
        </w:tc>
        <w:tc>
          <w:tcPr>
            <w:tcW w:w="100" w:type="dxa"/>
            <w:vAlign w:val="bottom"/>
          </w:tcPr>
          <w:p>
            <w:pPr>
              <w:spacing w:after="0"/>
              <w:rPr>
                <w:sz w:val="18"/>
                <w:szCs w:val="18"/>
                <w:color w:val="auto"/>
              </w:rPr>
            </w:pPr>
          </w:p>
        </w:tc>
      </w:tr>
      <w:tr>
        <w:trPr>
          <w:trHeight w:val="210"/>
        </w:trPr>
        <w:tc>
          <w:tcPr>
            <w:tcW w:w="5920" w:type="dxa"/>
            <w:vAlign w:val="bottom"/>
          </w:tcPr>
          <w:p>
            <w:pPr>
              <w:spacing w:after="0"/>
              <w:rPr>
                <w:sz w:val="20"/>
                <w:szCs w:val="20"/>
                <w:color w:val="auto"/>
              </w:rPr>
            </w:pPr>
            <w:r>
              <w:rPr>
                <w:rFonts w:ascii="Arial" w:cs="Arial" w:eastAsia="Arial" w:hAnsi="Arial"/>
                <w:sz w:val="18"/>
                <w:szCs w:val="18"/>
                <w:color w:val="auto"/>
              </w:rPr>
              <w:t>Cost of revenues</w:t>
            </w:r>
          </w:p>
        </w:tc>
        <w:tc>
          <w:tcPr>
            <w:tcW w:w="1140" w:type="dxa"/>
            <w:vAlign w:val="bottom"/>
          </w:tcPr>
          <w:p>
            <w:pPr>
              <w:jc w:val="right"/>
              <w:ind w:right="956"/>
              <w:spacing w:after="0"/>
              <w:rPr>
                <w:sz w:val="20"/>
                <w:szCs w:val="20"/>
                <w:color w:val="auto"/>
              </w:rPr>
            </w:pPr>
            <w:r>
              <w:rPr>
                <w:rFonts w:ascii="Arial" w:cs="Arial" w:eastAsia="Arial" w:hAnsi="Arial"/>
                <w:sz w:val="18"/>
                <w:szCs w:val="18"/>
                <w:color w:val="auto"/>
                <w:w w:val="79"/>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4,797</w:t>
            </w:r>
          </w:p>
        </w:tc>
        <w:tc>
          <w:tcPr>
            <w:tcW w:w="6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6,863</w:t>
            </w:r>
          </w:p>
        </w:tc>
        <w:tc>
          <w:tcPr>
            <w:tcW w:w="340" w:type="dxa"/>
            <w:vAlign w:val="bottom"/>
          </w:tcPr>
          <w:p>
            <w:pPr>
              <w:spacing w:after="0"/>
              <w:rPr>
                <w:sz w:val="18"/>
                <w:szCs w:val="18"/>
                <w:color w:val="auto"/>
              </w:rPr>
            </w:pP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6,847</w:t>
            </w:r>
          </w:p>
        </w:tc>
        <w:tc>
          <w:tcPr>
            <w:tcW w:w="100" w:type="dxa"/>
            <w:vAlign w:val="bottom"/>
          </w:tcPr>
          <w:p>
            <w:pPr>
              <w:spacing w:after="0"/>
              <w:rPr>
                <w:sz w:val="18"/>
                <w:szCs w:val="18"/>
                <w:color w:val="auto"/>
              </w:rPr>
            </w:pPr>
          </w:p>
        </w:tc>
      </w:tr>
      <w:tr>
        <w:trPr>
          <w:trHeight w:val="216"/>
        </w:trPr>
        <w:tc>
          <w:tcPr>
            <w:tcW w:w="5920" w:type="dxa"/>
            <w:vAlign w:val="bottom"/>
            <w:shd w:val="clear" w:color="auto" w:fill="CFF0FC"/>
          </w:tcPr>
          <w:p>
            <w:pPr>
              <w:spacing w:after="0"/>
              <w:rPr>
                <w:sz w:val="20"/>
                <w:szCs w:val="20"/>
                <w:color w:val="auto"/>
              </w:rPr>
            </w:pPr>
            <w:r>
              <w:rPr>
                <w:rFonts w:ascii="Arial" w:cs="Arial" w:eastAsia="Arial" w:hAnsi="Arial"/>
                <w:sz w:val="18"/>
                <w:szCs w:val="18"/>
                <w:color w:val="auto"/>
              </w:rPr>
              <w:t>Sales and marketing</w:t>
            </w:r>
          </w:p>
        </w:tc>
        <w:tc>
          <w:tcPr>
            <w:tcW w:w="1140" w:type="dxa"/>
            <w:vAlign w:val="bottom"/>
            <w:shd w:val="clear" w:color="auto" w:fill="CFF0FC"/>
          </w:tcPr>
          <w:p>
            <w:pPr>
              <w:spacing w:after="0"/>
              <w:rPr>
                <w:sz w:val="18"/>
                <w:szCs w:val="18"/>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3,872</w:t>
            </w:r>
          </w:p>
        </w:tc>
        <w:tc>
          <w:tcPr>
            <w:tcW w:w="34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3,887</w:t>
            </w:r>
          </w:p>
        </w:tc>
        <w:tc>
          <w:tcPr>
            <w:tcW w:w="34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3,872</w:t>
            </w:r>
          </w:p>
        </w:tc>
        <w:tc>
          <w:tcPr>
            <w:tcW w:w="100" w:type="dxa"/>
            <w:vAlign w:val="bottom"/>
            <w:shd w:val="clear" w:color="auto" w:fill="CFF0FC"/>
          </w:tcPr>
          <w:p>
            <w:pPr>
              <w:spacing w:after="0"/>
              <w:rPr>
                <w:sz w:val="18"/>
                <w:szCs w:val="18"/>
                <w:color w:val="auto"/>
              </w:rPr>
            </w:pPr>
          </w:p>
        </w:tc>
      </w:tr>
      <w:tr>
        <w:trPr>
          <w:trHeight w:val="216"/>
        </w:trPr>
        <w:tc>
          <w:tcPr>
            <w:tcW w:w="592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General and administrative</w:t>
            </w:r>
          </w:p>
        </w:tc>
        <w:tc>
          <w:tcPr>
            <w:tcW w:w="114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1,596</w:t>
            </w:r>
          </w:p>
        </w:tc>
        <w:tc>
          <w:tcPr>
            <w:tcW w:w="340" w:type="dxa"/>
            <w:vAlign w:val="bottom"/>
            <w:tcBorders>
              <w:bottom w:val="single" w:sz="8" w:color="CFF0FC"/>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2,273</w:t>
            </w:r>
          </w:p>
        </w:tc>
        <w:tc>
          <w:tcPr>
            <w:tcW w:w="340" w:type="dxa"/>
            <w:vAlign w:val="bottom"/>
            <w:tcBorders>
              <w:bottom w:val="single" w:sz="8" w:color="CFF0FC"/>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2,591</w:t>
            </w:r>
          </w:p>
        </w:tc>
        <w:tc>
          <w:tcPr>
            <w:tcW w:w="100" w:type="dxa"/>
            <w:vAlign w:val="bottom"/>
            <w:tcBorders>
              <w:bottom w:val="single" w:sz="8" w:color="CFF0FC"/>
            </w:tcBorders>
          </w:tcPr>
          <w:p>
            <w:pPr>
              <w:spacing w:after="0"/>
              <w:rPr>
                <w:sz w:val="18"/>
                <w:szCs w:val="18"/>
                <w:color w:val="auto"/>
              </w:rPr>
            </w:pPr>
          </w:p>
        </w:tc>
      </w:tr>
      <w:tr>
        <w:trPr>
          <w:trHeight w:val="210"/>
        </w:trPr>
        <w:tc>
          <w:tcPr>
            <w:tcW w:w="5920" w:type="dxa"/>
            <w:vAlign w:val="bottom"/>
            <w:shd w:val="clear" w:color="auto" w:fill="CFF0FC"/>
          </w:tcPr>
          <w:p>
            <w:pPr>
              <w:spacing w:after="0"/>
              <w:rPr>
                <w:sz w:val="18"/>
                <w:szCs w:val="18"/>
                <w:color w:val="auto"/>
              </w:rPr>
            </w:pPr>
          </w:p>
        </w:tc>
        <w:tc>
          <w:tcPr>
            <w:tcW w:w="1140" w:type="dxa"/>
            <w:vAlign w:val="bottom"/>
            <w:shd w:val="clear" w:color="auto" w:fill="CFF0FC"/>
          </w:tcPr>
          <w:p>
            <w:pPr>
              <w:jc w:val="right"/>
              <w:ind w:right="956"/>
              <w:spacing w:after="0"/>
              <w:rPr>
                <w:sz w:val="20"/>
                <w:szCs w:val="20"/>
                <w:color w:val="auto"/>
              </w:rPr>
            </w:pPr>
            <w:r>
              <w:rPr>
                <w:rFonts w:ascii="Arial" w:cs="Arial" w:eastAsia="Arial" w:hAnsi="Arial"/>
                <w:sz w:val="18"/>
                <w:szCs w:val="18"/>
                <w:color w:val="auto"/>
                <w:w w:val="79"/>
              </w:rPr>
              <w:t>$</w:t>
            </w: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10,265</w:t>
            </w:r>
          </w:p>
        </w:tc>
        <w:tc>
          <w:tcPr>
            <w:tcW w:w="68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13,023</w:t>
            </w:r>
          </w:p>
        </w:tc>
        <w:tc>
          <w:tcPr>
            <w:tcW w:w="340" w:type="dxa"/>
            <w:vAlign w:val="bottom"/>
            <w:shd w:val="clear" w:color="auto" w:fill="CFF0FC"/>
          </w:tcPr>
          <w:p>
            <w:pPr>
              <w:spacing w:after="0"/>
              <w:rPr>
                <w:sz w:val="18"/>
                <w:szCs w:val="18"/>
                <w:color w:val="auto"/>
              </w:rPr>
            </w:pPr>
          </w:p>
        </w:tc>
        <w:tc>
          <w:tcPr>
            <w:tcW w:w="320" w:type="dxa"/>
            <w:vAlign w:val="bottom"/>
            <w:shd w:val="clear" w:color="auto" w:fill="CFF0FC"/>
          </w:tcPr>
          <w:p>
            <w:pPr>
              <w:jc w:val="right"/>
              <w:ind w:right="130"/>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13,310</w:t>
            </w:r>
          </w:p>
        </w:tc>
        <w:tc>
          <w:tcPr>
            <w:tcW w:w="100" w:type="dxa"/>
            <w:vAlign w:val="bottom"/>
            <w:shd w:val="clear" w:color="auto" w:fill="CFF0FC"/>
          </w:tcPr>
          <w:p>
            <w:pPr>
              <w:spacing w:after="0"/>
              <w:rPr>
                <w:sz w:val="18"/>
                <w:szCs w:val="18"/>
                <w:color w:val="auto"/>
              </w:rPr>
            </w:pPr>
          </w:p>
        </w:tc>
      </w:tr>
      <w:tr>
        <w:trPr>
          <w:trHeight w:val="20"/>
        </w:trPr>
        <w:tc>
          <w:tcPr>
            <w:tcW w:w="5920" w:type="dxa"/>
            <w:vAlign w:val="bottom"/>
            <w:tcBorders>
              <w:top w:val="single" w:sz="8" w:color="CFF0FC"/>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CFF0FC"/>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CFF0FC"/>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r>
    </w:tbl>
    <w:p>
      <w:pPr>
        <w:spacing w:after="0" w:line="283" w:lineRule="exact"/>
        <w:rPr>
          <w:sz w:val="20"/>
          <w:szCs w:val="20"/>
          <w:color w:val="auto"/>
        </w:rPr>
      </w:pPr>
    </w:p>
    <w:p>
      <w:pPr>
        <w:ind w:right="80" w:firstLine="518"/>
        <w:spacing w:after="0" w:line="246" w:lineRule="auto"/>
        <w:rPr>
          <w:sz w:val="20"/>
          <w:szCs w:val="20"/>
          <w:color w:val="auto"/>
        </w:rPr>
      </w:pPr>
      <w:r>
        <w:rPr>
          <w:rFonts w:ascii="Arial" w:cs="Arial" w:eastAsia="Arial" w:hAnsi="Arial"/>
          <w:sz w:val="18"/>
          <w:szCs w:val="18"/>
          <w:color w:val="auto"/>
        </w:rPr>
        <w:t>The following table presents the Company’s estimate of remaining amortization expense for each of the five succeeding fiscal years and thereafter for finite-lived intangible assets at December 31, 2019 (in thousands):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620" w:type="dxa"/>
            <w:vAlign w:val="bottom"/>
            <w:shd w:val="clear" w:color="auto" w:fill="CFF0FC"/>
          </w:tcPr>
          <w:p>
            <w:pPr>
              <w:spacing w:after="0"/>
              <w:rPr>
                <w:sz w:val="20"/>
                <w:szCs w:val="20"/>
                <w:color w:val="auto"/>
              </w:rPr>
            </w:pPr>
            <w:r>
              <w:rPr>
                <w:rFonts w:ascii="Arial" w:cs="Arial" w:eastAsia="Arial" w:hAnsi="Arial"/>
                <w:sz w:val="18"/>
                <w:szCs w:val="18"/>
                <w:color w:val="auto"/>
              </w:rPr>
              <w:t>2020</w:t>
            </w:r>
          </w:p>
        </w:tc>
        <w:tc>
          <w:tcPr>
            <w:tcW w:w="1100" w:type="dxa"/>
            <w:vAlign w:val="bottom"/>
            <w:shd w:val="clear" w:color="auto" w:fill="CFF0FC"/>
          </w:tcPr>
          <w:p>
            <w:pPr>
              <w:jc w:val="right"/>
              <w:ind w:right="910"/>
              <w:spacing w:after="0"/>
              <w:rPr>
                <w:sz w:val="20"/>
                <w:szCs w:val="20"/>
                <w:color w:val="auto"/>
              </w:rPr>
            </w:pPr>
            <w:r>
              <w:rPr>
                <w:rFonts w:ascii="Arial" w:cs="Arial" w:eastAsia="Arial" w:hAnsi="Arial"/>
                <w:sz w:val="18"/>
                <w:szCs w:val="18"/>
                <w:color w:val="auto"/>
                <w:w w:val="79"/>
              </w:rPr>
              <w:t>$</w:t>
            </w:r>
          </w:p>
        </w:tc>
        <w:tc>
          <w:tcPr>
            <w:tcW w:w="15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6,172</w:t>
            </w:r>
          </w:p>
        </w:tc>
        <w:tc>
          <w:tcPr>
            <w:tcW w:w="120" w:type="dxa"/>
            <w:vAlign w:val="bottom"/>
            <w:shd w:val="clear" w:color="auto" w:fill="CFF0FC"/>
          </w:tcPr>
          <w:p>
            <w:pPr>
              <w:spacing w:after="0"/>
              <w:rPr>
                <w:sz w:val="18"/>
                <w:szCs w:val="18"/>
                <w:color w:val="auto"/>
              </w:rPr>
            </w:pPr>
          </w:p>
        </w:tc>
      </w:tr>
      <w:tr>
        <w:trPr>
          <w:trHeight w:val="216"/>
        </w:trPr>
        <w:tc>
          <w:tcPr>
            <w:tcW w:w="8620" w:type="dxa"/>
            <w:vAlign w:val="bottom"/>
          </w:tcPr>
          <w:p>
            <w:pPr>
              <w:spacing w:after="0"/>
              <w:rPr>
                <w:sz w:val="20"/>
                <w:szCs w:val="20"/>
                <w:color w:val="auto"/>
              </w:rPr>
            </w:pPr>
            <w:r>
              <w:rPr>
                <w:rFonts w:ascii="Arial" w:cs="Arial" w:eastAsia="Arial" w:hAnsi="Arial"/>
                <w:sz w:val="18"/>
                <w:szCs w:val="18"/>
                <w:color w:val="auto"/>
              </w:rPr>
              <w:t>2021</w:t>
            </w:r>
          </w:p>
        </w:tc>
        <w:tc>
          <w:tcPr>
            <w:tcW w:w="110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5,011</w:t>
            </w:r>
          </w:p>
        </w:tc>
        <w:tc>
          <w:tcPr>
            <w:tcW w:w="120" w:type="dxa"/>
            <w:vAlign w:val="bottom"/>
          </w:tcPr>
          <w:p>
            <w:pPr>
              <w:spacing w:after="0"/>
              <w:rPr>
                <w:sz w:val="18"/>
                <w:szCs w:val="18"/>
                <w:color w:val="auto"/>
              </w:rPr>
            </w:pPr>
          </w:p>
        </w:tc>
      </w:tr>
      <w:tr>
        <w:trPr>
          <w:trHeight w:val="216"/>
        </w:trPr>
        <w:tc>
          <w:tcPr>
            <w:tcW w:w="8620" w:type="dxa"/>
            <w:vAlign w:val="bottom"/>
            <w:shd w:val="clear" w:color="auto" w:fill="CFF0FC"/>
          </w:tcPr>
          <w:p>
            <w:pPr>
              <w:spacing w:after="0"/>
              <w:rPr>
                <w:sz w:val="20"/>
                <w:szCs w:val="20"/>
                <w:color w:val="auto"/>
              </w:rPr>
            </w:pPr>
            <w:r>
              <w:rPr>
                <w:rFonts w:ascii="Arial" w:cs="Arial" w:eastAsia="Arial" w:hAnsi="Arial"/>
                <w:sz w:val="18"/>
                <w:szCs w:val="18"/>
                <w:color w:val="auto"/>
              </w:rPr>
              <w:t>2022</w:t>
            </w:r>
          </w:p>
        </w:tc>
        <w:tc>
          <w:tcPr>
            <w:tcW w:w="1100" w:type="dxa"/>
            <w:vAlign w:val="bottom"/>
            <w:shd w:val="clear" w:color="auto" w:fill="CFF0FC"/>
          </w:tcPr>
          <w:p>
            <w:pPr>
              <w:spacing w:after="0"/>
              <w:rPr>
                <w:sz w:val="18"/>
                <w:szCs w:val="18"/>
                <w:color w:val="auto"/>
              </w:rPr>
            </w:pPr>
          </w:p>
        </w:tc>
        <w:tc>
          <w:tcPr>
            <w:tcW w:w="15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2,686</w:t>
            </w:r>
          </w:p>
        </w:tc>
        <w:tc>
          <w:tcPr>
            <w:tcW w:w="120" w:type="dxa"/>
            <w:vAlign w:val="bottom"/>
            <w:shd w:val="clear" w:color="auto" w:fill="CFF0FC"/>
          </w:tcPr>
          <w:p>
            <w:pPr>
              <w:spacing w:after="0"/>
              <w:rPr>
                <w:sz w:val="18"/>
                <w:szCs w:val="18"/>
                <w:color w:val="auto"/>
              </w:rPr>
            </w:pPr>
          </w:p>
        </w:tc>
      </w:tr>
      <w:tr>
        <w:trPr>
          <w:trHeight w:val="216"/>
        </w:trPr>
        <w:tc>
          <w:tcPr>
            <w:tcW w:w="8620" w:type="dxa"/>
            <w:vAlign w:val="bottom"/>
          </w:tcPr>
          <w:p>
            <w:pPr>
              <w:spacing w:after="0"/>
              <w:rPr>
                <w:sz w:val="20"/>
                <w:szCs w:val="20"/>
                <w:color w:val="auto"/>
              </w:rPr>
            </w:pPr>
            <w:r>
              <w:rPr>
                <w:rFonts w:ascii="Arial" w:cs="Arial" w:eastAsia="Arial" w:hAnsi="Arial"/>
                <w:sz w:val="18"/>
                <w:szCs w:val="18"/>
                <w:color w:val="auto"/>
              </w:rPr>
              <w:t>2023</w:t>
            </w:r>
          </w:p>
        </w:tc>
        <w:tc>
          <w:tcPr>
            <w:tcW w:w="110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2,154</w:t>
            </w:r>
          </w:p>
        </w:tc>
        <w:tc>
          <w:tcPr>
            <w:tcW w:w="120" w:type="dxa"/>
            <w:vAlign w:val="bottom"/>
          </w:tcPr>
          <w:p>
            <w:pPr>
              <w:spacing w:after="0"/>
              <w:rPr>
                <w:sz w:val="18"/>
                <w:szCs w:val="18"/>
                <w:color w:val="auto"/>
              </w:rPr>
            </w:pPr>
          </w:p>
        </w:tc>
      </w:tr>
      <w:tr>
        <w:trPr>
          <w:trHeight w:val="216"/>
        </w:trPr>
        <w:tc>
          <w:tcPr>
            <w:tcW w:w="8620" w:type="dxa"/>
            <w:vAlign w:val="bottom"/>
            <w:shd w:val="clear" w:color="auto" w:fill="CFF0FC"/>
          </w:tcPr>
          <w:p>
            <w:pPr>
              <w:spacing w:after="0"/>
              <w:rPr>
                <w:sz w:val="20"/>
                <w:szCs w:val="20"/>
                <w:color w:val="auto"/>
              </w:rPr>
            </w:pPr>
            <w:r>
              <w:rPr>
                <w:rFonts w:ascii="Arial" w:cs="Arial" w:eastAsia="Arial" w:hAnsi="Arial"/>
                <w:sz w:val="18"/>
                <w:szCs w:val="18"/>
                <w:color w:val="auto"/>
              </w:rPr>
              <w:t>2024</w:t>
            </w:r>
          </w:p>
        </w:tc>
        <w:tc>
          <w:tcPr>
            <w:tcW w:w="1100" w:type="dxa"/>
            <w:vAlign w:val="bottom"/>
            <w:shd w:val="clear" w:color="auto" w:fill="CFF0FC"/>
          </w:tcPr>
          <w:p>
            <w:pPr>
              <w:spacing w:after="0"/>
              <w:rPr>
                <w:sz w:val="18"/>
                <w:szCs w:val="18"/>
                <w:color w:val="auto"/>
              </w:rPr>
            </w:pPr>
          </w:p>
        </w:tc>
        <w:tc>
          <w:tcPr>
            <w:tcW w:w="15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855</w:t>
            </w:r>
          </w:p>
        </w:tc>
        <w:tc>
          <w:tcPr>
            <w:tcW w:w="120" w:type="dxa"/>
            <w:vAlign w:val="bottom"/>
            <w:shd w:val="clear" w:color="auto" w:fill="CFF0FC"/>
          </w:tcPr>
          <w:p>
            <w:pPr>
              <w:spacing w:after="0"/>
              <w:rPr>
                <w:sz w:val="18"/>
                <w:szCs w:val="18"/>
                <w:color w:val="auto"/>
              </w:rPr>
            </w:pPr>
          </w:p>
        </w:tc>
      </w:tr>
      <w:tr>
        <w:trPr>
          <w:trHeight w:val="216"/>
        </w:trPr>
        <w:tc>
          <w:tcPr>
            <w:tcW w:w="862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Thereafter</w:t>
            </w:r>
          </w:p>
        </w:tc>
        <w:tc>
          <w:tcPr>
            <w:tcW w:w="1100" w:type="dxa"/>
            <w:vAlign w:val="bottom"/>
            <w:tcBorders>
              <w:bottom w:val="single" w:sz="8" w:color="auto"/>
            </w:tcBorders>
          </w:tcPr>
          <w:p>
            <w:pPr>
              <w:spacing w:after="0"/>
              <w:rPr>
                <w:sz w:val="18"/>
                <w:szCs w:val="18"/>
                <w:color w:val="auto"/>
              </w:rPr>
            </w:pP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642</w:t>
            </w:r>
          </w:p>
        </w:tc>
        <w:tc>
          <w:tcPr>
            <w:tcW w:w="120" w:type="dxa"/>
            <w:vAlign w:val="bottom"/>
            <w:tcBorders>
              <w:bottom w:val="single" w:sz="8" w:color="CFF0FC"/>
            </w:tcBorders>
          </w:tcPr>
          <w:p>
            <w:pPr>
              <w:spacing w:after="0"/>
              <w:rPr>
                <w:sz w:val="18"/>
                <w:szCs w:val="18"/>
                <w:color w:val="auto"/>
              </w:rPr>
            </w:pPr>
          </w:p>
        </w:tc>
      </w:tr>
      <w:tr>
        <w:trPr>
          <w:trHeight w:val="210"/>
        </w:trPr>
        <w:tc>
          <w:tcPr>
            <w:tcW w:w="8620" w:type="dxa"/>
            <w:vAlign w:val="bottom"/>
            <w:tcBorders>
              <w:bottom w:val="single" w:sz="8" w:color="CFF0FC"/>
            </w:tcBorders>
            <w:shd w:val="clear" w:color="auto" w:fill="CFF0FC"/>
          </w:tcPr>
          <w:p>
            <w:pPr>
              <w:spacing w:after="0"/>
              <w:rPr>
                <w:sz w:val="18"/>
                <w:szCs w:val="18"/>
                <w:color w:val="auto"/>
              </w:rPr>
            </w:pPr>
          </w:p>
        </w:tc>
        <w:tc>
          <w:tcPr>
            <w:tcW w:w="1100" w:type="dxa"/>
            <w:vAlign w:val="bottom"/>
            <w:tcBorders>
              <w:bottom w:val="single" w:sz="8" w:color="auto"/>
            </w:tcBorders>
            <w:shd w:val="clear" w:color="auto" w:fill="CFF0FC"/>
          </w:tcPr>
          <w:p>
            <w:pPr>
              <w:jc w:val="right"/>
              <w:ind w:right="910"/>
              <w:spacing w:after="0"/>
              <w:rPr>
                <w:sz w:val="20"/>
                <w:szCs w:val="20"/>
                <w:color w:val="auto"/>
              </w:rPr>
            </w:pPr>
            <w:r>
              <w:rPr>
                <w:rFonts w:ascii="Arial" w:cs="Arial" w:eastAsia="Arial" w:hAnsi="Arial"/>
                <w:sz w:val="18"/>
                <w:szCs w:val="18"/>
                <w:color w:val="auto"/>
                <w:w w:val="79"/>
              </w:rPr>
              <w:t>$</w:t>
            </w:r>
          </w:p>
        </w:tc>
        <w:tc>
          <w:tcPr>
            <w:tcW w:w="15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17,520</w:t>
            </w:r>
          </w:p>
        </w:tc>
        <w:tc>
          <w:tcPr>
            <w:tcW w:w="120" w:type="dxa"/>
            <w:vAlign w:val="bottom"/>
            <w:tcBorders>
              <w:bottom w:val="single" w:sz="8" w:color="CFF0FC"/>
            </w:tcBorders>
            <w:shd w:val="clear" w:color="auto" w:fill="CFF0FC"/>
          </w:tcPr>
          <w:p>
            <w:pPr>
              <w:spacing w:after="0"/>
              <w:rPr>
                <w:sz w:val="18"/>
                <w:szCs w:val="18"/>
                <w:color w:val="auto"/>
              </w:rPr>
            </w:pPr>
          </w:p>
        </w:tc>
      </w:tr>
      <w:tr>
        <w:trPr>
          <w:trHeight w:val="20"/>
        </w:trPr>
        <w:tc>
          <w:tcPr>
            <w:tcW w:w="862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69" w:lineRule="exact"/>
        <w:rPr>
          <w:sz w:val="20"/>
          <w:szCs w:val="20"/>
          <w:color w:val="auto"/>
        </w:rPr>
      </w:pPr>
    </w:p>
    <w:p>
      <w:pPr>
        <w:ind w:left="5620" w:right="1640" w:hanging="5087"/>
        <w:spacing w:after="0" w:line="496" w:lineRule="auto"/>
        <w:rPr>
          <w:sz w:val="20"/>
          <w:szCs w:val="20"/>
          <w:color w:val="auto"/>
        </w:rPr>
      </w:pPr>
      <w:r>
        <w:rPr>
          <w:rFonts w:ascii="Arial" w:cs="Arial" w:eastAsia="Arial" w:hAnsi="Arial"/>
          <w:sz w:val="18"/>
          <w:szCs w:val="18"/>
          <w:color w:val="auto"/>
        </w:rPr>
        <w:t>There were no changes in the carrying amount of goodwill for the years ended December 31, 2019, 2018, and 2017. 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-91440</wp:posOffset>
            </wp:positionV>
            <wp:extent cx="7272020" cy="425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571" w:right="239" w:bottom="1440" w:gutter="0" w:footer="0" w:header="0"/>
        </w:sectPr>
      </w:pPr>
    </w:p>
    <w:bookmarkStart w:id="82" w:name="page83"/>
    <w:bookmarkEnd w:id="82"/>
    <w:p>
      <w:pPr>
        <w:spacing w:after="0"/>
        <w:rPr>
          <w:sz w:val="20"/>
          <w:szCs w:val="20"/>
          <w:color w:val="auto"/>
        </w:rPr>
      </w:pPr>
      <w:r>
        <w:rPr>
          <w:rFonts w:ascii="Arial" w:cs="Arial" w:eastAsia="Arial" w:hAnsi="Arial"/>
          <w:sz w:val="18"/>
          <w:szCs w:val="18"/>
          <w:b w:val="1"/>
          <w:bCs w:val="1"/>
          <w:i w:val="1"/>
          <w:iCs w:val="1"/>
          <w:color w:val="auto"/>
        </w:rPr>
        <w:t>Note 11—Income Taxes</w:t>
      </w:r>
    </w:p>
    <w:p>
      <w:pPr>
        <w:spacing w:after="0" w:line="126"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amounts in the tables below reflect the revisions as discussed in Note 2, “Significant Accounting Policies”.</w:t>
      </w:r>
    </w:p>
    <w:p>
      <w:pPr>
        <w:spacing w:after="0" w:line="104"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components of income (loss) before income taxes were as follows (in thousands):</w:t>
      </w:r>
    </w:p>
    <w:p>
      <w:pPr>
        <w:spacing w:after="0" w:line="294"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6400" w:type="dxa"/>
            <w:vAlign w:val="bottom"/>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900" w:type="dxa"/>
            <w:vAlign w:val="bottom"/>
            <w:tcBorders>
              <w:bottom w:val="single" w:sz="8" w:color="auto"/>
            </w:tcBorders>
            <w:gridSpan w:val="4"/>
          </w:tcPr>
          <w:p>
            <w:pPr>
              <w:jc w:val="center"/>
              <w:ind w:right="100"/>
              <w:spacing w:after="0"/>
              <w:rPr>
                <w:sz w:val="20"/>
                <w:szCs w:val="20"/>
                <w:color w:val="auto"/>
              </w:rPr>
            </w:pPr>
            <w:r>
              <w:rPr>
                <w:rFonts w:ascii="Arial" w:cs="Arial" w:eastAsia="Arial" w:hAnsi="Arial"/>
                <w:sz w:val="14"/>
                <w:szCs w:val="14"/>
                <w:b w:val="1"/>
                <w:bCs w:val="1"/>
                <w:color w:val="auto"/>
              </w:rPr>
              <w:t>Year Ended December 31,</w:t>
            </w:r>
          </w:p>
        </w:tc>
        <w:tc>
          <w:tcPr>
            <w:tcW w:w="34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r>
      <w:tr>
        <w:trPr>
          <w:trHeight w:val="169"/>
        </w:trPr>
        <w:tc>
          <w:tcPr>
            <w:tcW w:w="6400" w:type="dxa"/>
            <w:vAlign w:val="bottom"/>
            <w:tcBorders>
              <w:bottom w:val="single" w:sz="8" w:color="CFF0FC"/>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jc w:val="right"/>
              <w:ind w:right="473"/>
              <w:spacing w:after="0"/>
              <w:rPr>
                <w:sz w:val="20"/>
                <w:szCs w:val="20"/>
                <w:color w:val="auto"/>
              </w:rPr>
            </w:pPr>
            <w:r>
              <w:rPr>
                <w:rFonts w:ascii="Arial" w:cs="Arial" w:eastAsia="Arial" w:hAnsi="Arial"/>
                <w:sz w:val="14"/>
                <w:szCs w:val="14"/>
                <w:b w:val="1"/>
                <w:bCs w:val="1"/>
                <w:color w:val="auto"/>
              </w:rPr>
              <w:t>2019</w:t>
            </w:r>
          </w:p>
        </w:tc>
        <w:tc>
          <w:tcPr>
            <w:tcW w:w="80" w:type="dxa"/>
            <w:vAlign w:val="bottom"/>
            <w:tcBorders>
              <w:bottom w:val="single" w:sz="8" w:color="CFF0FC"/>
            </w:tcBorders>
          </w:tcPr>
          <w:p>
            <w:pPr>
              <w:spacing w:after="0"/>
              <w:rPr>
                <w:sz w:val="14"/>
                <w:szCs w:val="14"/>
                <w:color w:val="auto"/>
              </w:rPr>
            </w:pPr>
          </w:p>
        </w:tc>
        <w:tc>
          <w:tcPr>
            <w:tcW w:w="180" w:type="dxa"/>
            <w:vAlign w:val="bottom"/>
            <w:tcBorders>
              <w:bottom w:val="single" w:sz="8" w:color="CFF0FC"/>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jc w:val="center"/>
              <w:ind w:right="273"/>
              <w:spacing w:after="0"/>
              <w:rPr>
                <w:sz w:val="20"/>
                <w:szCs w:val="20"/>
                <w:color w:val="auto"/>
              </w:rPr>
            </w:pPr>
            <w:r>
              <w:rPr>
                <w:rFonts w:ascii="Arial" w:cs="Arial" w:eastAsia="Arial" w:hAnsi="Arial"/>
                <w:sz w:val="14"/>
                <w:szCs w:val="14"/>
                <w:b w:val="1"/>
                <w:bCs w:val="1"/>
                <w:color w:val="auto"/>
              </w:rPr>
              <w:t>2018</w:t>
            </w:r>
          </w:p>
        </w:tc>
        <w:tc>
          <w:tcPr>
            <w:tcW w:w="260" w:type="dxa"/>
            <w:vAlign w:val="bottom"/>
            <w:tcBorders>
              <w:bottom w:val="single" w:sz="8" w:color="CFF0FC"/>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jc w:val="right"/>
              <w:ind w:right="493"/>
              <w:spacing w:after="0"/>
              <w:rPr>
                <w:sz w:val="20"/>
                <w:szCs w:val="20"/>
                <w:color w:val="auto"/>
              </w:rPr>
            </w:pPr>
            <w:r>
              <w:rPr>
                <w:rFonts w:ascii="Arial" w:cs="Arial" w:eastAsia="Arial" w:hAnsi="Arial"/>
                <w:sz w:val="14"/>
                <w:szCs w:val="14"/>
                <w:b w:val="1"/>
                <w:bCs w:val="1"/>
                <w:color w:val="auto"/>
              </w:rPr>
              <w:t>2017</w:t>
            </w:r>
          </w:p>
        </w:tc>
        <w:tc>
          <w:tcPr>
            <w:tcW w:w="120" w:type="dxa"/>
            <w:vAlign w:val="bottom"/>
            <w:tcBorders>
              <w:bottom w:val="single" w:sz="8" w:color="CFF0FC"/>
            </w:tcBorders>
          </w:tcPr>
          <w:p>
            <w:pPr>
              <w:spacing w:after="0"/>
              <w:rPr>
                <w:sz w:val="14"/>
                <w:szCs w:val="14"/>
                <w:color w:val="auto"/>
              </w:rPr>
            </w:pPr>
          </w:p>
        </w:tc>
      </w:tr>
      <w:tr>
        <w:trPr>
          <w:trHeight w:val="210"/>
        </w:trPr>
        <w:tc>
          <w:tcPr>
            <w:tcW w:w="6400" w:type="dxa"/>
            <w:vAlign w:val="bottom"/>
            <w:shd w:val="clear" w:color="auto" w:fill="CFF0FC"/>
          </w:tcPr>
          <w:p>
            <w:pPr>
              <w:spacing w:after="0"/>
              <w:rPr>
                <w:sz w:val="20"/>
                <w:szCs w:val="20"/>
                <w:color w:val="auto"/>
              </w:rPr>
            </w:pPr>
            <w:r>
              <w:rPr>
                <w:rFonts w:ascii="Arial" w:cs="Arial" w:eastAsia="Arial" w:hAnsi="Arial"/>
                <w:sz w:val="18"/>
                <w:szCs w:val="18"/>
                <w:color w:val="auto"/>
              </w:rPr>
              <w:t>United States</w:t>
            </w:r>
          </w:p>
        </w:tc>
        <w:tc>
          <w:tcPr>
            <w:tcW w:w="340" w:type="dxa"/>
            <w:vAlign w:val="bottom"/>
            <w:shd w:val="clear" w:color="auto" w:fill="CFF0FC"/>
          </w:tcPr>
          <w:p>
            <w:pPr>
              <w:jc w:val="right"/>
              <w:ind w:right="150"/>
              <w:spacing w:after="0"/>
              <w:rPr>
                <w:sz w:val="20"/>
                <w:szCs w:val="20"/>
                <w:color w:val="auto"/>
              </w:rPr>
            </w:pPr>
            <w:r>
              <w:rPr>
                <w:rFonts w:ascii="Arial" w:cs="Arial" w:eastAsia="Arial" w:hAnsi="Arial"/>
                <w:sz w:val="18"/>
                <w:szCs w:val="18"/>
                <w:color w:val="auto"/>
                <w:w w:val="79"/>
              </w:rPr>
              <w:t>$</w:t>
            </w:r>
          </w:p>
        </w:tc>
        <w:tc>
          <w:tcPr>
            <w:tcW w:w="120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(33,940)</w:t>
            </w:r>
          </w:p>
        </w:tc>
        <w:tc>
          <w:tcPr>
            <w:tcW w:w="52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1380" w:type="dxa"/>
            <w:vAlign w:val="bottom"/>
            <w:tcBorders>
              <w:right w:val="single" w:sz="8" w:color="CFF0FC"/>
            </w:tcBorders>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(30,967)</w:t>
            </w:r>
          </w:p>
        </w:tc>
        <w:tc>
          <w:tcPr>
            <w:tcW w:w="340" w:type="dxa"/>
            <w:vAlign w:val="bottom"/>
            <w:shd w:val="clear" w:color="auto" w:fill="CFF0FC"/>
          </w:tcPr>
          <w:p>
            <w:pPr>
              <w:jc w:val="right"/>
              <w:ind w:right="150"/>
              <w:spacing w:after="0"/>
              <w:rPr>
                <w:sz w:val="20"/>
                <w:szCs w:val="20"/>
                <w:color w:val="auto"/>
              </w:rPr>
            </w:pPr>
            <w:r>
              <w:rPr>
                <w:rFonts w:ascii="Arial" w:cs="Arial" w:eastAsia="Arial" w:hAnsi="Arial"/>
                <w:sz w:val="18"/>
                <w:szCs w:val="18"/>
                <w:color w:val="auto"/>
                <w:w w:val="79"/>
              </w:rPr>
              <w:t>$</w:t>
            </w:r>
          </w:p>
        </w:tc>
        <w:tc>
          <w:tcPr>
            <w:tcW w:w="124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(31,794)</w:t>
            </w:r>
          </w:p>
        </w:tc>
      </w:tr>
      <w:tr>
        <w:trPr>
          <w:trHeight w:val="216"/>
        </w:trPr>
        <w:tc>
          <w:tcPr>
            <w:tcW w:w="6400" w:type="dxa"/>
            <w:vAlign w:val="bottom"/>
          </w:tcPr>
          <w:p>
            <w:pPr>
              <w:spacing w:after="0"/>
              <w:rPr>
                <w:sz w:val="20"/>
                <w:szCs w:val="20"/>
                <w:color w:val="auto"/>
              </w:rPr>
            </w:pPr>
            <w:r>
              <w:rPr>
                <w:rFonts w:ascii="Arial" w:cs="Arial" w:eastAsia="Arial" w:hAnsi="Arial"/>
                <w:sz w:val="18"/>
                <w:szCs w:val="18"/>
                <w:color w:val="auto"/>
              </w:rPr>
              <w:t>International</w:t>
            </w:r>
          </w:p>
        </w:tc>
        <w:tc>
          <w:tcPr>
            <w:tcW w:w="3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3,519</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3,263</w:t>
            </w:r>
          </w:p>
        </w:tc>
        <w:tc>
          <w:tcPr>
            <w:tcW w:w="2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40" w:type="dxa"/>
            <w:vAlign w:val="bottom"/>
            <w:gridSpan w:val="2"/>
          </w:tcPr>
          <w:p>
            <w:pPr>
              <w:jc w:val="right"/>
              <w:ind w:right="60"/>
              <w:spacing w:after="0"/>
              <w:rPr>
                <w:sz w:val="20"/>
                <w:szCs w:val="20"/>
                <w:color w:val="auto"/>
              </w:rPr>
            </w:pPr>
            <w:r>
              <w:rPr>
                <w:rFonts w:ascii="Arial" w:cs="Arial" w:eastAsia="Arial" w:hAnsi="Arial"/>
                <w:sz w:val="18"/>
                <w:szCs w:val="18"/>
                <w:color w:val="auto"/>
              </w:rPr>
              <w:t>(1,049)</w:t>
            </w:r>
          </w:p>
        </w:tc>
      </w:tr>
      <w:tr>
        <w:trPr>
          <w:trHeight w:val="20"/>
        </w:trPr>
        <w:tc>
          <w:tcPr>
            <w:tcW w:w="6400" w:type="dxa"/>
            <w:vAlign w:val="bottom"/>
            <w:shd w:val="clear" w:color="auto" w:fill="CFF0FC"/>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260" w:type="dxa"/>
            <w:vAlign w:val="bottom"/>
            <w:tcBorders>
              <w:right w:val="single" w:sz="8" w:color="CFF0FC"/>
            </w:tcBorders>
            <w:shd w:val="clear" w:color="auto" w:fill="CFF0FC"/>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r>
      <w:tr>
        <w:trPr>
          <w:trHeight w:val="210"/>
        </w:trPr>
        <w:tc>
          <w:tcPr>
            <w:tcW w:w="6400" w:type="dxa"/>
            <w:vAlign w:val="bottom"/>
            <w:shd w:val="clear" w:color="auto" w:fill="CFF0FC"/>
          </w:tcPr>
          <w:p>
            <w:pPr>
              <w:spacing w:after="0"/>
              <w:rPr>
                <w:sz w:val="18"/>
                <w:szCs w:val="18"/>
                <w:color w:val="auto"/>
              </w:rPr>
            </w:pPr>
          </w:p>
        </w:tc>
        <w:tc>
          <w:tcPr>
            <w:tcW w:w="340" w:type="dxa"/>
            <w:vAlign w:val="bottom"/>
            <w:shd w:val="clear" w:color="auto" w:fill="CFF0FC"/>
          </w:tcPr>
          <w:p>
            <w:pPr>
              <w:jc w:val="right"/>
              <w:ind w:right="150"/>
              <w:spacing w:after="0"/>
              <w:rPr>
                <w:sz w:val="20"/>
                <w:szCs w:val="20"/>
                <w:color w:val="auto"/>
              </w:rPr>
            </w:pPr>
            <w:r>
              <w:rPr>
                <w:rFonts w:ascii="Arial" w:cs="Arial" w:eastAsia="Arial" w:hAnsi="Arial"/>
                <w:sz w:val="18"/>
                <w:szCs w:val="18"/>
                <w:color w:val="auto"/>
                <w:w w:val="79"/>
              </w:rPr>
              <w:t>$</w:t>
            </w:r>
          </w:p>
        </w:tc>
        <w:tc>
          <w:tcPr>
            <w:tcW w:w="120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(30,421)</w:t>
            </w:r>
          </w:p>
        </w:tc>
        <w:tc>
          <w:tcPr>
            <w:tcW w:w="52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1380" w:type="dxa"/>
            <w:vAlign w:val="bottom"/>
            <w:tcBorders>
              <w:right w:val="single" w:sz="8" w:color="CFF0FC"/>
            </w:tcBorders>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(27,704)</w:t>
            </w:r>
          </w:p>
        </w:tc>
        <w:tc>
          <w:tcPr>
            <w:tcW w:w="340" w:type="dxa"/>
            <w:vAlign w:val="bottom"/>
            <w:shd w:val="clear" w:color="auto" w:fill="CFF0FC"/>
          </w:tcPr>
          <w:p>
            <w:pPr>
              <w:jc w:val="right"/>
              <w:ind w:right="150"/>
              <w:spacing w:after="0"/>
              <w:rPr>
                <w:sz w:val="20"/>
                <w:szCs w:val="20"/>
                <w:color w:val="auto"/>
              </w:rPr>
            </w:pPr>
            <w:r>
              <w:rPr>
                <w:rFonts w:ascii="Arial" w:cs="Arial" w:eastAsia="Arial" w:hAnsi="Arial"/>
                <w:sz w:val="18"/>
                <w:szCs w:val="18"/>
                <w:color w:val="auto"/>
                <w:w w:val="79"/>
              </w:rPr>
              <w:t>$</w:t>
            </w:r>
          </w:p>
        </w:tc>
        <w:tc>
          <w:tcPr>
            <w:tcW w:w="124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(32,843)</w:t>
            </w:r>
          </w:p>
        </w:tc>
      </w:tr>
      <w:tr>
        <w:trPr>
          <w:trHeight w:val="20"/>
        </w:trPr>
        <w:tc>
          <w:tcPr>
            <w:tcW w:w="6400" w:type="dxa"/>
            <w:vAlign w:val="bottom"/>
            <w:tcBorders>
              <w:top w:val="single" w:sz="8" w:color="CFF0FC"/>
            </w:tcBorders>
          </w:tcPr>
          <w:p>
            <w:pPr>
              <w:spacing w:after="0" w:line="20" w:lineRule="exact"/>
              <w:rPr>
                <w:sz w:val="1"/>
                <w:szCs w:val="1"/>
                <w:color w:val="auto"/>
              </w:rPr>
            </w:pPr>
          </w:p>
        </w:tc>
        <w:tc>
          <w:tcPr>
            <w:tcW w:w="1460" w:type="dxa"/>
            <w:vAlign w:val="bottom"/>
            <w:tcBorders>
              <w:top w:val="single" w:sz="8" w:color="auto"/>
              <w:bottom w:val="single" w:sz="8" w:color="auto"/>
            </w:tcBorders>
            <w:gridSpan w:val="2"/>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180" w:type="dxa"/>
            <w:vAlign w:val="bottom"/>
            <w:tcBorders>
              <w:top w:val="single" w:sz="8" w:color="CFF0FC"/>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FF0FC"/>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r>
      <w:tr>
        <w:trPr>
          <w:trHeight w:val="440"/>
        </w:trPr>
        <w:tc>
          <w:tcPr>
            <w:tcW w:w="7940" w:type="dxa"/>
            <w:vAlign w:val="bottom"/>
            <w:gridSpan w:val="4"/>
          </w:tcPr>
          <w:p>
            <w:pPr>
              <w:ind w:left="520"/>
              <w:spacing w:after="0"/>
              <w:rPr>
                <w:sz w:val="20"/>
                <w:szCs w:val="20"/>
                <w:color w:val="auto"/>
              </w:rPr>
            </w:pPr>
            <w:r>
              <w:rPr>
                <w:rFonts w:ascii="Arial" w:cs="Arial" w:eastAsia="Arial" w:hAnsi="Arial"/>
                <w:sz w:val="18"/>
                <w:szCs w:val="18"/>
                <w:color w:val="auto"/>
              </w:rPr>
              <w:t>The components of the total provision for income taxes were as follows (in thousands):</w:t>
            </w:r>
          </w:p>
        </w:tc>
        <w:tc>
          <w:tcPr>
            <w:tcW w:w="1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459"/>
        </w:trPr>
        <w:tc>
          <w:tcPr>
            <w:tcW w:w="640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900" w:type="dxa"/>
            <w:vAlign w:val="bottom"/>
            <w:tcBorders>
              <w:bottom w:val="single" w:sz="8" w:color="auto"/>
            </w:tcBorders>
            <w:gridSpan w:val="4"/>
          </w:tcPr>
          <w:p>
            <w:pPr>
              <w:jc w:val="center"/>
              <w:ind w:right="100"/>
              <w:spacing w:after="0"/>
              <w:rPr>
                <w:sz w:val="20"/>
                <w:szCs w:val="20"/>
                <w:color w:val="auto"/>
              </w:rPr>
            </w:pPr>
            <w:r>
              <w:rPr>
                <w:rFonts w:ascii="Arial" w:cs="Arial" w:eastAsia="Arial" w:hAnsi="Arial"/>
                <w:sz w:val="14"/>
                <w:szCs w:val="14"/>
                <w:b w:val="1"/>
                <w:bCs w:val="1"/>
                <w:color w:val="auto"/>
              </w:rPr>
              <w:t>Year Ended December 31,</w:t>
            </w:r>
          </w:p>
        </w:tc>
        <w:tc>
          <w:tcPr>
            <w:tcW w:w="34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r>
      <w:tr>
        <w:trPr>
          <w:trHeight w:val="169"/>
        </w:trPr>
        <w:tc>
          <w:tcPr>
            <w:tcW w:w="6400" w:type="dxa"/>
            <w:vAlign w:val="bottom"/>
            <w:tcBorders>
              <w:bottom w:val="single" w:sz="8" w:color="CFF0FC"/>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jc w:val="right"/>
              <w:ind w:right="473"/>
              <w:spacing w:after="0"/>
              <w:rPr>
                <w:sz w:val="20"/>
                <w:szCs w:val="20"/>
                <w:color w:val="auto"/>
              </w:rPr>
            </w:pPr>
            <w:r>
              <w:rPr>
                <w:rFonts w:ascii="Arial" w:cs="Arial" w:eastAsia="Arial" w:hAnsi="Arial"/>
                <w:sz w:val="14"/>
                <w:szCs w:val="14"/>
                <w:b w:val="1"/>
                <w:bCs w:val="1"/>
                <w:color w:val="auto"/>
              </w:rPr>
              <w:t>2019</w:t>
            </w:r>
          </w:p>
        </w:tc>
        <w:tc>
          <w:tcPr>
            <w:tcW w:w="80" w:type="dxa"/>
            <w:vAlign w:val="bottom"/>
            <w:tcBorders>
              <w:bottom w:val="single" w:sz="8" w:color="CFF0FC"/>
            </w:tcBorders>
          </w:tcPr>
          <w:p>
            <w:pPr>
              <w:spacing w:after="0"/>
              <w:rPr>
                <w:sz w:val="14"/>
                <w:szCs w:val="14"/>
                <w:color w:val="auto"/>
              </w:rPr>
            </w:pPr>
          </w:p>
        </w:tc>
        <w:tc>
          <w:tcPr>
            <w:tcW w:w="180" w:type="dxa"/>
            <w:vAlign w:val="bottom"/>
            <w:tcBorders>
              <w:bottom w:val="single" w:sz="8" w:color="CFF0FC"/>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jc w:val="center"/>
              <w:ind w:right="273"/>
              <w:spacing w:after="0"/>
              <w:rPr>
                <w:sz w:val="20"/>
                <w:szCs w:val="20"/>
                <w:color w:val="auto"/>
              </w:rPr>
            </w:pPr>
            <w:r>
              <w:rPr>
                <w:rFonts w:ascii="Arial" w:cs="Arial" w:eastAsia="Arial" w:hAnsi="Arial"/>
                <w:sz w:val="14"/>
                <w:szCs w:val="14"/>
                <w:b w:val="1"/>
                <w:bCs w:val="1"/>
                <w:color w:val="auto"/>
              </w:rPr>
              <w:t>2018</w:t>
            </w:r>
          </w:p>
        </w:tc>
        <w:tc>
          <w:tcPr>
            <w:tcW w:w="260" w:type="dxa"/>
            <w:vAlign w:val="bottom"/>
            <w:tcBorders>
              <w:bottom w:val="single" w:sz="8" w:color="CFF0FC"/>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jc w:val="right"/>
              <w:ind w:right="493"/>
              <w:spacing w:after="0"/>
              <w:rPr>
                <w:sz w:val="20"/>
                <w:szCs w:val="20"/>
                <w:color w:val="auto"/>
              </w:rPr>
            </w:pPr>
            <w:r>
              <w:rPr>
                <w:rFonts w:ascii="Arial" w:cs="Arial" w:eastAsia="Arial" w:hAnsi="Arial"/>
                <w:sz w:val="14"/>
                <w:szCs w:val="14"/>
                <w:b w:val="1"/>
                <w:bCs w:val="1"/>
                <w:color w:val="auto"/>
              </w:rPr>
              <w:t>2017</w:t>
            </w:r>
          </w:p>
        </w:tc>
        <w:tc>
          <w:tcPr>
            <w:tcW w:w="120" w:type="dxa"/>
            <w:vAlign w:val="bottom"/>
            <w:tcBorders>
              <w:bottom w:val="single" w:sz="8" w:color="CFF0FC"/>
            </w:tcBorders>
          </w:tcPr>
          <w:p>
            <w:pPr>
              <w:spacing w:after="0"/>
              <w:rPr>
                <w:sz w:val="14"/>
                <w:szCs w:val="14"/>
                <w:color w:val="auto"/>
              </w:rPr>
            </w:pPr>
          </w:p>
        </w:tc>
      </w:tr>
      <w:tr>
        <w:trPr>
          <w:trHeight w:val="210"/>
        </w:trPr>
        <w:tc>
          <w:tcPr>
            <w:tcW w:w="6400" w:type="dxa"/>
            <w:vAlign w:val="bottom"/>
            <w:shd w:val="clear" w:color="auto" w:fill="CFF0FC"/>
          </w:tcPr>
          <w:p>
            <w:pPr>
              <w:spacing w:after="0"/>
              <w:rPr>
                <w:sz w:val="20"/>
                <w:szCs w:val="20"/>
                <w:color w:val="auto"/>
              </w:rPr>
            </w:pPr>
            <w:r>
              <w:rPr>
                <w:rFonts w:ascii="Arial" w:cs="Arial" w:eastAsia="Arial" w:hAnsi="Arial"/>
                <w:sz w:val="18"/>
                <w:szCs w:val="18"/>
                <w:color w:val="auto"/>
              </w:rPr>
              <w:t>Current</w:t>
            </w:r>
          </w:p>
        </w:tc>
        <w:tc>
          <w:tcPr>
            <w:tcW w:w="340" w:type="dxa"/>
            <w:vAlign w:val="bottom"/>
            <w:shd w:val="clear" w:color="auto" w:fill="CFF0FC"/>
          </w:tcPr>
          <w:p>
            <w:pPr>
              <w:spacing w:after="0"/>
              <w:rPr>
                <w:sz w:val="18"/>
                <w:szCs w:val="18"/>
                <w:color w:val="auto"/>
              </w:rPr>
            </w:pPr>
          </w:p>
        </w:tc>
        <w:tc>
          <w:tcPr>
            <w:tcW w:w="11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120" w:type="dxa"/>
            <w:vAlign w:val="bottom"/>
            <w:shd w:val="clear" w:color="auto" w:fill="CFF0FC"/>
          </w:tcPr>
          <w:p>
            <w:pPr>
              <w:spacing w:after="0"/>
              <w:rPr>
                <w:sz w:val="18"/>
                <w:szCs w:val="18"/>
                <w:color w:val="auto"/>
              </w:rPr>
            </w:pPr>
          </w:p>
        </w:tc>
        <w:tc>
          <w:tcPr>
            <w:tcW w:w="260" w:type="dxa"/>
            <w:vAlign w:val="bottom"/>
            <w:tcBorders>
              <w:right w:val="single" w:sz="8" w:color="CFF0FC"/>
            </w:tcBorders>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1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16"/>
        </w:trPr>
        <w:tc>
          <w:tcPr>
            <w:tcW w:w="6400" w:type="dxa"/>
            <w:vAlign w:val="bottom"/>
          </w:tcPr>
          <w:p>
            <w:pPr>
              <w:ind w:left="260"/>
              <w:spacing w:after="0"/>
              <w:rPr>
                <w:sz w:val="20"/>
                <w:szCs w:val="20"/>
                <w:color w:val="auto"/>
              </w:rPr>
            </w:pPr>
            <w:r>
              <w:rPr>
                <w:rFonts w:ascii="Arial" w:cs="Arial" w:eastAsia="Arial" w:hAnsi="Arial"/>
                <w:sz w:val="18"/>
                <w:szCs w:val="18"/>
                <w:color w:val="auto"/>
              </w:rPr>
              <w:t>Federal</w:t>
            </w: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20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5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38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2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r>
      <w:tr>
        <w:trPr>
          <w:trHeight w:val="216"/>
        </w:trPr>
        <w:tc>
          <w:tcPr>
            <w:tcW w:w="64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State</w:t>
            </w:r>
          </w:p>
        </w:tc>
        <w:tc>
          <w:tcPr>
            <w:tcW w:w="340" w:type="dxa"/>
            <w:vAlign w:val="bottom"/>
            <w:shd w:val="clear" w:color="auto" w:fill="CFF0FC"/>
          </w:tcPr>
          <w:p>
            <w:pPr>
              <w:spacing w:after="0"/>
              <w:rPr>
                <w:sz w:val="18"/>
                <w:szCs w:val="18"/>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59</w:t>
            </w:r>
          </w:p>
        </w:tc>
        <w:tc>
          <w:tcPr>
            <w:tcW w:w="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w:t>
            </w:r>
          </w:p>
        </w:tc>
        <w:tc>
          <w:tcPr>
            <w:tcW w:w="260" w:type="dxa"/>
            <w:vAlign w:val="bottom"/>
            <w:tcBorders>
              <w:right w:val="single" w:sz="8" w:color="CFF0FC"/>
            </w:tcBorders>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51</w:t>
            </w:r>
          </w:p>
        </w:tc>
        <w:tc>
          <w:tcPr>
            <w:tcW w:w="120" w:type="dxa"/>
            <w:vAlign w:val="bottom"/>
            <w:shd w:val="clear" w:color="auto" w:fill="CFF0FC"/>
          </w:tcPr>
          <w:p>
            <w:pPr>
              <w:spacing w:after="0"/>
              <w:rPr>
                <w:sz w:val="18"/>
                <w:szCs w:val="18"/>
                <w:color w:val="auto"/>
              </w:rPr>
            </w:pPr>
          </w:p>
        </w:tc>
      </w:tr>
      <w:tr>
        <w:trPr>
          <w:trHeight w:val="216"/>
        </w:trPr>
        <w:tc>
          <w:tcPr>
            <w:tcW w:w="6400" w:type="dxa"/>
            <w:vAlign w:val="bottom"/>
            <w:tcBorders>
              <w:bottom w:val="single" w:sz="8" w:color="CFF0FC"/>
            </w:tcBorders>
          </w:tcPr>
          <w:p>
            <w:pPr>
              <w:ind w:left="260"/>
              <w:spacing w:after="0"/>
              <w:rPr>
                <w:sz w:val="20"/>
                <w:szCs w:val="20"/>
                <w:color w:val="auto"/>
              </w:rPr>
            </w:pPr>
            <w:r>
              <w:rPr>
                <w:rFonts w:ascii="Arial" w:cs="Arial" w:eastAsia="Arial" w:hAnsi="Arial"/>
                <w:sz w:val="18"/>
                <w:szCs w:val="18"/>
                <w:color w:val="auto"/>
              </w:rPr>
              <w:t>Foreign</w:t>
            </w:r>
          </w:p>
        </w:tc>
        <w:tc>
          <w:tcPr>
            <w:tcW w:w="3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352</w:t>
            </w:r>
          </w:p>
        </w:tc>
        <w:tc>
          <w:tcPr>
            <w:tcW w:w="80" w:type="dxa"/>
            <w:vAlign w:val="bottom"/>
            <w:tcBorders>
              <w:bottom w:val="single" w:sz="8" w:color="CFF0FC"/>
            </w:tcBorders>
          </w:tcPr>
          <w:p>
            <w:pPr>
              <w:spacing w:after="0"/>
              <w:rPr>
                <w:sz w:val="18"/>
                <w:szCs w:val="18"/>
                <w:color w:val="auto"/>
              </w:rPr>
            </w:pPr>
          </w:p>
        </w:tc>
        <w:tc>
          <w:tcPr>
            <w:tcW w:w="180" w:type="dxa"/>
            <w:vAlign w:val="bottom"/>
            <w:tcBorders>
              <w:bottom w:val="single" w:sz="8" w:color="CFF0FC"/>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835</w:t>
            </w:r>
          </w:p>
        </w:tc>
        <w:tc>
          <w:tcPr>
            <w:tcW w:w="260" w:type="dxa"/>
            <w:vAlign w:val="bottom"/>
            <w:tcBorders>
              <w:bottom w:val="single" w:sz="8" w:color="CFF0FC"/>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429</w:t>
            </w:r>
          </w:p>
        </w:tc>
        <w:tc>
          <w:tcPr>
            <w:tcW w:w="120" w:type="dxa"/>
            <w:vAlign w:val="bottom"/>
            <w:tcBorders>
              <w:bottom w:val="single" w:sz="8" w:color="CFF0FC"/>
            </w:tcBorders>
          </w:tcPr>
          <w:p>
            <w:pPr>
              <w:spacing w:after="0"/>
              <w:rPr>
                <w:sz w:val="18"/>
                <w:szCs w:val="18"/>
                <w:color w:val="auto"/>
              </w:rPr>
            </w:pPr>
          </w:p>
        </w:tc>
      </w:tr>
      <w:tr>
        <w:trPr>
          <w:trHeight w:val="210"/>
        </w:trPr>
        <w:tc>
          <w:tcPr>
            <w:tcW w:w="6400" w:type="dxa"/>
            <w:vAlign w:val="bottom"/>
            <w:shd w:val="clear" w:color="auto" w:fill="CFF0FC"/>
          </w:tcPr>
          <w:p>
            <w:pPr>
              <w:spacing w:after="0"/>
              <w:rPr>
                <w:sz w:val="20"/>
                <w:szCs w:val="20"/>
                <w:color w:val="auto"/>
              </w:rPr>
            </w:pPr>
            <w:r>
              <w:rPr>
                <w:rFonts w:ascii="Arial" w:cs="Arial" w:eastAsia="Arial" w:hAnsi="Arial"/>
                <w:sz w:val="18"/>
                <w:szCs w:val="18"/>
                <w:color w:val="auto"/>
              </w:rPr>
              <w:t>Total current tax expense</w:t>
            </w:r>
          </w:p>
        </w:tc>
        <w:tc>
          <w:tcPr>
            <w:tcW w:w="340" w:type="dxa"/>
            <w:vAlign w:val="bottom"/>
            <w:tcBorders>
              <w:bottom w:val="single" w:sz="8" w:color="auto"/>
            </w:tcBorders>
            <w:shd w:val="clear" w:color="auto" w:fill="CFF0FC"/>
          </w:tcPr>
          <w:p>
            <w:pPr>
              <w:spacing w:after="0"/>
              <w:rPr>
                <w:sz w:val="18"/>
                <w:szCs w:val="18"/>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411</w:t>
            </w:r>
          </w:p>
        </w:tc>
        <w:tc>
          <w:tcPr>
            <w:tcW w:w="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340" w:type="dxa"/>
            <w:vAlign w:val="bottom"/>
            <w:tcBorders>
              <w:bottom w:val="single" w:sz="8" w:color="auto"/>
            </w:tcBorders>
            <w:shd w:val="clear" w:color="auto" w:fill="CFF0FC"/>
          </w:tcPr>
          <w:p>
            <w:pPr>
              <w:spacing w:after="0"/>
              <w:rPr>
                <w:sz w:val="18"/>
                <w:szCs w:val="18"/>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859</w:t>
            </w:r>
          </w:p>
        </w:tc>
        <w:tc>
          <w:tcPr>
            <w:tcW w:w="260" w:type="dxa"/>
            <w:vAlign w:val="bottom"/>
            <w:tcBorders>
              <w:right w:val="single" w:sz="8" w:color="CFF0FC"/>
            </w:tcBorders>
            <w:shd w:val="clear" w:color="auto" w:fill="CFF0FC"/>
          </w:tcPr>
          <w:p>
            <w:pPr>
              <w:spacing w:after="0"/>
              <w:rPr>
                <w:sz w:val="18"/>
                <w:szCs w:val="18"/>
                <w:color w:val="auto"/>
              </w:rPr>
            </w:pPr>
          </w:p>
        </w:tc>
        <w:tc>
          <w:tcPr>
            <w:tcW w:w="340" w:type="dxa"/>
            <w:vAlign w:val="bottom"/>
            <w:tcBorders>
              <w:bottom w:val="single" w:sz="8" w:color="auto"/>
            </w:tcBorders>
            <w:shd w:val="clear" w:color="auto" w:fill="CFF0FC"/>
          </w:tcPr>
          <w:p>
            <w:pPr>
              <w:spacing w:after="0"/>
              <w:rPr>
                <w:sz w:val="18"/>
                <w:szCs w:val="18"/>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480</w:t>
            </w:r>
          </w:p>
        </w:tc>
        <w:tc>
          <w:tcPr>
            <w:tcW w:w="120" w:type="dxa"/>
            <w:vAlign w:val="bottom"/>
            <w:shd w:val="clear" w:color="auto" w:fill="CFF0FC"/>
          </w:tcPr>
          <w:p>
            <w:pPr>
              <w:spacing w:after="0"/>
              <w:rPr>
                <w:sz w:val="18"/>
                <w:szCs w:val="18"/>
                <w:color w:val="auto"/>
              </w:rPr>
            </w:pPr>
          </w:p>
        </w:tc>
      </w:tr>
      <w:tr>
        <w:trPr>
          <w:trHeight w:val="210"/>
        </w:trPr>
        <w:tc>
          <w:tcPr>
            <w:tcW w:w="6400" w:type="dxa"/>
            <w:vAlign w:val="bottom"/>
          </w:tcPr>
          <w:p>
            <w:pPr>
              <w:spacing w:after="0"/>
              <w:rPr>
                <w:sz w:val="20"/>
                <w:szCs w:val="20"/>
                <w:color w:val="auto"/>
              </w:rPr>
            </w:pPr>
            <w:r>
              <w:rPr>
                <w:rFonts w:ascii="Arial" w:cs="Arial" w:eastAsia="Arial" w:hAnsi="Arial"/>
                <w:sz w:val="18"/>
                <w:szCs w:val="18"/>
                <w:color w:val="auto"/>
              </w:rPr>
              <w:t>Deferred</w:t>
            </w:r>
          </w:p>
        </w:tc>
        <w:tc>
          <w:tcPr>
            <w:tcW w:w="3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64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Federal</w:t>
            </w:r>
          </w:p>
        </w:tc>
        <w:tc>
          <w:tcPr>
            <w:tcW w:w="340" w:type="dxa"/>
            <w:vAlign w:val="bottom"/>
            <w:shd w:val="clear" w:color="auto" w:fill="CFF0FC"/>
          </w:tcPr>
          <w:p>
            <w:pPr>
              <w:spacing w:after="0"/>
              <w:rPr>
                <w:sz w:val="18"/>
                <w:szCs w:val="18"/>
                <w:color w:val="auto"/>
              </w:rPr>
            </w:pPr>
          </w:p>
        </w:tc>
        <w:tc>
          <w:tcPr>
            <w:tcW w:w="120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380" w:type="dxa"/>
            <w:vAlign w:val="bottom"/>
            <w:tcBorders>
              <w:right w:val="single" w:sz="8" w:color="CFF0FC"/>
            </w:tcBorders>
            <w:gridSpan w:val="2"/>
            <w:shd w:val="clear" w:color="auto" w:fill="CFF0FC"/>
          </w:tcPr>
          <w:p>
            <w:pPr>
              <w:jc w:val="right"/>
              <w:ind w:right="280"/>
              <w:spacing w:after="0"/>
              <w:rPr>
                <w:sz w:val="20"/>
                <w:szCs w:val="20"/>
                <w:color w:val="auto"/>
              </w:rPr>
            </w:pPr>
            <w:r>
              <w:rPr>
                <w:rFonts w:ascii="Arial" w:cs="Arial" w:eastAsia="Arial" w:hAnsi="Arial"/>
                <w:sz w:val="18"/>
                <w:szCs w:val="18"/>
                <w:color w:val="auto"/>
              </w:rPr>
              <w:t>—</w:t>
            </w:r>
          </w:p>
        </w:tc>
        <w:tc>
          <w:tcPr>
            <w:tcW w:w="340" w:type="dxa"/>
            <w:vAlign w:val="bottom"/>
            <w:shd w:val="clear" w:color="auto" w:fill="CFF0FC"/>
          </w:tcPr>
          <w:p>
            <w:pPr>
              <w:spacing w:after="0"/>
              <w:rPr>
                <w:sz w:val="18"/>
                <w:szCs w:val="18"/>
                <w:color w:val="auto"/>
              </w:rPr>
            </w:pPr>
          </w:p>
        </w:tc>
        <w:tc>
          <w:tcPr>
            <w:tcW w:w="124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r>
      <w:tr>
        <w:trPr>
          <w:trHeight w:val="216"/>
        </w:trPr>
        <w:tc>
          <w:tcPr>
            <w:tcW w:w="6400" w:type="dxa"/>
            <w:vAlign w:val="bottom"/>
          </w:tcPr>
          <w:p>
            <w:pPr>
              <w:ind w:left="260"/>
              <w:spacing w:after="0"/>
              <w:rPr>
                <w:sz w:val="20"/>
                <w:szCs w:val="20"/>
                <w:color w:val="auto"/>
              </w:rPr>
            </w:pPr>
            <w:r>
              <w:rPr>
                <w:rFonts w:ascii="Arial" w:cs="Arial" w:eastAsia="Arial" w:hAnsi="Arial"/>
                <w:sz w:val="18"/>
                <w:szCs w:val="18"/>
                <w:color w:val="auto"/>
              </w:rPr>
              <w:t>State</w:t>
            </w:r>
          </w:p>
        </w:tc>
        <w:tc>
          <w:tcPr>
            <w:tcW w:w="340" w:type="dxa"/>
            <w:vAlign w:val="bottom"/>
          </w:tcPr>
          <w:p>
            <w:pPr>
              <w:spacing w:after="0"/>
              <w:rPr>
                <w:sz w:val="18"/>
                <w:szCs w:val="18"/>
                <w:color w:val="auto"/>
              </w:rPr>
            </w:pPr>
          </w:p>
        </w:tc>
        <w:tc>
          <w:tcPr>
            <w:tcW w:w="120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8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8"/>
                <w:szCs w:val="18"/>
                <w:color w:val="auto"/>
              </w:rPr>
            </w:pPr>
          </w:p>
        </w:tc>
        <w:tc>
          <w:tcPr>
            <w:tcW w:w="12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r>
      <w:tr>
        <w:trPr>
          <w:trHeight w:val="216"/>
        </w:trPr>
        <w:tc>
          <w:tcPr>
            <w:tcW w:w="64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Foreign</w:t>
            </w:r>
          </w:p>
        </w:tc>
        <w:tc>
          <w:tcPr>
            <w:tcW w:w="340" w:type="dxa"/>
            <w:vAlign w:val="bottom"/>
            <w:tcBorders>
              <w:bottom w:val="single" w:sz="8" w:color="auto"/>
            </w:tcBorders>
            <w:shd w:val="clear" w:color="auto" w:fill="CFF0FC"/>
          </w:tcPr>
          <w:p>
            <w:pPr>
              <w:spacing w:after="0"/>
              <w:rPr>
                <w:sz w:val="18"/>
                <w:szCs w:val="18"/>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1,314</w:t>
            </w:r>
          </w:p>
        </w:tc>
        <w:tc>
          <w:tcPr>
            <w:tcW w:w="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340" w:type="dxa"/>
            <w:vAlign w:val="bottom"/>
            <w:tcBorders>
              <w:bottom w:val="single" w:sz="8" w:color="auto"/>
            </w:tcBorders>
            <w:shd w:val="clear" w:color="auto" w:fill="CFF0FC"/>
          </w:tcPr>
          <w:p>
            <w:pPr>
              <w:spacing w:after="0"/>
              <w:rPr>
                <w:sz w:val="18"/>
                <w:szCs w:val="18"/>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213</w:t>
            </w:r>
          </w:p>
        </w:tc>
        <w:tc>
          <w:tcPr>
            <w:tcW w:w="260" w:type="dxa"/>
            <w:vAlign w:val="bottom"/>
            <w:tcBorders>
              <w:right w:val="single" w:sz="8" w:color="CFF0FC"/>
            </w:tcBorders>
            <w:shd w:val="clear" w:color="auto" w:fill="CFF0FC"/>
          </w:tcPr>
          <w:p>
            <w:pPr>
              <w:spacing w:after="0"/>
              <w:rPr>
                <w:sz w:val="18"/>
                <w:szCs w:val="18"/>
                <w:color w:val="auto"/>
              </w:rPr>
            </w:pPr>
          </w:p>
        </w:tc>
        <w:tc>
          <w:tcPr>
            <w:tcW w:w="340" w:type="dxa"/>
            <w:vAlign w:val="bottom"/>
            <w:tcBorders>
              <w:bottom w:val="single" w:sz="8" w:color="auto"/>
            </w:tcBorders>
            <w:shd w:val="clear" w:color="auto" w:fill="CFF0FC"/>
          </w:tcPr>
          <w:p>
            <w:pPr>
              <w:spacing w:after="0"/>
              <w:rPr>
                <w:sz w:val="18"/>
                <w:szCs w:val="18"/>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85</w:t>
            </w:r>
          </w:p>
        </w:tc>
        <w:tc>
          <w:tcPr>
            <w:tcW w:w="120" w:type="dxa"/>
            <w:vAlign w:val="bottom"/>
            <w:shd w:val="clear" w:color="auto" w:fill="CFF0FC"/>
          </w:tcPr>
          <w:p>
            <w:pPr>
              <w:spacing w:after="0"/>
              <w:rPr>
                <w:sz w:val="18"/>
                <w:szCs w:val="18"/>
                <w:color w:val="auto"/>
              </w:rPr>
            </w:pPr>
          </w:p>
        </w:tc>
      </w:tr>
      <w:tr>
        <w:trPr>
          <w:trHeight w:val="210"/>
        </w:trPr>
        <w:tc>
          <w:tcPr>
            <w:tcW w:w="640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Total deferred tax provision</w:t>
            </w:r>
          </w:p>
        </w:tc>
        <w:tc>
          <w:tcPr>
            <w:tcW w:w="3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1,314</w:t>
            </w:r>
          </w:p>
        </w:tc>
        <w:tc>
          <w:tcPr>
            <w:tcW w:w="80" w:type="dxa"/>
            <w:vAlign w:val="bottom"/>
            <w:tcBorders>
              <w:bottom w:val="single" w:sz="8" w:color="CFF0FC"/>
            </w:tcBorders>
          </w:tcPr>
          <w:p>
            <w:pPr>
              <w:spacing w:after="0"/>
              <w:rPr>
                <w:sz w:val="18"/>
                <w:szCs w:val="18"/>
                <w:color w:val="auto"/>
              </w:rPr>
            </w:pPr>
          </w:p>
        </w:tc>
        <w:tc>
          <w:tcPr>
            <w:tcW w:w="180" w:type="dxa"/>
            <w:vAlign w:val="bottom"/>
            <w:tcBorders>
              <w:bottom w:val="single" w:sz="8" w:color="CFF0FC"/>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213</w:t>
            </w:r>
          </w:p>
        </w:tc>
        <w:tc>
          <w:tcPr>
            <w:tcW w:w="260" w:type="dxa"/>
            <w:vAlign w:val="bottom"/>
            <w:tcBorders>
              <w:bottom w:val="single" w:sz="8" w:color="CFF0FC"/>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85</w:t>
            </w:r>
          </w:p>
        </w:tc>
        <w:tc>
          <w:tcPr>
            <w:tcW w:w="120" w:type="dxa"/>
            <w:vAlign w:val="bottom"/>
            <w:tcBorders>
              <w:bottom w:val="single" w:sz="8" w:color="CFF0FC"/>
            </w:tcBorders>
          </w:tcPr>
          <w:p>
            <w:pPr>
              <w:spacing w:after="0"/>
              <w:rPr>
                <w:sz w:val="18"/>
                <w:szCs w:val="18"/>
                <w:color w:val="auto"/>
              </w:rPr>
            </w:pPr>
          </w:p>
        </w:tc>
      </w:tr>
      <w:tr>
        <w:trPr>
          <w:trHeight w:val="210"/>
        </w:trPr>
        <w:tc>
          <w:tcPr>
            <w:tcW w:w="6400" w:type="dxa"/>
            <w:vAlign w:val="bottom"/>
            <w:shd w:val="clear" w:color="auto" w:fill="CFF0FC"/>
          </w:tcPr>
          <w:p>
            <w:pPr>
              <w:spacing w:after="0"/>
              <w:rPr>
                <w:sz w:val="20"/>
                <w:szCs w:val="20"/>
                <w:color w:val="auto"/>
              </w:rPr>
            </w:pPr>
            <w:r>
              <w:rPr>
                <w:rFonts w:ascii="Arial" w:cs="Arial" w:eastAsia="Arial" w:hAnsi="Arial"/>
                <w:sz w:val="18"/>
                <w:szCs w:val="18"/>
                <w:color w:val="auto"/>
              </w:rPr>
              <w:t>Total provision for income taxes</w:t>
            </w:r>
          </w:p>
        </w:tc>
        <w:tc>
          <w:tcPr>
            <w:tcW w:w="340" w:type="dxa"/>
            <w:vAlign w:val="bottom"/>
            <w:shd w:val="clear" w:color="auto" w:fill="CFF0FC"/>
          </w:tcPr>
          <w:p>
            <w:pPr>
              <w:jc w:val="right"/>
              <w:ind w:right="150"/>
              <w:spacing w:after="0"/>
              <w:rPr>
                <w:sz w:val="20"/>
                <w:szCs w:val="20"/>
                <w:color w:val="auto"/>
              </w:rPr>
            </w:pPr>
            <w:r>
              <w:rPr>
                <w:rFonts w:ascii="Arial" w:cs="Arial" w:eastAsia="Arial" w:hAnsi="Arial"/>
                <w:sz w:val="18"/>
                <w:szCs w:val="18"/>
                <w:color w:val="auto"/>
                <w:w w:val="79"/>
              </w:rPr>
              <w:t>$</w:t>
            </w: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1,725</w:t>
            </w:r>
          </w:p>
        </w:tc>
        <w:tc>
          <w:tcPr>
            <w:tcW w:w="80" w:type="dxa"/>
            <w:vAlign w:val="bottom"/>
            <w:shd w:val="clear" w:color="auto" w:fill="CFF0FC"/>
          </w:tcPr>
          <w:p>
            <w:pPr>
              <w:spacing w:after="0"/>
              <w:rPr>
                <w:sz w:val="18"/>
                <w:szCs w:val="18"/>
                <w:color w:val="auto"/>
              </w:rPr>
            </w:pPr>
          </w:p>
        </w:tc>
        <w:tc>
          <w:tcPr>
            <w:tcW w:w="52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1,072</w:t>
            </w:r>
          </w:p>
        </w:tc>
        <w:tc>
          <w:tcPr>
            <w:tcW w:w="260" w:type="dxa"/>
            <w:vAlign w:val="bottom"/>
            <w:tcBorders>
              <w:right w:val="single" w:sz="8" w:color="CFF0FC"/>
            </w:tcBorders>
            <w:shd w:val="clear" w:color="auto" w:fill="CFF0FC"/>
          </w:tcPr>
          <w:p>
            <w:pPr>
              <w:spacing w:after="0"/>
              <w:rPr>
                <w:sz w:val="18"/>
                <w:szCs w:val="18"/>
                <w:color w:val="auto"/>
              </w:rPr>
            </w:pPr>
          </w:p>
        </w:tc>
        <w:tc>
          <w:tcPr>
            <w:tcW w:w="340" w:type="dxa"/>
            <w:vAlign w:val="bottom"/>
            <w:shd w:val="clear" w:color="auto" w:fill="CFF0FC"/>
          </w:tcPr>
          <w:p>
            <w:pPr>
              <w:jc w:val="right"/>
              <w:ind w:right="150"/>
              <w:spacing w:after="0"/>
              <w:rPr>
                <w:sz w:val="20"/>
                <w:szCs w:val="20"/>
                <w:color w:val="auto"/>
              </w:rPr>
            </w:pPr>
            <w:r>
              <w:rPr>
                <w:rFonts w:ascii="Arial" w:cs="Arial" w:eastAsia="Arial" w:hAnsi="Arial"/>
                <w:sz w:val="18"/>
                <w:szCs w:val="18"/>
                <w:color w:val="auto"/>
                <w:w w:val="79"/>
              </w:rPr>
              <w:t>$</w:t>
            </w: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565</w:t>
            </w:r>
          </w:p>
        </w:tc>
        <w:tc>
          <w:tcPr>
            <w:tcW w:w="120" w:type="dxa"/>
            <w:vAlign w:val="bottom"/>
            <w:shd w:val="clear" w:color="auto" w:fill="CFF0FC"/>
          </w:tcPr>
          <w:p>
            <w:pPr>
              <w:spacing w:after="0"/>
              <w:rPr>
                <w:sz w:val="18"/>
                <w:szCs w:val="18"/>
                <w:color w:val="auto"/>
              </w:rPr>
            </w:pPr>
          </w:p>
        </w:tc>
      </w:tr>
      <w:tr>
        <w:trPr>
          <w:trHeight w:val="20"/>
        </w:trPr>
        <w:tc>
          <w:tcPr>
            <w:tcW w:w="6400" w:type="dxa"/>
            <w:vAlign w:val="bottom"/>
            <w:tcBorders>
              <w:top w:val="single" w:sz="8" w:color="CFF0FC"/>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180" w:type="dxa"/>
            <w:vAlign w:val="bottom"/>
            <w:tcBorders>
              <w:top w:val="single" w:sz="8" w:color="CFF0FC"/>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FF0FC"/>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r>
    </w:tbl>
    <w:p>
      <w:pPr>
        <w:spacing w:after="0" w:line="242" w:lineRule="exact"/>
        <w:rPr>
          <w:sz w:val="20"/>
          <w:szCs w:val="20"/>
          <w:color w:val="auto"/>
        </w:rPr>
      </w:pPr>
    </w:p>
    <w:p>
      <w:pPr>
        <w:jc w:val="both"/>
        <w:ind w:right="60" w:firstLine="518"/>
        <w:spacing w:after="0" w:line="246" w:lineRule="auto"/>
        <w:rPr>
          <w:sz w:val="20"/>
          <w:szCs w:val="20"/>
          <w:color w:val="auto"/>
        </w:rPr>
      </w:pPr>
      <w:r>
        <w:rPr>
          <w:rFonts w:ascii="Arial" w:cs="Arial" w:eastAsia="Arial" w:hAnsi="Arial"/>
          <w:sz w:val="18"/>
          <w:szCs w:val="18"/>
          <w:color w:val="auto"/>
        </w:rPr>
        <w:t>A reconciliation of the statutory U.S. federal income tax rate to the Company’s effective tax rate for the years ended December 31, 2019, 2018, and 2017 was as follows:</w:t>
      </w:r>
    </w:p>
    <w:p>
      <w:pPr>
        <w:spacing w:after="0" w:line="279"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488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420" w:type="dxa"/>
            <w:vAlign w:val="bottom"/>
            <w:tcBorders>
              <w:bottom w:val="single" w:sz="8" w:color="auto"/>
            </w:tcBorders>
          </w:tcPr>
          <w:p>
            <w:pPr>
              <w:spacing w:after="0"/>
              <w:rPr>
                <w:sz w:val="15"/>
                <w:szCs w:val="15"/>
                <w:color w:val="auto"/>
              </w:rPr>
            </w:pPr>
          </w:p>
        </w:tc>
        <w:tc>
          <w:tcPr>
            <w:tcW w:w="2180" w:type="dxa"/>
            <w:vAlign w:val="bottom"/>
            <w:tcBorders>
              <w:bottom w:val="single" w:sz="8" w:color="auto"/>
            </w:tcBorders>
            <w:gridSpan w:val="3"/>
          </w:tcPr>
          <w:p>
            <w:pPr>
              <w:jc w:val="right"/>
              <w:ind w:right="220"/>
              <w:spacing w:after="0"/>
              <w:rPr>
                <w:sz w:val="20"/>
                <w:szCs w:val="20"/>
                <w:color w:val="auto"/>
              </w:rPr>
            </w:pPr>
            <w:r>
              <w:rPr>
                <w:rFonts w:ascii="Arial" w:cs="Arial" w:eastAsia="Arial" w:hAnsi="Arial"/>
                <w:sz w:val="14"/>
                <w:szCs w:val="14"/>
                <w:b w:val="1"/>
                <w:bCs w:val="1"/>
                <w:color w:val="auto"/>
              </w:rPr>
              <w:t>Year Ended December 31,</w:t>
            </w:r>
          </w:p>
        </w:tc>
        <w:tc>
          <w:tcPr>
            <w:tcW w:w="1420" w:type="dxa"/>
            <w:vAlign w:val="bottom"/>
            <w:tcBorders>
              <w:bottom w:val="single" w:sz="8" w:color="auto"/>
            </w:tcBorders>
          </w:tcPr>
          <w:p>
            <w:pPr>
              <w:spacing w:after="0"/>
              <w:rPr>
                <w:sz w:val="15"/>
                <w:szCs w:val="15"/>
                <w:color w:val="auto"/>
              </w:rPr>
            </w:pPr>
          </w:p>
        </w:tc>
        <w:tc>
          <w:tcPr>
            <w:tcW w:w="2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4880" w:type="dxa"/>
            <w:vAlign w:val="bottom"/>
            <w:tcBorders>
              <w:bottom w:val="single" w:sz="8" w:color="CFF0FC"/>
            </w:tcBorders>
          </w:tcPr>
          <w:p>
            <w:pPr>
              <w:spacing w:after="0"/>
              <w:rPr>
                <w:sz w:val="14"/>
                <w:szCs w:val="14"/>
                <w:color w:val="auto"/>
              </w:rPr>
            </w:pPr>
          </w:p>
        </w:tc>
        <w:tc>
          <w:tcPr>
            <w:tcW w:w="1280" w:type="dxa"/>
            <w:vAlign w:val="bottom"/>
            <w:tcBorders>
              <w:bottom w:val="single" w:sz="8" w:color="CFF0FC"/>
            </w:tcBorders>
          </w:tcPr>
          <w:p>
            <w:pPr>
              <w:spacing w:after="0"/>
              <w:rPr>
                <w:sz w:val="14"/>
                <w:szCs w:val="14"/>
                <w:color w:val="auto"/>
              </w:rPr>
            </w:pPr>
          </w:p>
        </w:tc>
        <w:tc>
          <w:tcPr>
            <w:tcW w:w="1420" w:type="dxa"/>
            <w:vAlign w:val="bottom"/>
            <w:tcBorders>
              <w:bottom w:val="single" w:sz="8" w:color="auto"/>
            </w:tcBorders>
          </w:tcPr>
          <w:p>
            <w:pPr>
              <w:jc w:val="right"/>
              <w:ind w:right="474"/>
              <w:spacing w:after="0"/>
              <w:rPr>
                <w:sz w:val="20"/>
                <w:szCs w:val="20"/>
                <w:color w:val="auto"/>
              </w:rPr>
            </w:pPr>
            <w:r>
              <w:rPr>
                <w:rFonts w:ascii="Arial" w:cs="Arial" w:eastAsia="Arial" w:hAnsi="Arial"/>
                <w:sz w:val="14"/>
                <w:szCs w:val="14"/>
                <w:b w:val="1"/>
                <w:bCs w:val="1"/>
                <w:color w:val="auto"/>
              </w:rPr>
              <w:t>2019</w:t>
            </w:r>
          </w:p>
        </w:tc>
        <w:tc>
          <w:tcPr>
            <w:tcW w:w="380" w:type="dxa"/>
            <w:vAlign w:val="bottom"/>
            <w:tcBorders>
              <w:bottom w:val="single" w:sz="8" w:color="CFF0FC"/>
            </w:tcBorders>
          </w:tcPr>
          <w:p>
            <w:pPr>
              <w:spacing w:after="0"/>
              <w:rPr>
                <w:sz w:val="14"/>
                <w:szCs w:val="14"/>
                <w:color w:val="auto"/>
              </w:rPr>
            </w:pPr>
          </w:p>
        </w:tc>
        <w:tc>
          <w:tcPr>
            <w:tcW w:w="1400" w:type="dxa"/>
            <w:vAlign w:val="bottom"/>
            <w:tcBorders>
              <w:bottom w:val="single" w:sz="8" w:color="auto"/>
            </w:tcBorders>
          </w:tcPr>
          <w:p>
            <w:pPr>
              <w:jc w:val="right"/>
              <w:ind w:right="451"/>
              <w:spacing w:after="0"/>
              <w:rPr>
                <w:sz w:val="20"/>
                <w:szCs w:val="20"/>
                <w:color w:val="auto"/>
              </w:rPr>
            </w:pPr>
            <w:r>
              <w:rPr>
                <w:rFonts w:ascii="Arial" w:cs="Arial" w:eastAsia="Arial" w:hAnsi="Arial"/>
                <w:sz w:val="14"/>
                <w:szCs w:val="14"/>
                <w:b w:val="1"/>
                <w:bCs w:val="1"/>
                <w:color w:val="auto"/>
              </w:rPr>
              <w:t>2018</w:t>
            </w:r>
          </w:p>
        </w:tc>
        <w:tc>
          <w:tcPr>
            <w:tcW w:w="400" w:type="dxa"/>
            <w:vAlign w:val="bottom"/>
            <w:tcBorders>
              <w:bottom w:val="single" w:sz="8" w:color="CFF0FC"/>
            </w:tcBorders>
          </w:tcPr>
          <w:p>
            <w:pPr>
              <w:spacing w:after="0"/>
              <w:rPr>
                <w:sz w:val="14"/>
                <w:szCs w:val="14"/>
                <w:color w:val="auto"/>
              </w:rPr>
            </w:pPr>
          </w:p>
        </w:tc>
        <w:tc>
          <w:tcPr>
            <w:tcW w:w="1420" w:type="dxa"/>
            <w:vAlign w:val="bottom"/>
            <w:tcBorders>
              <w:bottom w:val="single" w:sz="8" w:color="auto"/>
            </w:tcBorders>
          </w:tcPr>
          <w:p>
            <w:pPr>
              <w:jc w:val="right"/>
              <w:ind w:right="471"/>
              <w:spacing w:after="0"/>
              <w:rPr>
                <w:sz w:val="20"/>
                <w:szCs w:val="20"/>
                <w:color w:val="auto"/>
              </w:rPr>
            </w:pPr>
            <w:r>
              <w:rPr>
                <w:rFonts w:ascii="Arial" w:cs="Arial" w:eastAsia="Arial" w:hAnsi="Arial"/>
                <w:sz w:val="14"/>
                <w:szCs w:val="14"/>
                <w:b w:val="1"/>
                <w:bCs w:val="1"/>
                <w:color w:val="auto"/>
              </w:rPr>
              <w:t>2017</w:t>
            </w:r>
          </w:p>
        </w:tc>
        <w:tc>
          <w:tcPr>
            <w:tcW w:w="240" w:type="dxa"/>
            <w:vAlign w:val="bottom"/>
            <w:tcBorders>
              <w:bottom w:val="single" w:sz="8" w:color="CFF0FC"/>
            </w:tcBorders>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4880" w:type="dxa"/>
            <w:vAlign w:val="bottom"/>
            <w:shd w:val="clear" w:color="auto" w:fill="CFF0FC"/>
          </w:tcPr>
          <w:p>
            <w:pPr>
              <w:spacing w:after="0"/>
              <w:rPr>
                <w:sz w:val="20"/>
                <w:szCs w:val="20"/>
                <w:color w:val="auto"/>
              </w:rPr>
            </w:pPr>
            <w:r>
              <w:rPr>
                <w:rFonts w:ascii="Arial" w:cs="Arial" w:eastAsia="Arial" w:hAnsi="Arial"/>
                <w:sz w:val="18"/>
                <w:szCs w:val="18"/>
                <w:color w:val="auto"/>
              </w:rPr>
              <w:t>Federal statutory income tax rate</w:t>
            </w:r>
          </w:p>
        </w:tc>
        <w:tc>
          <w:tcPr>
            <w:tcW w:w="3080" w:type="dxa"/>
            <w:vAlign w:val="bottom"/>
            <w:gridSpan w:val="3"/>
            <w:shd w:val="clear" w:color="auto" w:fill="CFF0FC"/>
          </w:tcPr>
          <w:p>
            <w:pPr>
              <w:jc w:val="right"/>
              <w:ind w:right="148"/>
              <w:spacing w:after="0"/>
              <w:rPr>
                <w:sz w:val="20"/>
                <w:szCs w:val="20"/>
                <w:color w:val="auto"/>
              </w:rPr>
            </w:pPr>
            <w:r>
              <w:rPr>
                <w:rFonts w:ascii="Arial" w:cs="Arial" w:eastAsia="Arial" w:hAnsi="Arial"/>
                <w:sz w:val="18"/>
                <w:szCs w:val="18"/>
                <w:color w:val="auto"/>
              </w:rPr>
              <w:t>21.0%</w:t>
            </w:r>
          </w:p>
        </w:tc>
        <w:tc>
          <w:tcPr>
            <w:tcW w:w="180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21.0%</w:t>
            </w:r>
          </w:p>
        </w:tc>
        <w:tc>
          <w:tcPr>
            <w:tcW w:w="166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34.0%</w:t>
            </w:r>
          </w:p>
        </w:tc>
        <w:tc>
          <w:tcPr>
            <w:tcW w:w="0" w:type="dxa"/>
            <w:vAlign w:val="bottom"/>
          </w:tcPr>
          <w:p>
            <w:pPr>
              <w:spacing w:after="0"/>
              <w:rPr>
                <w:sz w:val="1"/>
                <w:szCs w:val="1"/>
                <w:color w:val="auto"/>
              </w:rPr>
            </w:pPr>
          </w:p>
        </w:tc>
      </w:tr>
      <w:tr>
        <w:trPr>
          <w:trHeight w:val="216"/>
        </w:trPr>
        <w:tc>
          <w:tcPr>
            <w:tcW w:w="4880" w:type="dxa"/>
            <w:vAlign w:val="bottom"/>
          </w:tcPr>
          <w:p>
            <w:pPr>
              <w:spacing w:after="0"/>
              <w:rPr>
                <w:sz w:val="20"/>
                <w:szCs w:val="20"/>
                <w:color w:val="auto"/>
              </w:rPr>
            </w:pPr>
            <w:r>
              <w:rPr>
                <w:rFonts w:ascii="Arial" w:cs="Arial" w:eastAsia="Arial" w:hAnsi="Arial"/>
                <w:sz w:val="18"/>
                <w:szCs w:val="18"/>
                <w:color w:val="auto"/>
              </w:rPr>
              <w:t>State tax, net of federal benefit</w:t>
            </w:r>
          </w:p>
        </w:tc>
        <w:tc>
          <w:tcPr>
            <w:tcW w:w="3080" w:type="dxa"/>
            <w:vAlign w:val="bottom"/>
            <w:gridSpan w:val="3"/>
          </w:tcPr>
          <w:p>
            <w:pPr>
              <w:jc w:val="right"/>
              <w:ind w:right="88"/>
              <w:spacing w:after="0"/>
              <w:rPr>
                <w:sz w:val="20"/>
                <w:szCs w:val="20"/>
                <w:color w:val="auto"/>
              </w:rPr>
            </w:pPr>
            <w:r>
              <w:rPr>
                <w:rFonts w:ascii="Arial" w:cs="Arial" w:eastAsia="Arial" w:hAnsi="Arial"/>
                <w:sz w:val="18"/>
                <w:szCs w:val="18"/>
                <w:color w:val="auto"/>
              </w:rPr>
              <w:t>(0.2%)</w:t>
            </w:r>
          </w:p>
        </w:tc>
        <w:tc>
          <w:tcPr>
            <w:tcW w:w="1800" w:type="dxa"/>
            <w:vAlign w:val="bottom"/>
            <w:gridSpan w:val="2"/>
          </w:tcPr>
          <w:p>
            <w:pPr>
              <w:jc w:val="right"/>
              <w:ind w:right="180"/>
              <w:spacing w:after="0"/>
              <w:rPr>
                <w:sz w:val="20"/>
                <w:szCs w:val="20"/>
                <w:color w:val="auto"/>
              </w:rPr>
            </w:pPr>
            <w:r>
              <w:rPr>
                <w:rFonts w:ascii="Arial" w:cs="Arial" w:eastAsia="Arial" w:hAnsi="Arial"/>
                <w:sz w:val="18"/>
                <w:szCs w:val="18"/>
                <w:color w:val="auto"/>
              </w:rPr>
              <w:t>(0.1%)</w:t>
            </w:r>
          </w:p>
        </w:tc>
        <w:tc>
          <w:tcPr>
            <w:tcW w:w="1660" w:type="dxa"/>
            <w:vAlign w:val="bottom"/>
            <w:gridSpan w:val="2"/>
          </w:tcPr>
          <w:p>
            <w:pPr>
              <w:jc w:val="right"/>
              <w:ind w:right="20"/>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16"/>
        </w:trPr>
        <w:tc>
          <w:tcPr>
            <w:tcW w:w="4880" w:type="dxa"/>
            <w:vAlign w:val="bottom"/>
            <w:shd w:val="clear" w:color="auto" w:fill="CFF0FC"/>
          </w:tcPr>
          <w:p>
            <w:pPr>
              <w:spacing w:after="0"/>
              <w:rPr>
                <w:sz w:val="20"/>
                <w:szCs w:val="20"/>
                <w:color w:val="auto"/>
              </w:rPr>
            </w:pPr>
            <w:r>
              <w:rPr>
                <w:rFonts w:ascii="Arial" w:cs="Arial" w:eastAsia="Arial" w:hAnsi="Arial"/>
                <w:sz w:val="18"/>
                <w:szCs w:val="18"/>
                <w:color w:val="auto"/>
              </w:rPr>
              <w:t>Federal tax credits</w:t>
            </w:r>
          </w:p>
        </w:tc>
        <w:tc>
          <w:tcPr>
            <w:tcW w:w="3080" w:type="dxa"/>
            <w:vAlign w:val="bottom"/>
            <w:gridSpan w:val="3"/>
            <w:shd w:val="clear" w:color="auto" w:fill="CFF0FC"/>
          </w:tcPr>
          <w:p>
            <w:pPr>
              <w:jc w:val="right"/>
              <w:ind w:right="148"/>
              <w:spacing w:after="0"/>
              <w:rPr>
                <w:sz w:val="20"/>
                <w:szCs w:val="20"/>
                <w:color w:val="auto"/>
              </w:rPr>
            </w:pPr>
            <w:r>
              <w:rPr>
                <w:rFonts w:ascii="Arial" w:cs="Arial" w:eastAsia="Arial" w:hAnsi="Arial"/>
                <w:sz w:val="18"/>
                <w:szCs w:val="18"/>
                <w:color w:val="auto"/>
              </w:rPr>
              <w:t>5.8%</w:t>
            </w:r>
          </w:p>
        </w:tc>
        <w:tc>
          <w:tcPr>
            <w:tcW w:w="180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6.4%</w:t>
            </w:r>
          </w:p>
        </w:tc>
        <w:tc>
          <w:tcPr>
            <w:tcW w:w="166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216"/>
        </w:trPr>
        <w:tc>
          <w:tcPr>
            <w:tcW w:w="4880" w:type="dxa"/>
            <w:vAlign w:val="bottom"/>
          </w:tcPr>
          <w:p>
            <w:pPr>
              <w:spacing w:after="0"/>
              <w:rPr>
                <w:sz w:val="20"/>
                <w:szCs w:val="20"/>
                <w:color w:val="auto"/>
              </w:rPr>
            </w:pPr>
            <w:r>
              <w:rPr>
                <w:rFonts w:ascii="Arial" w:cs="Arial" w:eastAsia="Arial" w:hAnsi="Arial"/>
                <w:sz w:val="18"/>
                <w:szCs w:val="18"/>
                <w:color w:val="auto"/>
              </w:rPr>
              <w:t>Change in valuation allowance</w:t>
            </w:r>
          </w:p>
        </w:tc>
        <w:tc>
          <w:tcPr>
            <w:tcW w:w="3080" w:type="dxa"/>
            <w:vAlign w:val="bottom"/>
            <w:gridSpan w:val="3"/>
          </w:tcPr>
          <w:p>
            <w:pPr>
              <w:jc w:val="right"/>
              <w:ind w:right="88"/>
              <w:spacing w:after="0"/>
              <w:rPr>
                <w:sz w:val="20"/>
                <w:szCs w:val="20"/>
                <w:color w:val="auto"/>
              </w:rPr>
            </w:pPr>
            <w:r>
              <w:rPr>
                <w:rFonts w:ascii="Arial" w:cs="Arial" w:eastAsia="Arial" w:hAnsi="Arial"/>
                <w:sz w:val="18"/>
                <w:szCs w:val="18"/>
                <w:color w:val="auto"/>
              </w:rPr>
              <w:t>(34.1%)</w:t>
            </w:r>
          </w:p>
        </w:tc>
        <w:tc>
          <w:tcPr>
            <w:tcW w:w="1800" w:type="dxa"/>
            <w:vAlign w:val="bottom"/>
            <w:gridSpan w:val="2"/>
          </w:tcPr>
          <w:p>
            <w:pPr>
              <w:jc w:val="right"/>
              <w:ind w:right="180"/>
              <w:spacing w:after="0"/>
              <w:rPr>
                <w:sz w:val="20"/>
                <w:szCs w:val="20"/>
                <w:color w:val="auto"/>
              </w:rPr>
            </w:pPr>
            <w:r>
              <w:rPr>
                <w:rFonts w:ascii="Arial" w:cs="Arial" w:eastAsia="Arial" w:hAnsi="Arial"/>
                <w:sz w:val="18"/>
                <w:szCs w:val="18"/>
                <w:color w:val="auto"/>
              </w:rPr>
              <w:t>(61.2%)</w:t>
            </w:r>
          </w:p>
        </w:tc>
        <w:tc>
          <w:tcPr>
            <w:tcW w:w="1660" w:type="dxa"/>
            <w:vAlign w:val="bottom"/>
            <w:gridSpan w:val="2"/>
          </w:tcPr>
          <w:p>
            <w:pPr>
              <w:jc w:val="right"/>
              <w:ind w:right="20"/>
              <w:spacing w:after="0"/>
              <w:rPr>
                <w:sz w:val="20"/>
                <w:szCs w:val="20"/>
                <w:color w:val="auto"/>
              </w:rPr>
            </w:pPr>
            <w:r>
              <w:rPr>
                <w:rFonts w:ascii="Arial" w:cs="Arial" w:eastAsia="Arial" w:hAnsi="Arial"/>
                <w:sz w:val="18"/>
                <w:szCs w:val="18"/>
                <w:color w:val="auto"/>
              </w:rPr>
              <w:t>(13.6%)</w:t>
            </w:r>
          </w:p>
        </w:tc>
        <w:tc>
          <w:tcPr>
            <w:tcW w:w="0" w:type="dxa"/>
            <w:vAlign w:val="bottom"/>
          </w:tcPr>
          <w:p>
            <w:pPr>
              <w:spacing w:after="0"/>
              <w:rPr>
                <w:sz w:val="1"/>
                <w:szCs w:val="1"/>
                <w:color w:val="auto"/>
              </w:rPr>
            </w:pPr>
          </w:p>
        </w:tc>
      </w:tr>
      <w:tr>
        <w:trPr>
          <w:trHeight w:val="216"/>
        </w:trPr>
        <w:tc>
          <w:tcPr>
            <w:tcW w:w="4880" w:type="dxa"/>
            <w:vAlign w:val="bottom"/>
            <w:shd w:val="clear" w:color="auto" w:fill="CFF0FC"/>
          </w:tcPr>
          <w:p>
            <w:pPr>
              <w:spacing w:after="0"/>
              <w:rPr>
                <w:sz w:val="20"/>
                <w:szCs w:val="20"/>
                <w:color w:val="auto"/>
              </w:rPr>
            </w:pPr>
            <w:r>
              <w:rPr>
                <w:rFonts w:ascii="Arial" w:cs="Arial" w:eastAsia="Arial" w:hAnsi="Arial"/>
                <w:sz w:val="18"/>
                <w:szCs w:val="18"/>
                <w:color w:val="auto"/>
              </w:rPr>
              <w:t>Common stock warrants</w:t>
            </w:r>
          </w:p>
        </w:tc>
        <w:tc>
          <w:tcPr>
            <w:tcW w:w="1280" w:type="dxa"/>
            <w:vAlign w:val="bottom"/>
            <w:shd w:val="clear" w:color="auto" w:fill="CFF0FC"/>
          </w:tcPr>
          <w:p>
            <w:pPr>
              <w:spacing w:after="0"/>
              <w:rPr>
                <w:sz w:val="18"/>
                <w:szCs w:val="18"/>
                <w:color w:val="auto"/>
              </w:rPr>
            </w:pPr>
          </w:p>
        </w:tc>
        <w:tc>
          <w:tcPr>
            <w:tcW w:w="1800" w:type="dxa"/>
            <w:vAlign w:val="bottom"/>
            <w:gridSpan w:val="2"/>
            <w:shd w:val="clear" w:color="auto" w:fill="CFF0FC"/>
          </w:tcPr>
          <w:p>
            <w:pPr>
              <w:jc w:val="right"/>
              <w:ind w:right="328"/>
              <w:spacing w:after="0"/>
              <w:rPr>
                <w:sz w:val="20"/>
                <w:szCs w:val="20"/>
                <w:color w:val="auto"/>
              </w:rPr>
            </w:pPr>
            <w:r>
              <w:rPr>
                <w:rFonts w:ascii="Arial" w:cs="Arial" w:eastAsia="Arial" w:hAnsi="Arial"/>
                <w:sz w:val="18"/>
                <w:szCs w:val="18"/>
                <w:color w:val="auto"/>
              </w:rPr>
              <w:t>—</w:t>
            </w:r>
          </w:p>
        </w:tc>
        <w:tc>
          <w:tcPr>
            <w:tcW w:w="1800" w:type="dxa"/>
            <w:vAlign w:val="bottom"/>
            <w:gridSpan w:val="2"/>
            <w:shd w:val="clear" w:color="auto" w:fill="CFF0FC"/>
          </w:tcPr>
          <w:p>
            <w:pPr>
              <w:jc w:val="right"/>
              <w:ind w:right="400"/>
              <w:spacing w:after="0"/>
              <w:rPr>
                <w:sz w:val="20"/>
                <w:szCs w:val="20"/>
                <w:color w:val="auto"/>
              </w:rPr>
            </w:pPr>
            <w:r>
              <w:rPr>
                <w:rFonts w:ascii="Arial" w:cs="Arial" w:eastAsia="Arial" w:hAnsi="Arial"/>
                <w:sz w:val="18"/>
                <w:szCs w:val="18"/>
                <w:color w:val="auto"/>
              </w:rPr>
              <w:t>—</w:t>
            </w:r>
          </w:p>
        </w:tc>
        <w:tc>
          <w:tcPr>
            <w:tcW w:w="166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216"/>
        </w:trPr>
        <w:tc>
          <w:tcPr>
            <w:tcW w:w="4880" w:type="dxa"/>
            <w:vAlign w:val="bottom"/>
          </w:tcPr>
          <w:p>
            <w:pPr>
              <w:spacing w:after="0"/>
              <w:rPr>
                <w:sz w:val="20"/>
                <w:szCs w:val="20"/>
                <w:color w:val="auto"/>
              </w:rPr>
            </w:pPr>
            <w:r>
              <w:rPr>
                <w:rFonts w:ascii="Arial" w:cs="Arial" w:eastAsia="Arial" w:hAnsi="Arial"/>
                <w:sz w:val="18"/>
                <w:szCs w:val="18"/>
                <w:color w:val="auto"/>
              </w:rPr>
              <w:t>Foreign tax differential</w:t>
            </w:r>
          </w:p>
        </w:tc>
        <w:tc>
          <w:tcPr>
            <w:tcW w:w="3080" w:type="dxa"/>
            <w:vAlign w:val="bottom"/>
            <w:gridSpan w:val="3"/>
          </w:tcPr>
          <w:p>
            <w:pPr>
              <w:jc w:val="right"/>
              <w:ind w:right="88"/>
              <w:spacing w:after="0"/>
              <w:rPr>
                <w:sz w:val="20"/>
                <w:szCs w:val="20"/>
                <w:color w:val="auto"/>
              </w:rPr>
            </w:pPr>
            <w:r>
              <w:rPr>
                <w:rFonts w:ascii="Arial" w:cs="Arial" w:eastAsia="Arial" w:hAnsi="Arial"/>
                <w:sz w:val="18"/>
                <w:szCs w:val="18"/>
                <w:color w:val="auto"/>
              </w:rPr>
              <w:t>(4.8%)</w:t>
            </w:r>
          </w:p>
        </w:tc>
        <w:tc>
          <w:tcPr>
            <w:tcW w:w="1800" w:type="dxa"/>
            <w:vAlign w:val="bottom"/>
            <w:gridSpan w:val="2"/>
          </w:tcPr>
          <w:p>
            <w:pPr>
              <w:jc w:val="right"/>
              <w:ind w:right="180"/>
              <w:spacing w:after="0"/>
              <w:rPr>
                <w:sz w:val="20"/>
                <w:szCs w:val="20"/>
                <w:color w:val="auto"/>
              </w:rPr>
            </w:pPr>
            <w:r>
              <w:rPr>
                <w:rFonts w:ascii="Arial" w:cs="Arial" w:eastAsia="Arial" w:hAnsi="Arial"/>
                <w:sz w:val="18"/>
                <w:szCs w:val="18"/>
                <w:color w:val="auto"/>
              </w:rPr>
              <w:t>(5.1%)</w:t>
            </w:r>
          </w:p>
        </w:tc>
        <w:tc>
          <w:tcPr>
            <w:tcW w:w="1660" w:type="dxa"/>
            <w:vAlign w:val="bottom"/>
            <w:gridSpan w:val="2"/>
          </w:tcPr>
          <w:p>
            <w:pPr>
              <w:jc w:val="right"/>
              <w:ind w:right="20"/>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215"/>
        </w:trPr>
        <w:tc>
          <w:tcPr>
            <w:tcW w:w="4880" w:type="dxa"/>
            <w:vAlign w:val="bottom"/>
            <w:shd w:val="clear" w:color="auto" w:fill="CFF0FC"/>
          </w:tcPr>
          <w:p>
            <w:pPr>
              <w:spacing w:after="0"/>
              <w:rPr>
                <w:sz w:val="20"/>
                <w:szCs w:val="20"/>
                <w:color w:val="auto"/>
              </w:rPr>
            </w:pPr>
            <w:r>
              <w:rPr>
                <w:rFonts w:ascii="Arial" w:cs="Arial" w:eastAsia="Arial" w:hAnsi="Arial"/>
                <w:sz w:val="18"/>
                <w:szCs w:val="18"/>
                <w:color w:val="auto"/>
              </w:rPr>
              <w:t>Windfall tax benefits, net related to stock-based</w:t>
            </w:r>
          </w:p>
        </w:tc>
        <w:tc>
          <w:tcPr>
            <w:tcW w:w="1280" w:type="dxa"/>
            <w:vAlign w:val="bottom"/>
            <w:shd w:val="clear" w:color="auto" w:fill="CFF0FC"/>
          </w:tcPr>
          <w:p>
            <w:pPr>
              <w:spacing w:after="0"/>
              <w:rPr>
                <w:sz w:val="18"/>
                <w:szCs w:val="18"/>
                <w:color w:val="auto"/>
              </w:rPr>
            </w:pPr>
          </w:p>
        </w:tc>
        <w:tc>
          <w:tcPr>
            <w:tcW w:w="142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140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14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4880" w:type="dxa"/>
            <w:vAlign w:val="bottom"/>
            <w:shd w:val="clear" w:color="auto" w:fill="CFF0FC"/>
          </w:tcPr>
          <w:p>
            <w:pPr>
              <w:ind w:left="100"/>
              <w:spacing w:after="0" w:line="203" w:lineRule="exact"/>
              <w:rPr>
                <w:sz w:val="20"/>
                <w:szCs w:val="20"/>
                <w:color w:val="auto"/>
              </w:rPr>
            </w:pPr>
            <w:r>
              <w:rPr>
                <w:rFonts w:ascii="Arial" w:cs="Arial" w:eastAsia="Arial" w:hAnsi="Arial"/>
                <w:sz w:val="18"/>
                <w:szCs w:val="18"/>
                <w:color w:val="auto"/>
              </w:rPr>
              <w:t>compensation</w:t>
            </w:r>
          </w:p>
        </w:tc>
        <w:tc>
          <w:tcPr>
            <w:tcW w:w="3080" w:type="dxa"/>
            <w:vAlign w:val="bottom"/>
            <w:gridSpan w:val="3"/>
            <w:shd w:val="clear" w:color="auto" w:fill="CFF0FC"/>
          </w:tcPr>
          <w:p>
            <w:pPr>
              <w:jc w:val="right"/>
              <w:ind w:right="148"/>
              <w:spacing w:after="0" w:line="203" w:lineRule="exact"/>
              <w:rPr>
                <w:sz w:val="20"/>
                <w:szCs w:val="20"/>
                <w:color w:val="auto"/>
              </w:rPr>
            </w:pPr>
            <w:r>
              <w:rPr>
                <w:rFonts w:ascii="Arial" w:cs="Arial" w:eastAsia="Arial" w:hAnsi="Arial"/>
                <w:sz w:val="18"/>
                <w:szCs w:val="18"/>
                <w:color w:val="auto"/>
              </w:rPr>
              <w:t>11.2%</w:t>
            </w:r>
          </w:p>
        </w:tc>
        <w:tc>
          <w:tcPr>
            <w:tcW w:w="1800" w:type="dxa"/>
            <w:vAlign w:val="bottom"/>
            <w:gridSpan w:val="2"/>
            <w:shd w:val="clear" w:color="auto" w:fill="CFF0FC"/>
          </w:tcPr>
          <w:p>
            <w:pPr>
              <w:jc w:val="right"/>
              <w:ind w:right="240"/>
              <w:spacing w:after="0" w:line="203" w:lineRule="exact"/>
              <w:rPr>
                <w:sz w:val="20"/>
                <w:szCs w:val="20"/>
                <w:color w:val="auto"/>
              </w:rPr>
            </w:pPr>
            <w:r>
              <w:rPr>
                <w:rFonts w:ascii="Arial" w:cs="Arial" w:eastAsia="Arial" w:hAnsi="Arial"/>
                <w:sz w:val="18"/>
                <w:szCs w:val="18"/>
                <w:color w:val="auto"/>
              </w:rPr>
              <w:t>40.2%</w:t>
            </w:r>
          </w:p>
        </w:tc>
        <w:tc>
          <w:tcPr>
            <w:tcW w:w="1660" w:type="dxa"/>
            <w:vAlign w:val="bottom"/>
            <w:gridSpan w:val="2"/>
            <w:shd w:val="clear" w:color="auto" w:fill="CFF0FC"/>
          </w:tcPr>
          <w:p>
            <w:pPr>
              <w:jc w:val="right"/>
              <w:ind w:right="80"/>
              <w:spacing w:after="0" w:line="203" w:lineRule="exact"/>
              <w:rPr>
                <w:sz w:val="20"/>
                <w:szCs w:val="20"/>
                <w:color w:val="auto"/>
              </w:rPr>
            </w:pPr>
            <w:r>
              <w:rPr>
                <w:rFonts w:ascii="Arial" w:cs="Arial" w:eastAsia="Arial" w:hAnsi="Arial"/>
                <w:sz w:val="18"/>
                <w:szCs w:val="18"/>
                <w:color w:val="auto"/>
              </w:rPr>
              <w:t>15.3%</w:t>
            </w:r>
          </w:p>
        </w:tc>
        <w:tc>
          <w:tcPr>
            <w:tcW w:w="0" w:type="dxa"/>
            <w:vAlign w:val="bottom"/>
          </w:tcPr>
          <w:p>
            <w:pPr>
              <w:spacing w:after="0"/>
              <w:rPr>
                <w:sz w:val="1"/>
                <w:szCs w:val="1"/>
                <w:color w:val="auto"/>
              </w:rPr>
            </w:pPr>
          </w:p>
        </w:tc>
      </w:tr>
      <w:tr>
        <w:trPr>
          <w:trHeight w:val="215"/>
        </w:trPr>
        <w:tc>
          <w:tcPr>
            <w:tcW w:w="4880" w:type="dxa"/>
            <w:vAlign w:val="bottom"/>
          </w:tcPr>
          <w:p>
            <w:pPr>
              <w:spacing w:after="0"/>
              <w:rPr>
                <w:sz w:val="20"/>
                <w:szCs w:val="20"/>
                <w:color w:val="auto"/>
              </w:rPr>
            </w:pPr>
            <w:r>
              <w:rPr>
                <w:rFonts w:ascii="Arial" w:cs="Arial" w:eastAsia="Arial" w:hAnsi="Arial"/>
                <w:sz w:val="18"/>
                <w:szCs w:val="18"/>
                <w:color w:val="auto"/>
              </w:rPr>
              <w:t>Effect of rate and other changes on federal deferred</w:t>
            </w:r>
          </w:p>
        </w:tc>
        <w:tc>
          <w:tcPr>
            <w:tcW w:w="128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4880" w:type="dxa"/>
            <w:vAlign w:val="bottom"/>
          </w:tcPr>
          <w:p>
            <w:pPr>
              <w:ind w:left="100"/>
              <w:spacing w:after="0" w:line="202" w:lineRule="exact"/>
              <w:rPr>
                <w:sz w:val="20"/>
                <w:szCs w:val="20"/>
                <w:color w:val="auto"/>
              </w:rPr>
            </w:pPr>
            <w:r>
              <w:rPr>
                <w:rFonts w:ascii="Arial" w:cs="Arial" w:eastAsia="Arial" w:hAnsi="Arial"/>
                <w:sz w:val="18"/>
                <w:szCs w:val="18"/>
                <w:color w:val="auto"/>
              </w:rPr>
              <w:t>taxes, net due to enactment of Tax Cuts and Jobs</w:t>
            </w:r>
          </w:p>
        </w:tc>
        <w:tc>
          <w:tcPr>
            <w:tcW w:w="128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880" w:type="dxa"/>
            <w:vAlign w:val="bottom"/>
          </w:tcPr>
          <w:p>
            <w:pPr>
              <w:ind w:left="100"/>
              <w:spacing w:after="0" w:line="203" w:lineRule="exact"/>
              <w:rPr>
                <w:sz w:val="20"/>
                <w:szCs w:val="20"/>
                <w:color w:val="auto"/>
              </w:rPr>
            </w:pPr>
            <w:r>
              <w:rPr>
                <w:rFonts w:ascii="Arial" w:cs="Arial" w:eastAsia="Arial" w:hAnsi="Arial"/>
                <w:sz w:val="18"/>
                <w:szCs w:val="18"/>
                <w:color w:val="auto"/>
              </w:rPr>
              <w:t>Act</w:t>
            </w:r>
          </w:p>
        </w:tc>
        <w:tc>
          <w:tcPr>
            <w:tcW w:w="1280" w:type="dxa"/>
            <w:vAlign w:val="bottom"/>
          </w:tcPr>
          <w:p>
            <w:pPr>
              <w:spacing w:after="0"/>
              <w:rPr>
                <w:sz w:val="17"/>
                <w:szCs w:val="17"/>
                <w:color w:val="auto"/>
              </w:rPr>
            </w:pPr>
          </w:p>
        </w:tc>
        <w:tc>
          <w:tcPr>
            <w:tcW w:w="1800" w:type="dxa"/>
            <w:vAlign w:val="bottom"/>
            <w:gridSpan w:val="2"/>
          </w:tcPr>
          <w:p>
            <w:pPr>
              <w:jc w:val="right"/>
              <w:ind w:right="328"/>
              <w:spacing w:after="0" w:line="203" w:lineRule="exact"/>
              <w:rPr>
                <w:sz w:val="20"/>
                <w:szCs w:val="20"/>
                <w:color w:val="auto"/>
              </w:rPr>
            </w:pPr>
            <w:r>
              <w:rPr>
                <w:rFonts w:ascii="Arial" w:cs="Arial" w:eastAsia="Arial" w:hAnsi="Arial"/>
                <w:sz w:val="18"/>
                <w:szCs w:val="18"/>
                <w:color w:val="auto"/>
              </w:rPr>
              <w:t>—</w:t>
            </w:r>
          </w:p>
        </w:tc>
        <w:tc>
          <w:tcPr>
            <w:tcW w:w="1800" w:type="dxa"/>
            <w:vAlign w:val="bottom"/>
            <w:gridSpan w:val="2"/>
          </w:tcPr>
          <w:p>
            <w:pPr>
              <w:jc w:val="right"/>
              <w:ind w:right="400"/>
              <w:spacing w:after="0" w:line="203" w:lineRule="exact"/>
              <w:rPr>
                <w:sz w:val="20"/>
                <w:szCs w:val="20"/>
                <w:color w:val="auto"/>
              </w:rPr>
            </w:pPr>
            <w:r>
              <w:rPr>
                <w:rFonts w:ascii="Arial" w:cs="Arial" w:eastAsia="Arial" w:hAnsi="Arial"/>
                <w:sz w:val="18"/>
                <w:szCs w:val="18"/>
                <w:color w:val="auto"/>
              </w:rPr>
              <w:t>—</w:t>
            </w:r>
          </w:p>
        </w:tc>
        <w:tc>
          <w:tcPr>
            <w:tcW w:w="1660" w:type="dxa"/>
            <w:vAlign w:val="bottom"/>
            <w:gridSpan w:val="2"/>
          </w:tcPr>
          <w:p>
            <w:pPr>
              <w:jc w:val="right"/>
              <w:ind w:right="20"/>
              <w:spacing w:after="0" w:line="203" w:lineRule="exact"/>
              <w:rPr>
                <w:sz w:val="20"/>
                <w:szCs w:val="20"/>
                <w:color w:val="auto"/>
              </w:rPr>
            </w:pPr>
            <w:r>
              <w:rPr>
                <w:rFonts w:ascii="Arial" w:cs="Arial" w:eastAsia="Arial" w:hAnsi="Arial"/>
                <w:sz w:val="18"/>
                <w:szCs w:val="18"/>
                <w:color w:val="auto"/>
              </w:rPr>
              <w:t>(30.0%)</w:t>
            </w:r>
          </w:p>
        </w:tc>
        <w:tc>
          <w:tcPr>
            <w:tcW w:w="0" w:type="dxa"/>
            <w:vAlign w:val="bottom"/>
          </w:tcPr>
          <w:p>
            <w:pPr>
              <w:spacing w:after="0"/>
              <w:rPr>
                <w:sz w:val="1"/>
                <w:szCs w:val="1"/>
                <w:color w:val="auto"/>
              </w:rPr>
            </w:pPr>
          </w:p>
        </w:tc>
      </w:tr>
      <w:tr>
        <w:trPr>
          <w:trHeight w:val="216"/>
        </w:trPr>
        <w:tc>
          <w:tcPr>
            <w:tcW w:w="4880" w:type="dxa"/>
            <w:vAlign w:val="bottom"/>
            <w:shd w:val="clear" w:color="auto" w:fill="CFF0FC"/>
          </w:tcPr>
          <w:p>
            <w:pPr>
              <w:spacing w:after="0"/>
              <w:rPr>
                <w:sz w:val="20"/>
                <w:szCs w:val="20"/>
                <w:color w:val="auto"/>
              </w:rPr>
            </w:pPr>
            <w:r>
              <w:rPr>
                <w:rFonts w:ascii="Arial" w:cs="Arial" w:eastAsia="Arial" w:hAnsi="Arial"/>
                <w:sz w:val="18"/>
                <w:szCs w:val="18"/>
                <w:color w:val="auto"/>
              </w:rPr>
              <w:t>Nondeductible officer compensation</w:t>
            </w:r>
          </w:p>
        </w:tc>
        <w:tc>
          <w:tcPr>
            <w:tcW w:w="3080" w:type="dxa"/>
            <w:vAlign w:val="bottom"/>
            <w:gridSpan w:val="3"/>
            <w:shd w:val="clear" w:color="auto" w:fill="CFF0FC"/>
          </w:tcPr>
          <w:p>
            <w:pPr>
              <w:jc w:val="right"/>
              <w:ind w:right="88"/>
              <w:spacing w:after="0"/>
              <w:rPr>
                <w:sz w:val="20"/>
                <w:szCs w:val="20"/>
                <w:color w:val="auto"/>
              </w:rPr>
            </w:pPr>
            <w:r>
              <w:rPr>
                <w:rFonts w:ascii="Arial" w:cs="Arial" w:eastAsia="Arial" w:hAnsi="Arial"/>
                <w:sz w:val="18"/>
                <w:szCs w:val="18"/>
                <w:color w:val="auto"/>
              </w:rPr>
              <w:t>(2.8%)</w:t>
            </w:r>
          </w:p>
        </w:tc>
        <w:tc>
          <w:tcPr>
            <w:tcW w:w="180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(1.8%)</w:t>
            </w:r>
          </w:p>
        </w:tc>
        <w:tc>
          <w:tcPr>
            <w:tcW w:w="166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880" w:type="dxa"/>
            <w:vAlign w:val="bottom"/>
          </w:tcPr>
          <w:p>
            <w:pPr>
              <w:spacing w:after="0"/>
              <w:rPr>
                <w:sz w:val="20"/>
                <w:szCs w:val="20"/>
                <w:color w:val="auto"/>
              </w:rPr>
            </w:pPr>
            <w:r>
              <w:rPr>
                <w:rFonts w:ascii="Arial" w:cs="Arial" w:eastAsia="Arial" w:hAnsi="Arial"/>
                <w:sz w:val="18"/>
                <w:szCs w:val="18"/>
                <w:color w:val="auto"/>
              </w:rPr>
              <w:t>Nondeductible meals and entertainment</w:t>
            </w:r>
          </w:p>
        </w:tc>
        <w:tc>
          <w:tcPr>
            <w:tcW w:w="3080" w:type="dxa"/>
            <w:vAlign w:val="bottom"/>
            <w:gridSpan w:val="3"/>
          </w:tcPr>
          <w:p>
            <w:pPr>
              <w:jc w:val="right"/>
              <w:ind w:right="88"/>
              <w:spacing w:after="0"/>
              <w:rPr>
                <w:sz w:val="20"/>
                <w:szCs w:val="20"/>
                <w:color w:val="auto"/>
              </w:rPr>
            </w:pPr>
            <w:r>
              <w:rPr>
                <w:rFonts w:ascii="Arial" w:cs="Arial" w:eastAsia="Arial" w:hAnsi="Arial"/>
                <w:sz w:val="18"/>
                <w:szCs w:val="18"/>
                <w:color w:val="auto"/>
              </w:rPr>
              <w:t>(1.9%)</w:t>
            </w:r>
          </w:p>
        </w:tc>
        <w:tc>
          <w:tcPr>
            <w:tcW w:w="1800" w:type="dxa"/>
            <w:vAlign w:val="bottom"/>
            <w:gridSpan w:val="2"/>
          </w:tcPr>
          <w:p>
            <w:pPr>
              <w:jc w:val="right"/>
              <w:ind w:right="180"/>
              <w:spacing w:after="0"/>
              <w:rPr>
                <w:sz w:val="20"/>
                <w:szCs w:val="20"/>
                <w:color w:val="auto"/>
              </w:rPr>
            </w:pPr>
            <w:r>
              <w:rPr>
                <w:rFonts w:ascii="Arial" w:cs="Arial" w:eastAsia="Arial" w:hAnsi="Arial"/>
                <w:sz w:val="18"/>
                <w:szCs w:val="18"/>
                <w:color w:val="auto"/>
              </w:rPr>
              <w:t>(1.7%)</w:t>
            </w:r>
          </w:p>
        </w:tc>
        <w:tc>
          <w:tcPr>
            <w:tcW w:w="16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880" w:type="dxa"/>
            <w:vAlign w:val="bottom"/>
            <w:shd w:val="clear" w:color="auto" w:fill="CFF0FC"/>
          </w:tcPr>
          <w:p>
            <w:pPr>
              <w:spacing w:after="0"/>
              <w:rPr>
                <w:sz w:val="20"/>
                <w:szCs w:val="20"/>
                <w:color w:val="auto"/>
              </w:rPr>
            </w:pPr>
            <w:r>
              <w:rPr>
                <w:rFonts w:ascii="Arial" w:cs="Arial" w:eastAsia="Arial" w:hAnsi="Arial"/>
                <w:sz w:val="18"/>
                <w:szCs w:val="18"/>
                <w:color w:val="auto"/>
              </w:rPr>
              <w:t>Other</w:t>
            </w:r>
          </w:p>
        </w:tc>
        <w:tc>
          <w:tcPr>
            <w:tcW w:w="1280" w:type="dxa"/>
            <w:vAlign w:val="bottom"/>
            <w:shd w:val="clear" w:color="auto" w:fill="CFF0FC"/>
          </w:tcPr>
          <w:p>
            <w:pPr>
              <w:spacing w:after="0"/>
              <w:rPr>
                <w:sz w:val="18"/>
                <w:szCs w:val="18"/>
                <w:color w:val="auto"/>
              </w:rPr>
            </w:pPr>
          </w:p>
        </w:tc>
        <w:tc>
          <w:tcPr>
            <w:tcW w:w="1800" w:type="dxa"/>
            <w:vAlign w:val="bottom"/>
            <w:gridSpan w:val="2"/>
            <w:shd w:val="clear" w:color="auto" w:fill="CFF0FC"/>
          </w:tcPr>
          <w:p>
            <w:pPr>
              <w:jc w:val="right"/>
              <w:ind w:right="148"/>
              <w:spacing w:after="0"/>
              <w:rPr>
                <w:sz w:val="20"/>
                <w:szCs w:val="20"/>
                <w:color w:val="auto"/>
              </w:rPr>
            </w:pPr>
            <w:r>
              <w:rPr>
                <w:rFonts w:ascii="Arial" w:cs="Arial" w:eastAsia="Arial" w:hAnsi="Arial"/>
                <w:sz w:val="18"/>
                <w:szCs w:val="18"/>
                <w:color w:val="auto"/>
              </w:rPr>
              <w:t>0.1%</w:t>
            </w:r>
          </w:p>
        </w:tc>
        <w:tc>
          <w:tcPr>
            <w:tcW w:w="180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(1.6%)</w:t>
            </w:r>
          </w:p>
        </w:tc>
        <w:tc>
          <w:tcPr>
            <w:tcW w:w="166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20"/>
        </w:trPr>
        <w:tc>
          <w:tcPr>
            <w:tcW w:w="488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42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8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800" w:type="dxa"/>
            <w:vAlign w:val="bottom"/>
            <w:gridSpan w:val="2"/>
          </w:tcPr>
          <w:p>
            <w:pPr>
              <w:jc w:val="right"/>
              <w:ind w:right="88"/>
              <w:spacing w:after="0"/>
              <w:rPr>
                <w:sz w:val="20"/>
                <w:szCs w:val="20"/>
                <w:color w:val="auto"/>
              </w:rPr>
            </w:pPr>
            <w:r>
              <w:rPr>
                <w:rFonts w:ascii="Arial" w:cs="Arial" w:eastAsia="Arial" w:hAnsi="Arial"/>
                <w:sz w:val="18"/>
                <w:szCs w:val="18"/>
                <w:color w:val="auto"/>
              </w:rPr>
              <w:t>(5.7%)</w:t>
            </w:r>
          </w:p>
        </w:tc>
        <w:tc>
          <w:tcPr>
            <w:tcW w:w="1800" w:type="dxa"/>
            <w:vAlign w:val="bottom"/>
            <w:gridSpan w:val="2"/>
          </w:tcPr>
          <w:p>
            <w:pPr>
              <w:jc w:val="right"/>
              <w:ind w:right="180"/>
              <w:spacing w:after="0"/>
              <w:rPr>
                <w:sz w:val="20"/>
                <w:szCs w:val="20"/>
                <w:color w:val="auto"/>
              </w:rPr>
            </w:pPr>
            <w:r>
              <w:rPr>
                <w:rFonts w:ascii="Arial" w:cs="Arial" w:eastAsia="Arial" w:hAnsi="Arial"/>
                <w:sz w:val="18"/>
                <w:szCs w:val="18"/>
                <w:color w:val="auto"/>
              </w:rPr>
              <w:t>(3.9%)</w:t>
            </w:r>
          </w:p>
        </w:tc>
        <w:tc>
          <w:tcPr>
            <w:tcW w:w="1660" w:type="dxa"/>
            <w:vAlign w:val="bottom"/>
            <w:gridSpan w:val="2"/>
          </w:tcPr>
          <w:p>
            <w:pPr>
              <w:jc w:val="right"/>
              <w:ind w:right="20"/>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0"/>
        </w:trPr>
        <w:tc>
          <w:tcPr>
            <w:tcW w:w="4880" w:type="dxa"/>
            <w:vAlign w:val="bottom"/>
          </w:tcPr>
          <w:p>
            <w:pPr>
              <w:spacing w:after="0" w:line="20" w:lineRule="exact"/>
              <w:rPr>
                <w:sz w:val="1"/>
                <w:szCs w:val="1"/>
                <w:color w:val="auto"/>
              </w:rPr>
            </w:pPr>
          </w:p>
        </w:tc>
        <w:tc>
          <w:tcPr>
            <w:tcW w:w="1280" w:type="dxa"/>
            <w:vAlign w:val="bottom"/>
            <w:vMerge w:val="restart"/>
          </w:tcPr>
          <w:p>
            <w:pPr>
              <w:jc w:val="right"/>
              <w:ind w:right="250"/>
              <w:spacing w:after="0"/>
              <w:rPr>
                <w:sz w:val="20"/>
                <w:szCs w:val="20"/>
                <w:color w:val="auto"/>
              </w:rPr>
            </w:pPr>
            <w:r>
              <w:rPr>
                <w:rFonts w:ascii="Arial" w:cs="Arial" w:eastAsia="Arial" w:hAnsi="Arial"/>
                <w:sz w:val="18"/>
                <w:szCs w:val="18"/>
                <w:color w:val="auto"/>
              </w:rPr>
              <w:t>83</w:t>
            </w:r>
          </w:p>
        </w:tc>
        <w:tc>
          <w:tcPr>
            <w:tcW w:w="14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56"/>
        </w:trPr>
        <w:tc>
          <w:tcPr>
            <w:tcW w:w="4880" w:type="dxa"/>
            <w:vAlign w:val="bottom"/>
          </w:tcPr>
          <w:p>
            <w:pPr>
              <w:spacing w:after="0"/>
              <w:rPr>
                <w:sz w:val="24"/>
                <w:szCs w:val="24"/>
                <w:color w:val="auto"/>
              </w:rPr>
            </w:pPr>
          </w:p>
        </w:tc>
        <w:tc>
          <w:tcPr>
            <w:tcW w:w="1280" w:type="dxa"/>
            <w:vAlign w:val="bottom"/>
            <w:vMerge w:val="continue"/>
          </w:tcPr>
          <w:p>
            <w:pPr>
              <w:spacing w:after="0"/>
              <w:rPr>
                <w:sz w:val="24"/>
                <w:szCs w:val="24"/>
                <w:color w:val="auto"/>
              </w:rPr>
            </w:pPr>
          </w:p>
        </w:tc>
        <w:tc>
          <w:tcPr>
            <w:tcW w:w="14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2"/>
        </w:trPr>
        <w:tc>
          <w:tcPr>
            <w:tcW w:w="4880" w:type="dxa"/>
            <w:vAlign w:val="bottom"/>
            <w:tcBorders>
              <w:bottom w:val="single" w:sz="8" w:color="9A9A9A"/>
            </w:tcBorders>
          </w:tcPr>
          <w:p>
            <w:pPr>
              <w:spacing w:after="0"/>
              <w:rPr>
                <w:sz w:val="8"/>
                <w:szCs w:val="8"/>
                <w:color w:val="auto"/>
              </w:rPr>
            </w:pPr>
          </w:p>
        </w:tc>
        <w:tc>
          <w:tcPr>
            <w:tcW w:w="1280" w:type="dxa"/>
            <w:vAlign w:val="bottom"/>
            <w:tcBorders>
              <w:bottom w:val="single" w:sz="8" w:color="9A9A9A"/>
            </w:tcBorders>
          </w:tcPr>
          <w:p>
            <w:pPr>
              <w:spacing w:after="0"/>
              <w:rPr>
                <w:sz w:val="8"/>
                <w:szCs w:val="8"/>
                <w:color w:val="auto"/>
              </w:rPr>
            </w:pPr>
          </w:p>
        </w:tc>
        <w:tc>
          <w:tcPr>
            <w:tcW w:w="1420" w:type="dxa"/>
            <w:vAlign w:val="bottom"/>
            <w:tcBorders>
              <w:bottom w:val="single" w:sz="8" w:color="9A9A9A"/>
            </w:tcBorders>
          </w:tcPr>
          <w:p>
            <w:pPr>
              <w:spacing w:after="0"/>
              <w:rPr>
                <w:sz w:val="8"/>
                <w:szCs w:val="8"/>
                <w:color w:val="auto"/>
              </w:rPr>
            </w:pPr>
          </w:p>
        </w:tc>
        <w:tc>
          <w:tcPr>
            <w:tcW w:w="380" w:type="dxa"/>
            <w:vAlign w:val="bottom"/>
            <w:tcBorders>
              <w:bottom w:val="single" w:sz="8" w:color="9A9A9A"/>
            </w:tcBorders>
          </w:tcPr>
          <w:p>
            <w:pPr>
              <w:spacing w:after="0"/>
              <w:rPr>
                <w:sz w:val="8"/>
                <w:szCs w:val="8"/>
                <w:color w:val="auto"/>
              </w:rPr>
            </w:pPr>
          </w:p>
        </w:tc>
        <w:tc>
          <w:tcPr>
            <w:tcW w:w="1400" w:type="dxa"/>
            <w:vAlign w:val="bottom"/>
            <w:tcBorders>
              <w:bottom w:val="single" w:sz="8" w:color="9A9A9A"/>
            </w:tcBorders>
          </w:tcPr>
          <w:p>
            <w:pPr>
              <w:spacing w:after="0"/>
              <w:rPr>
                <w:sz w:val="8"/>
                <w:szCs w:val="8"/>
                <w:color w:val="auto"/>
              </w:rPr>
            </w:pPr>
          </w:p>
        </w:tc>
        <w:tc>
          <w:tcPr>
            <w:tcW w:w="400" w:type="dxa"/>
            <w:vAlign w:val="bottom"/>
            <w:tcBorders>
              <w:bottom w:val="single" w:sz="8" w:color="9A9A9A"/>
            </w:tcBorders>
          </w:tcPr>
          <w:p>
            <w:pPr>
              <w:spacing w:after="0"/>
              <w:rPr>
                <w:sz w:val="8"/>
                <w:szCs w:val="8"/>
                <w:color w:val="auto"/>
              </w:rPr>
            </w:pPr>
          </w:p>
        </w:tc>
        <w:tc>
          <w:tcPr>
            <w:tcW w:w="1420" w:type="dxa"/>
            <w:vAlign w:val="bottom"/>
            <w:tcBorders>
              <w:bottom w:val="single" w:sz="8" w:color="9A9A9A"/>
            </w:tcBorders>
          </w:tcPr>
          <w:p>
            <w:pPr>
              <w:spacing w:after="0"/>
              <w:rPr>
                <w:sz w:val="8"/>
                <w:szCs w:val="8"/>
                <w:color w:val="auto"/>
              </w:rPr>
            </w:pPr>
          </w:p>
        </w:tc>
        <w:tc>
          <w:tcPr>
            <w:tcW w:w="240" w:type="dxa"/>
            <w:vAlign w:val="bottom"/>
            <w:tcBorders>
              <w:bottom w:val="single" w:sz="8" w:color="9A9A9A"/>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7230110</wp:posOffset>
            </wp:positionH>
            <wp:positionV relativeFrom="paragraph">
              <wp:posOffset>-29210</wp:posOffset>
            </wp:positionV>
            <wp:extent cx="34290" cy="425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20"/>
          </w:cols>
          <w:pgMar w:left="240" w:top="657" w:right="239" w:bottom="1440" w:gutter="0" w:footer="0" w:header="0"/>
        </w:sectPr>
      </w:pPr>
    </w:p>
    <w:bookmarkStart w:id="83" w:name="page84"/>
    <w:bookmarkEnd w:id="83"/>
    <w:p>
      <w:pPr>
        <w:ind w:left="520"/>
        <w:spacing w:after="0"/>
        <w:rPr>
          <w:sz w:val="20"/>
          <w:szCs w:val="20"/>
          <w:color w:val="auto"/>
        </w:rPr>
      </w:pPr>
      <w:r>
        <w:rPr>
          <w:rFonts w:ascii="Arial" w:cs="Arial" w:eastAsia="Arial" w:hAnsi="Arial"/>
          <w:sz w:val="18"/>
          <w:szCs w:val="18"/>
          <w:color w:val="auto"/>
        </w:rPr>
        <w:t>Significant components of the Company’s deferred tax assets and liabilities were as follows (in thousands):</w:t>
      </w:r>
    </w:p>
    <w:p>
      <w:pPr>
        <w:spacing w:after="0" w:line="294"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5720" w:type="dxa"/>
            <w:vAlign w:val="bottom"/>
          </w:tcPr>
          <w:p>
            <w:pPr>
              <w:spacing w:after="0"/>
              <w:rPr>
                <w:sz w:val="15"/>
                <w:szCs w:val="15"/>
                <w:color w:val="auto"/>
              </w:rPr>
            </w:pPr>
          </w:p>
        </w:tc>
        <w:tc>
          <w:tcPr>
            <w:tcW w:w="1840" w:type="dxa"/>
            <w:vAlign w:val="bottom"/>
          </w:tcPr>
          <w:p>
            <w:pPr>
              <w:spacing w:after="0"/>
              <w:rPr>
                <w:sz w:val="15"/>
                <w:szCs w:val="15"/>
                <w:color w:val="auto"/>
              </w:rPr>
            </w:pPr>
          </w:p>
        </w:tc>
        <w:tc>
          <w:tcPr>
            <w:tcW w:w="1060" w:type="dxa"/>
            <w:vAlign w:val="bottom"/>
            <w:tcBorders>
              <w:bottom w:val="single" w:sz="8" w:color="auto"/>
            </w:tcBorders>
          </w:tcPr>
          <w:p>
            <w:pPr>
              <w:spacing w:after="0"/>
              <w:rPr>
                <w:sz w:val="15"/>
                <w:szCs w:val="15"/>
                <w:color w:val="auto"/>
              </w:rPr>
            </w:pPr>
          </w:p>
        </w:tc>
        <w:tc>
          <w:tcPr>
            <w:tcW w:w="1460" w:type="dxa"/>
            <w:vAlign w:val="bottom"/>
            <w:tcBorders>
              <w:bottom w:val="single" w:sz="8" w:color="auto"/>
            </w:tcBorders>
            <w:gridSpan w:val="3"/>
          </w:tcPr>
          <w:p>
            <w:pPr>
              <w:jc w:val="right"/>
              <w:ind w:right="110"/>
              <w:spacing w:after="0"/>
              <w:rPr>
                <w:sz w:val="20"/>
                <w:szCs w:val="20"/>
                <w:color w:val="auto"/>
              </w:rPr>
            </w:pPr>
            <w:r>
              <w:rPr>
                <w:rFonts w:ascii="Arial" w:cs="Arial" w:eastAsia="Arial" w:hAnsi="Arial"/>
                <w:sz w:val="14"/>
                <w:szCs w:val="14"/>
                <w:b w:val="1"/>
                <w:bCs w:val="1"/>
                <w:color w:val="auto"/>
              </w:rPr>
              <w:t>December 31,</w:t>
            </w:r>
          </w:p>
        </w:tc>
        <w:tc>
          <w:tcPr>
            <w:tcW w:w="122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r>
      <w:tr>
        <w:trPr>
          <w:trHeight w:val="169"/>
        </w:trPr>
        <w:tc>
          <w:tcPr>
            <w:tcW w:w="5720" w:type="dxa"/>
            <w:vAlign w:val="bottom"/>
          </w:tcPr>
          <w:p>
            <w:pPr>
              <w:spacing w:after="0"/>
              <w:rPr>
                <w:sz w:val="14"/>
                <w:szCs w:val="14"/>
                <w:color w:val="auto"/>
              </w:rPr>
            </w:pPr>
          </w:p>
        </w:tc>
        <w:tc>
          <w:tcPr>
            <w:tcW w:w="2900" w:type="dxa"/>
            <w:vAlign w:val="bottom"/>
            <w:gridSpan w:val="2"/>
          </w:tcPr>
          <w:p>
            <w:pPr>
              <w:jc w:val="right"/>
              <w:ind w:right="40"/>
              <w:spacing w:after="0"/>
              <w:rPr>
                <w:sz w:val="20"/>
                <w:szCs w:val="20"/>
                <w:color w:val="auto"/>
              </w:rPr>
            </w:pPr>
            <w:r>
              <w:rPr>
                <w:rFonts w:ascii="Arial" w:cs="Arial" w:eastAsia="Arial" w:hAnsi="Arial"/>
                <w:sz w:val="14"/>
                <w:szCs w:val="14"/>
                <w:b w:val="1"/>
                <w:bCs w:val="1"/>
                <w:color w:val="auto"/>
              </w:rPr>
              <w:t>2019</w:t>
            </w:r>
          </w:p>
        </w:tc>
        <w:tc>
          <w:tcPr>
            <w:tcW w:w="6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220" w:type="dxa"/>
            <w:vAlign w:val="bottom"/>
          </w:tcPr>
          <w:p>
            <w:pPr>
              <w:jc w:val="right"/>
              <w:ind w:right="631"/>
              <w:spacing w:after="0"/>
              <w:rPr>
                <w:sz w:val="20"/>
                <w:szCs w:val="20"/>
                <w:color w:val="auto"/>
              </w:rPr>
            </w:pPr>
            <w:r>
              <w:rPr>
                <w:rFonts w:ascii="Arial" w:cs="Arial" w:eastAsia="Arial" w:hAnsi="Arial"/>
                <w:sz w:val="14"/>
                <w:szCs w:val="14"/>
                <w:b w:val="1"/>
                <w:bCs w:val="1"/>
                <w:color w:val="auto"/>
              </w:rPr>
              <w:t>2018</w:t>
            </w:r>
          </w:p>
        </w:tc>
        <w:tc>
          <w:tcPr>
            <w:tcW w:w="120" w:type="dxa"/>
            <w:vAlign w:val="bottom"/>
          </w:tcPr>
          <w:p>
            <w:pPr>
              <w:spacing w:after="0"/>
              <w:rPr>
                <w:sz w:val="14"/>
                <w:szCs w:val="14"/>
                <w:color w:val="auto"/>
              </w:rPr>
            </w:pPr>
          </w:p>
        </w:tc>
      </w:tr>
      <w:tr>
        <w:trPr>
          <w:trHeight w:val="210"/>
        </w:trPr>
        <w:tc>
          <w:tcPr>
            <w:tcW w:w="57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Deferred tax assets</w:t>
            </w:r>
          </w:p>
        </w:tc>
        <w:tc>
          <w:tcPr>
            <w:tcW w:w="1840" w:type="dxa"/>
            <w:vAlign w:val="bottom"/>
            <w:tcBorders>
              <w:top w:val="single" w:sz="8" w:color="CFF0FC"/>
            </w:tcBorders>
            <w:shd w:val="clear" w:color="auto" w:fill="CFF0FC"/>
          </w:tcPr>
          <w:p>
            <w:pPr>
              <w:spacing w:after="0"/>
              <w:rPr>
                <w:sz w:val="18"/>
                <w:szCs w:val="18"/>
                <w:color w:val="auto"/>
              </w:rPr>
            </w:pPr>
          </w:p>
        </w:tc>
        <w:tc>
          <w:tcPr>
            <w:tcW w:w="1060" w:type="dxa"/>
            <w:vAlign w:val="bottom"/>
            <w:tcBorders>
              <w:top w:val="single" w:sz="8" w:color="auto"/>
            </w:tcBorders>
            <w:shd w:val="clear" w:color="auto" w:fill="CFF0FC"/>
          </w:tcPr>
          <w:p>
            <w:pPr>
              <w:spacing w:after="0"/>
              <w:rPr>
                <w:sz w:val="18"/>
                <w:szCs w:val="18"/>
                <w:color w:val="auto"/>
              </w:rPr>
            </w:pPr>
          </w:p>
        </w:tc>
        <w:tc>
          <w:tcPr>
            <w:tcW w:w="660" w:type="dxa"/>
            <w:vAlign w:val="bottom"/>
            <w:tcBorders>
              <w:top w:val="single" w:sz="8" w:color="auto"/>
            </w:tcBorders>
            <w:shd w:val="clear" w:color="auto" w:fill="CFF0FC"/>
          </w:tcPr>
          <w:p>
            <w:pPr>
              <w:spacing w:after="0"/>
              <w:rPr>
                <w:sz w:val="18"/>
                <w:szCs w:val="18"/>
                <w:color w:val="auto"/>
              </w:rPr>
            </w:pPr>
          </w:p>
        </w:tc>
        <w:tc>
          <w:tcPr>
            <w:tcW w:w="280" w:type="dxa"/>
            <w:vAlign w:val="bottom"/>
            <w:tcBorders>
              <w:top w:val="single" w:sz="8" w:color="CFF0FC"/>
            </w:tcBorders>
            <w:shd w:val="clear" w:color="auto" w:fill="CFF0FC"/>
          </w:tcPr>
          <w:p>
            <w:pPr>
              <w:spacing w:after="0"/>
              <w:rPr>
                <w:sz w:val="18"/>
                <w:szCs w:val="18"/>
                <w:color w:val="auto"/>
              </w:rPr>
            </w:pPr>
          </w:p>
        </w:tc>
        <w:tc>
          <w:tcPr>
            <w:tcW w:w="520" w:type="dxa"/>
            <w:vAlign w:val="bottom"/>
            <w:tcBorders>
              <w:top w:val="single" w:sz="8" w:color="auto"/>
            </w:tcBorders>
            <w:shd w:val="clear" w:color="auto" w:fill="CFF0FC"/>
          </w:tcPr>
          <w:p>
            <w:pPr>
              <w:spacing w:after="0"/>
              <w:rPr>
                <w:sz w:val="18"/>
                <w:szCs w:val="18"/>
                <w:color w:val="auto"/>
              </w:rPr>
            </w:pPr>
          </w:p>
        </w:tc>
        <w:tc>
          <w:tcPr>
            <w:tcW w:w="1220" w:type="dxa"/>
            <w:vAlign w:val="bottom"/>
            <w:tcBorders>
              <w:top w:val="single" w:sz="8" w:color="auto"/>
            </w:tcBorders>
            <w:shd w:val="clear" w:color="auto" w:fill="CFF0FC"/>
          </w:tcPr>
          <w:p>
            <w:pPr>
              <w:spacing w:after="0"/>
              <w:rPr>
                <w:sz w:val="18"/>
                <w:szCs w:val="18"/>
                <w:color w:val="auto"/>
              </w:rPr>
            </w:pPr>
          </w:p>
        </w:tc>
        <w:tc>
          <w:tcPr>
            <w:tcW w:w="120" w:type="dxa"/>
            <w:vAlign w:val="bottom"/>
            <w:tcBorders>
              <w:top w:val="single" w:sz="8" w:color="CFF0FC"/>
            </w:tcBorders>
            <w:shd w:val="clear" w:color="auto" w:fill="CFF0FC"/>
          </w:tcPr>
          <w:p>
            <w:pPr>
              <w:spacing w:after="0"/>
              <w:rPr>
                <w:sz w:val="18"/>
                <w:szCs w:val="18"/>
                <w:color w:val="auto"/>
              </w:rPr>
            </w:pPr>
          </w:p>
        </w:tc>
      </w:tr>
      <w:tr>
        <w:trPr>
          <w:trHeight w:val="216"/>
        </w:trPr>
        <w:tc>
          <w:tcPr>
            <w:tcW w:w="5720" w:type="dxa"/>
            <w:vAlign w:val="bottom"/>
          </w:tcPr>
          <w:p>
            <w:pPr>
              <w:ind w:left="260"/>
              <w:spacing w:after="0"/>
              <w:rPr>
                <w:sz w:val="20"/>
                <w:szCs w:val="20"/>
                <w:color w:val="auto"/>
              </w:rPr>
            </w:pPr>
            <w:r>
              <w:rPr>
                <w:rFonts w:ascii="Arial" w:cs="Arial" w:eastAsia="Arial" w:hAnsi="Arial"/>
                <w:sz w:val="18"/>
                <w:szCs w:val="18"/>
                <w:color w:val="auto"/>
              </w:rPr>
              <w:t>Net operating loss carryforwards</w:t>
            </w:r>
          </w:p>
        </w:tc>
        <w:tc>
          <w:tcPr>
            <w:tcW w:w="2900" w:type="dxa"/>
            <w:vAlign w:val="bottom"/>
            <w:gridSpan w:val="2"/>
          </w:tcPr>
          <w:p>
            <w:pPr>
              <w:jc w:val="right"/>
              <w:ind w:right="960"/>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49,310</w:t>
            </w:r>
          </w:p>
        </w:tc>
        <w:tc>
          <w:tcPr>
            <w:tcW w:w="280" w:type="dxa"/>
            <w:vAlign w:val="bottom"/>
          </w:tcPr>
          <w:p>
            <w:pPr>
              <w:spacing w:after="0"/>
              <w:rPr>
                <w:sz w:val="18"/>
                <w:szCs w:val="18"/>
                <w:color w:val="auto"/>
              </w:rPr>
            </w:pPr>
          </w:p>
        </w:tc>
        <w:tc>
          <w:tcPr>
            <w:tcW w:w="520" w:type="dxa"/>
            <w:vAlign w:val="bottom"/>
          </w:tcPr>
          <w:p>
            <w:pPr>
              <w:jc w:val="right"/>
              <w:ind w:right="330"/>
              <w:spacing w:after="0"/>
              <w:rPr>
                <w:sz w:val="20"/>
                <w:szCs w:val="20"/>
                <w:color w:val="auto"/>
              </w:rPr>
            </w:pPr>
            <w:r>
              <w:rPr>
                <w:rFonts w:ascii="Arial" w:cs="Arial" w:eastAsia="Arial" w:hAnsi="Arial"/>
                <w:sz w:val="18"/>
                <w:szCs w:val="18"/>
                <w:color w:val="auto"/>
                <w:w w:val="7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44,422</w:t>
            </w:r>
          </w:p>
        </w:tc>
        <w:tc>
          <w:tcPr>
            <w:tcW w:w="120" w:type="dxa"/>
            <w:vAlign w:val="bottom"/>
          </w:tcPr>
          <w:p>
            <w:pPr>
              <w:spacing w:after="0"/>
              <w:rPr>
                <w:sz w:val="18"/>
                <w:szCs w:val="18"/>
                <w:color w:val="auto"/>
              </w:rPr>
            </w:pPr>
          </w:p>
        </w:tc>
      </w:tr>
      <w:tr>
        <w:trPr>
          <w:trHeight w:val="216"/>
        </w:trPr>
        <w:tc>
          <w:tcPr>
            <w:tcW w:w="57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Business credits</w:t>
            </w:r>
          </w:p>
        </w:tc>
        <w:tc>
          <w:tcPr>
            <w:tcW w:w="184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12,479</w:t>
            </w:r>
          </w:p>
        </w:tc>
        <w:tc>
          <w:tcPr>
            <w:tcW w:w="280" w:type="dxa"/>
            <w:vAlign w:val="bottom"/>
            <w:shd w:val="clear" w:color="auto" w:fill="CFF0FC"/>
          </w:tcPr>
          <w:p>
            <w:pPr>
              <w:spacing w:after="0"/>
              <w:rPr>
                <w:sz w:val="18"/>
                <w:szCs w:val="18"/>
                <w:color w:val="auto"/>
              </w:rPr>
            </w:pPr>
          </w:p>
        </w:tc>
        <w:tc>
          <w:tcPr>
            <w:tcW w:w="520" w:type="dxa"/>
            <w:vAlign w:val="bottom"/>
            <w:shd w:val="clear" w:color="auto" w:fill="CFF0FC"/>
          </w:tcPr>
          <w:p>
            <w:pPr>
              <w:spacing w:after="0"/>
              <w:rPr>
                <w:sz w:val="18"/>
                <w:szCs w:val="18"/>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8,279</w:t>
            </w:r>
          </w:p>
        </w:tc>
        <w:tc>
          <w:tcPr>
            <w:tcW w:w="120" w:type="dxa"/>
            <w:vAlign w:val="bottom"/>
            <w:shd w:val="clear" w:color="auto" w:fill="CFF0FC"/>
          </w:tcPr>
          <w:p>
            <w:pPr>
              <w:spacing w:after="0"/>
              <w:rPr>
                <w:sz w:val="18"/>
                <w:szCs w:val="18"/>
                <w:color w:val="auto"/>
              </w:rPr>
            </w:pPr>
          </w:p>
        </w:tc>
      </w:tr>
      <w:tr>
        <w:trPr>
          <w:trHeight w:val="216"/>
        </w:trPr>
        <w:tc>
          <w:tcPr>
            <w:tcW w:w="5720" w:type="dxa"/>
            <w:vAlign w:val="bottom"/>
          </w:tcPr>
          <w:p>
            <w:pPr>
              <w:ind w:left="260"/>
              <w:spacing w:after="0"/>
              <w:rPr>
                <w:sz w:val="20"/>
                <w:szCs w:val="20"/>
                <w:color w:val="auto"/>
              </w:rPr>
            </w:pPr>
            <w:r>
              <w:rPr>
                <w:rFonts w:ascii="Arial" w:cs="Arial" w:eastAsia="Arial" w:hAnsi="Arial"/>
                <w:sz w:val="18"/>
                <w:szCs w:val="18"/>
                <w:color w:val="auto"/>
              </w:rPr>
              <w:t>Stock-based compensation</w:t>
            </w:r>
          </w:p>
        </w:tc>
        <w:tc>
          <w:tcPr>
            <w:tcW w:w="18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7,155</w:t>
            </w:r>
          </w:p>
        </w:tc>
        <w:tc>
          <w:tcPr>
            <w:tcW w:w="2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5,839</w:t>
            </w:r>
          </w:p>
        </w:tc>
        <w:tc>
          <w:tcPr>
            <w:tcW w:w="120" w:type="dxa"/>
            <w:vAlign w:val="bottom"/>
          </w:tcPr>
          <w:p>
            <w:pPr>
              <w:spacing w:after="0"/>
              <w:rPr>
                <w:sz w:val="18"/>
                <w:szCs w:val="18"/>
                <w:color w:val="auto"/>
              </w:rPr>
            </w:pPr>
          </w:p>
        </w:tc>
      </w:tr>
      <w:tr>
        <w:trPr>
          <w:trHeight w:val="216"/>
        </w:trPr>
        <w:tc>
          <w:tcPr>
            <w:tcW w:w="57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Operating leases</w:t>
            </w:r>
          </w:p>
        </w:tc>
        <w:tc>
          <w:tcPr>
            <w:tcW w:w="184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3,263</w:t>
            </w:r>
          </w:p>
        </w:tc>
        <w:tc>
          <w:tcPr>
            <w:tcW w:w="280" w:type="dxa"/>
            <w:vAlign w:val="bottom"/>
            <w:shd w:val="clear" w:color="auto" w:fill="CFF0FC"/>
          </w:tcPr>
          <w:p>
            <w:pPr>
              <w:spacing w:after="0"/>
              <w:rPr>
                <w:sz w:val="18"/>
                <w:szCs w:val="18"/>
                <w:color w:val="auto"/>
              </w:rPr>
            </w:pPr>
          </w:p>
        </w:tc>
        <w:tc>
          <w:tcPr>
            <w:tcW w:w="520" w:type="dxa"/>
            <w:vAlign w:val="bottom"/>
            <w:shd w:val="clear" w:color="auto" w:fill="CFF0FC"/>
          </w:tcPr>
          <w:p>
            <w:pPr>
              <w:spacing w:after="0"/>
              <w:rPr>
                <w:sz w:val="18"/>
                <w:szCs w:val="18"/>
                <w:color w:val="auto"/>
              </w:rPr>
            </w:pPr>
          </w:p>
        </w:tc>
        <w:tc>
          <w:tcPr>
            <w:tcW w:w="134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r>
      <w:tr>
        <w:trPr>
          <w:trHeight w:val="216"/>
        </w:trPr>
        <w:tc>
          <w:tcPr>
            <w:tcW w:w="5720" w:type="dxa"/>
            <w:vAlign w:val="bottom"/>
          </w:tcPr>
          <w:p>
            <w:pPr>
              <w:ind w:left="260"/>
              <w:spacing w:after="0"/>
              <w:rPr>
                <w:sz w:val="20"/>
                <w:szCs w:val="20"/>
                <w:color w:val="auto"/>
              </w:rPr>
            </w:pPr>
            <w:r>
              <w:rPr>
                <w:rFonts w:ascii="Arial" w:cs="Arial" w:eastAsia="Arial" w:hAnsi="Arial"/>
                <w:sz w:val="18"/>
                <w:szCs w:val="18"/>
                <w:color w:val="auto"/>
              </w:rPr>
              <w:t>Accrued expenses and other current liabilities</w:t>
            </w:r>
          </w:p>
        </w:tc>
        <w:tc>
          <w:tcPr>
            <w:tcW w:w="18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2,974</w:t>
            </w:r>
          </w:p>
        </w:tc>
        <w:tc>
          <w:tcPr>
            <w:tcW w:w="2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2,394</w:t>
            </w:r>
          </w:p>
        </w:tc>
        <w:tc>
          <w:tcPr>
            <w:tcW w:w="120" w:type="dxa"/>
            <w:vAlign w:val="bottom"/>
          </w:tcPr>
          <w:p>
            <w:pPr>
              <w:spacing w:after="0"/>
              <w:rPr>
                <w:sz w:val="18"/>
                <w:szCs w:val="18"/>
                <w:color w:val="auto"/>
              </w:rPr>
            </w:pPr>
          </w:p>
        </w:tc>
      </w:tr>
      <w:tr>
        <w:trPr>
          <w:trHeight w:val="216"/>
        </w:trPr>
        <w:tc>
          <w:tcPr>
            <w:tcW w:w="57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Other</w:t>
            </w:r>
          </w:p>
        </w:tc>
        <w:tc>
          <w:tcPr>
            <w:tcW w:w="1840" w:type="dxa"/>
            <w:vAlign w:val="bottom"/>
            <w:shd w:val="clear" w:color="auto" w:fill="CFF0FC"/>
          </w:tcPr>
          <w:p>
            <w:pPr>
              <w:spacing w:after="0"/>
              <w:rPr>
                <w:sz w:val="18"/>
                <w:szCs w:val="18"/>
                <w:color w:val="auto"/>
              </w:rPr>
            </w:pPr>
          </w:p>
        </w:tc>
        <w:tc>
          <w:tcPr>
            <w:tcW w:w="1060" w:type="dxa"/>
            <w:vAlign w:val="bottom"/>
            <w:tcBorders>
              <w:bottom w:val="single" w:sz="8" w:color="auto"/>
            </w:tcBorders>
            <w:shd w:val="clear" w:color="auto" w:fill="CFF0FC"/>
          </w:tcPr>
          <w:p>
            <w:pPr>
              <w:spacing w:after="0"/>
              <w:rPr>
                <w:sz w:val="18"/>
                <w:szCs w:val="18"/>
                <w:color w:val="auto"/>
              </w:rPr>
            </w:pPr>
          </w:p>
        </w:tc>
        <w:tc>
          <w:tcPr>
            <w:tcW w:w="6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358</w:t>
            </w:r>
          </w:p>
        </w:tc>
        <w:tc>
          <w:tcPr>
            <w:tcW w:w="280" w:type="dxa"/>
            <w:vAlign w:val="bottom"/>
            <w:shd w:val="clear" w:color="auto" w:fill="CFF0FC"/>
          </w:tcPr>
          <w:p>
            <w:pPr>
              <w:spacing w:after="0"/>
              <w:rPr>
                <w:sz w:val="18"/>
                <w:szCs w:val="18"/>
                <w:color w:val="auto"/>
              </w:rPr>
            </w:pPr>
          </w:p>
        </w:tc>
        <w:tc>
          <w:tcPr>
            <w:tcW w:w="520" w:type="dxa"/>
            <w:vAlign w:val="bottom"/>
            <w:tcBorders>
              <w:bottom w:val="single" w:sz="8" w:color="auto"/>
            </w:tcBorders>
            <w:shd w:val="clear" w:color="auto" w:fill="CFF0FC"/>
          </w:tcPr>
          <w:p>
            <w:pPr>
              <w:spacing w:after="0"/>
              <w:rPr>
                <w:sz w:val="18"/>
                <w:szCs w:val="18"/>
                <w:color w:val="auto"/>
              </w:rPr>
            </w:pPr>
          </w:p>
        </w:tc>
        <w:tc>
          <w:tcPr>
            <w:tcW w:w="12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1,192</w:t>
            </w:r>
          </w:p>
        </w:tc>
        <w:tc>
          <w:tcPr>
            <w:tcW w:w="120" w:type="dxa"/>
            <w:vAlign w:val="bottom"/>
            <w:shd w:val="clear" w:color="auto" w:fill="CFF0FC"/>
          </w:tcPr>
          <w:p>
            <w:pPr>
              <w:spacing w:after="0"/>
              <w:rPr>
                <w:sz w:val="18"/>
                <w:szCs w:val="18"/>
                <w:color w:val="auto"/>
              </w:rPr>
            </w:pPr>
          </w:p>
        </w:tc>
      </w:tr>
      <w:tr>
        <w:trPr>
          <w:trHeight w:val="210"/>
        </w:trPr>
        <w:tc>
          <w:tcPr>
            <w:tcW w:w="5720" w:type="dxa"/>
            <w:vAlign w:val="bottom"/>
          </w:tcPr>
          <w:p>
            <w:pPr>
              <w:spacing w:after="0"/>
              <w:rPr>
                <w:sz w:val="20"/>
                <w:szCs w:val="20"/>
                <w:color w:val="auto"/>
              </w:rPr>
            </w:pPr>
            <w:r>
              <w:rPr>
                <w:rFonts w:ascii="Arial" w:cs="Arial" w:eastAsia="Arial" w:hAnsi="Arial"/>
                <w:sz w:val="18"/>
                <w:szCs w:val="18"/>
                <w:color w:val="auto"/>
              </w:rPr>
              <w:t>Total deferred tax assets</w:t>
            </w:r>
          </w:p>
        </w:tc>
        <w:tc>
          <w:tcPr>
            <w:tcW w:w="18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75,539</w:t>
            </w:r>
          </w:p>
        </w:tc>
        <w:tc>
          <w:tcPr>
            <w:tcW w:w="2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62,126</w:t>
            </w:r>
          </w:p>
        </w:tc>
        <w:tc>
          <w:tcPr>
            <w:tcW w:w="120" w:type="dxa"/>
            <w:vAlign w:val="bottom"/>
          </w:tcPr>
          <w:p>
            <w:pPr>
              <w:spacing w:after="0"/>
              <w:rPr>
                <w:sz w:val="18"/>
                <w:szCs w:val="18"/>
                <w:color w:val="auto"/>
              </w:rPr>
            </w:pPr>
          </w:p>
        </w:tc>
      </w:tr>
      <w:tr>
        <w:trPr>
          <w:trHeight w:val="216"/>
        </w:trPr>
        <w:tc>
          <w:tcPr>
            <w:tcW w:w="5720" w:type="dxa"/>
            <w:vAlign w:val="bottom"/>
            <w:shd w:val="clear" w:color="auto" w:fill="CFF0FC"/>
          </w:tcPr>
          <w:p>
            <w:pPr>
              <w:spacing w:after="0"/>
              <w:rPr>
                <w:sz w:val="20"/>
                <w:szCs w:val="20"/>
                <w:color w:val="auto"/>
              </w:rPr>
            </w:pPr>
            <w:r>
              <w:rPr>
                <w:rFonts w:ascii="Arial" w:cs="Arial" w:eastAsia="Arial" w:hAnsi="Arial"/>
                <w:sz w:val="18"/>
                <w:szCs w:val="18"/>
                <w:color w:val="auto"/>
              </w:rPr>
              <w:t>Less: valuation allowance</w:t>
            </w:r>
          </w:p>
        </w:tc>
        <w:tc>
          <w:tcPr>
            <w:tcW w:w="184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94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(30,598)</w:t>
            </w:r>
          </w:p>
        </w:tc>
        <w:tc>
          <w:tcPr>
            <w:tcW w:w="520" w:type="dxa"/>
            <w:vAlign w:val="bottom"/>
            <w:shd w:val="clear" w:color="auto" w:fill="CFF0FC"/>
          </w:tcPr>
          <w:p>
            <w:pPr>
              <w:spacing w:after="0"/>
              <w:rPr>
                <w:sz w:val="18"/>
                <w:szCs w:val="18"/>
                <w:color w:val="auto"/>
              </w:rPr>
            </w:pPr>
          </w:p>
        </w:tc>
        <w:tc>
          <w:tcPr>
            <w:tcW w:w="134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(45,173)</w:t>
            </w:r>
          </w:p>
        </w:tc>
      </w:tr>
      <w:tr>
        <w:trPr>
          <w:trHeight w:val="210"/>
        </w:trPr>
        <w:tc>
          <w:tcPr>
            <w:tcW w:w="572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Deferred tax assets, net of valuation allowance</w:t>
            </w:r>
          </w:p>
        </w:tc>
        <w:tc>
          <w:tcPr>
            <w:tcW w:w="1840" w:type="dxa"/>
            <w:vAlign w:val="bottom"/>
            <w:tcBorders>
              <w:bottom w:val="single" w:sz="8" w:color="CFF0FC"/>
            </w:tcBorders>
          </w:tcPr>
          <w:p>
            <w:pPr>
              <w:spacing w:after="0"/>
              <w:rPr>
                <w:sz w:val="18"/>
                <w:szCs w:val="18"/>
                <w:color w:val="auto"/>
              </w:rPr>
            </w:pPr>
          </w:p>
        </w:tc>
        <w:tc>
          <w:tcPr>
            <w:tcW w:w="1060" w:type="dxa"/>
            <w:vAlign w:val="bottom"/>
            <w:tcBorders>
              <w:top w:val="single" w:sz="8" w:color="auto"/>
              <w:bottom w:val="single" w:sz="8" w:color="auto"/>
            </w:tcBorders>
          </w:tcPr>
          <w:p>
            <w:pPr>
              <w:spacing w:after="0"/>
              <w:rPr>
                <w:sz w:val="18"/>
                <w:szCs w:val="18"/>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44,941</w:t>
            </w:r>
          </w:p>
        </w:tc>
        <w:tc>
          <w:tcPr>
            <w:tcW w:w="280" w:type="dxa"/>
            <w:vAlign w:val="bottom"/>
            <w:tcBorders>
              <w:bottom w:val="single" w:sz="8" w:color="CFF0FC"/>
            </w:tcBorders>
          </w:tcPr>
          <w:p>
            <w:pPr>
              <w:spacing w:after="0"/>
              <w:rPr>
                <w:sz w:val="18"/>
                <w:szCs w:val="18"/>
                <w:color w:val="auto"/>
              </w:rPr>
            </w:pPr>
          </w:p>
        </w:tc>
        <w:tc>
          <w:tcPr>
            <w:tcW w:w="520" w:type="dxa"/>
            <w:vAlign w:val="bottom"/>
            <w:tcBorders>
              <w:top w:val="single" w:sz="8" w:color="auto"/>
              <w:bottom w:val="single" w:sz="8" w:color="auto"/>
            </w:tcBorders>
          </w:tcPr>
          <w:p>
            <w:pPr>
              <w:spacing w:after="0"/>
              <w:rPr>
                <w:sz w:val="18"/>
                <w:szCs w:val="18"/>
                <w:color w:val="auto"/>
              </w:rPr>
            </w:pP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16,953</w:t>
            </w:r>
          </w:p>
        </w:tc>
        <w:tc>
          <w:tcPr>
            <w:tcW w:w="120" w:type="dxa"/>
            <w:vAlign w:val="bottom"/>
            <w:tcBorders>
              <w:bottom w:val="single" w:sz="8" w:color="CFF0FC"/>
            </w:tcBorders>
          </w:tcPr>
          <w:p>
            <w:pPr>
              <w:spacing w:after="0"/>
              <w:rPr>
                <w:sz w:val="18"/>
                <w:szCs w:val="18"/>
                <w:color w:val="auto"/>
              </w:rPr>
            </w:pPr>
          </w:p>
        </w:tc>
      </w:tr>
      <w:tr>
        <w:trPr>
          <w:trHeight w:val="210"/>
        </w:trPr>
        <w:tc>
          <w:tcPr>
            <w:tcW w:w="5720" w:type="dxa"/>
            <w:vAlign w:val="bottom"/>
            <w:shd w:val="clear" w:color="auto" w:fill="CFF0FC"/>
          </w:tcPr>
          <w:p>
            <w:pPr>
              <w:spacing w:after="0"/>
              <w:rPr>
                <w:sz w:val="20"/>
                <w:szCs w:val="20"/>
                <w:color w:val="auto"/>
              </w:rPr>
            </w:pPr>
            <w:r>
              <w:rPr>
                <w:rFonts w:ascii="Arial" w:cs="Arial" w:eastAsia="Arial" w:hAnsi="Arial"/>
                <w:sz w:val="18"/>
                <w:szCs w:val="18"/>
                <w:color w:val="auto"/>
              </w:rPr>
              <w:t>Deferred tax liabilities</w:t>
            </w:r>
          </w:p>
        </w:tc>
        <w:tc>
          <w:tcPr>
            <w:tcW w:w="184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66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520" w:type="dxa"/>
            <w:vAlign w:val="bottom"/>
            <w:shd w:val="clear" w:color="auto" w:fill="CFF0FC"/>
          </w:tcPr>
          <w:p>
            <w:pPr>
              <w:spacing w:after="0"/>
              <w:rPr>
                <w:sz w:val="18"/>
                <w:szCs w:val="18"/>
                <w:color w:val="auto"/>
              </w:rPr>
            </w:pPr>
          </w:p>
        </w:tc>
        <w:tc>
          <w:tcPr>
            <w:tcW w:w="12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16"/>
        </w:trPr>
        <w:tc>
          <w:tcPr>
            <w:tcW w:w="5720" w:type="dxa"/>
            <w:vAlign w:val="bottom"/>
          </w:tcPr>
          <w:p>
            <w:pPr>
              <w:spacing w:after="0"/>
              <w:rPr>
                <w:sz w:val="20"/>
                <w:szCs w:val="20"/>
                <w:color w:val="auto"/>
              </w:rPr>
            </w:pPr>
            <w:r>
              <w:rPr>
                <w:rFonts w:ascii="Arial" w:cs="Arial" w:eastAsia="Arial" w:hAnsi="Arial"/>
                <w:sz w:val="18"/>
                <w:szCs w:val="18"/>
                <w:color w:val="auto"/>
              </w:rPr>
              <w:t>Convertible notes</w:t>
            </w:r>
          </w:p>
        </w:tc>
        <w:tc>
          <w:tcPr>
            <w:tcW w:w="18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(25,510)</w:t>
            </w:r>
          </w:p>
        </w:tc>
        <w:tc>
          <w:tcPr>
            <w:tcW w:w="520" w:type="dxa"/>
            <w:vAlign w:val="bottom"/>
          </w:tcPr>
          <w:p>
            <w:pPr>
              <w:spacing w:after="0"/>
              <w:rPr>
                <w:sz w:val="18"/>
                <w:szCs w:val="18"/>
                <w:color w:val="auto"/>
              </w:rPr>
            </w:pPr>
          </w:p>
        </w:tc>
        <w:tc>
          <w:tcPr>
            <w:tcW w:w="13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r>
      <w:tr>
        <w:trPr>
          <w:trHeight w:val="216"/>
        </w:trPr>
        <w:tc>
          <w:tcPr>
            <w:tcW w:w="57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Intangible assets</w:t>
            </w:r>
          </w:p>
        </w:tc>
        <w:tc>
          <w:tcPr>
            <w:tcW w:w="184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94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(6,040)</w:t>
            </w:r>
          </w:p>
        </w:tc>
        <w:tc>
          <w:tcPr>
            <w:tcW w:w="520" w:type="dxa"/>
            <w:vAlign w:val="bottom"/>
            <w:shd w:val="clear" w:color="auto" w:fill="CFF0FC"/>
          </w:tcPr>
          <w:p>
            <w:pPr>
              <w:spacing w:after="0"/>
              <w:rPr>
                <w:sz w:val="18"/>
                <w:szCs w:val="18"/>
                <w:color w:val="auto"/>
              </w:rPr>
            </w:pPr>
          </w:p>
        </w:tc>
        <w:tc>
          <w:tcPr>
            <w:tcW w:w="134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(8,735)</w:t>
            </w:r>
          </w:p>
        </w:tc>
      </w:tr>
      <w:tr>
        <w:trPr>
          <w:trHeight w:val="216"/>
        </w:trPr>
        <w:tc>
          <w:tcPr>
            <w:tcW w:w="5720" w:type="dxa"/>
            <w:vAlign w:val="bottom"/>
          </w:tcPr>
          <w:p>
            <w:pPr>
              <w:ind w:left="260"/>
              <w:spacing w:after="0"/>
              <w:rPr>
                <w:sz w:val="20"/>
                <w:szCs w:val="20"/>
                <w:color w:val="auto"/>
              </w:rPr>
            </w:pPr>
            <w:r>
              <w:rPr>
                <w:rFonts w:ascii="Arial" w:cs="Arial" w:eastAsia="Arial" w:hAnsi="Arial"/>
                <w:sz w:val="18"/>
                <w:szCs w:val="18"/>
                <w:color w:val="auto"/>
              </w:rPr>
              <w:t>Prepaid expenses</w:t>
            </w:r>
          </w:p>
        </w:tc>
        <w:tc>
          <w:tcPr>
            <w:tcW w:w="18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(15,163)</w:t>
            </w:r>
          </w:p>
        </w:tc>
        <w:tc>
          <w:tcPr>
            <w:tcW w:w="520" w:type="dxa"/>
            <w:vAlign w:val="bottom"/>
          </w:tcPr>
          <w:p>
            <w:pPr>
              <w:spacing w:after="0"/>
              <w:rPr>
                <w:sz w:val="18"/>
                <w:szCs w:val="18"/>
                <w:color w:val="auto"/>
              </w:rPr>
            </w:pPr>
          </w:p>
        </w:tc>
        <w:tc>
          <w:tcPr>
            <w:tcW w:w="1340" w:type="dxa"/>
            <w:vAlign w:val="bottom"/>
            <w:gridSpan w:val="2"/>
          </w:tcPr>
          <w:p>
            <w:pPr>
              <w:jc w:val="right"/>
              <w:ind w:right="60"/>
              <w:spacing w:after="0"/>
              <w:rPr>
                <w:sz w:val="20"/>
                <w:szCs w:val="20"/>
                <w:color w:val="auto"/>
              </w:rPr>
            </w:pPr>
            <w:r>
              <w:rPr>
                <w:rFonts w:ascii="Arial" w:cs="Arial" w:eastAsia="Arial" w:hAnsi="Arial"/>
                <w:sz w:val="18"/>
                <w:szCs w:val="18"/>
                <w:color w:val="auto"/>
              </w:rPr>
              <w:t>(10,676)</w:t>
            </w:r>
          </w:p>
        </w:tc>
      </w:tr>
      <w:tr>
        <w:trPr>
          <w:trHeight w:val="216"/>
        </w:trPr>
        <w:tc>
          <w:tcPr>
            <w:tcW w:w="57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Property and equipment</w:t>
            </w:r>
          </w:p>
        </w:tc>
        <w:tc>
          <w:tcPr>
            <w:tcW w:w="184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94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(186)</w:t>
            </w:r>
          </w:p>
        </w:tc>
        <w:tc>
          <w:tcPr>
            <w:tcW w:w="520" w:type="dxa"/>
            <w:vAlign w:val="bottom"/>
            <w:shd w:val="clear" w:color="auto" w:fill="CFF0FC"/>
          </w:tcPr>
          <w:p>
            <w:pPr>
              <w:spacing w:after="0"/>
              <w:rPr>
                <w:sz w:val="18"/>
                <w:szCs w:val="18"/>
                <w:color w:val="auto"/>
              </w:rPr>
            </w:pPr>
          </w:p>
        </w:tc>
        <w:tc>
          <w:tcPr>
            <w:tcW w:w="134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(801)</w:t>
            </w:r>
          </w:p>
        </w:tc>
      </w:tr>
      <w:tr>
        <w:trPr>
          <w:trHeight w:val="216"/>
        </w:trPr>
        <w:tc>
          <w:tcPr>
            <w:tcW w:w="5720" w:type="dxa"/>
            <w:vAlign w:val="bottom"/>
          </w:tcPr>
          <w:p>
            <w:pPr>
              <w:ind w:left="260"/>
              <w:spacing w:after="0"/>
              <w:rPr>
                <w:sz w:val="20"/>
                <w:szCs w:val="20"/>
                <w:color w:val="auto"/>
              </w:rPr>
            </w:pPr>
            <w:r>
              <w:rPr>
                <w:rFonts w:ascii="Arial" w:cs="Arial" w:eastAsia="Arial" w:hAnsi="Arial"/>
                <w:sz w:val="18"/>
                <w:szCs w:val="18"/>
                <w:color w:val="auto"/>
              </w:rPr>
              <w:t>Right-of-Use asset</w:t>
            </w:r>
          </w:p>
        </w:tc>
        <w:tc>
          <w:tcPr>
            <w:tcW w:w="18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(2,559)</w:t>
            </w:r>
          </w:p>
        </w:tc>
        <w:tc>
          <w:tcPr>
            <w:tcW w:w="520" w:type="dxa"/>
            <w:vAlign w:val="bottom"/>
          </w:tcPr>
          <w:p>
            <w:pPr>
              <w:spacing w:after="0"/>
              <w:rPr>
                <w:sz w:val="18"/>
                <w:szCs w:val="18"/>
                <w:color w:val="auto"/>
              </w:rPr>
            </w:pPr>
          </w:p>
        </w:tc>
        <w:tc>
          <w:tcPr>
            <w:tcW w:w="13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r>
      <w:tr>
        <w:trPr>
          <w:trHeight w:val="216"/>
        </w:trPr>
        <w:tc>
          <w:tcPr>
            <w:tcW w:w="57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Other</w:t>
            </w:r>
          </w:p>
        </w:tc>
        <w:tc>
          <w:tcPr>
            <w:tcW w:w="184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94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(54)</w:t>
            </w:r>
          </w:p>
        </w:tc>
        <w:tc>
          <w:tcPr>
            <w:tcW w:w="520" w:type="dxa"/>
            <w:vAlign w:val="bottom"/>
            <w:shd w:val="clear" w:color="auto" w:fill="CFF0FC"/>
          </w:tcPr>
          <w:p>
            <w:pPr>
              <w:spacing w:after="0"/>
              <w:rPr>
                <w:sz w:val="18"/>
                <w:szCs w:val="18"/>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w:t>
            </w:r>
          </w:p>
        </w:tc>
        <w:tc>
          <w:tcPr>
            <w:tcW w:w="120" w:type="dxa"/>
            <w:vAlign w:val="bottom"/>
            <w:shd w:val="clear" w:color="auto" w:fill="CFF0FC"/>
          </w:tcPr>
          <w:p>
            <w:pPr>
              <w:spacing w:after="0"/>
              <w:rPr>
                <w:sz w:val="18"/>
                <w:szCs w:val="18"/>
                <w:color w:val="auto"/>
              </w:rPr>
            </w:pPr>
          </w:p>
        </w:tc>
      </w:tr>
      <w:tr>
        <w:trPr>
          <w:trHeight w:val="20"/>
        </w:trPr>
        <w:tc>
          <w:tcPr>
            <w:tcW w:w="572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10"/>
        </w:trPr>
        <w:tc>
          <w:tcPr>
            <w:tcW w:w="5720" w:type="dxa"/>
            <w:vAlign w:val="bottom"/>
          </w:tcPr>
          <w:p>
            <w:pPr>
              <w:spacing w:after="0"/>
              <w:rPr>
                <w:sz w:val="20"/>
                <w:szCs w:val="20"/>
                <w:color w:val="auto"/>
              </w:rPr>
            </w:pPr>
            <w:r>
              <w:rPr>
                <w:rFonts w:ascii="Arial" w:cs="Arial" w:eastAsia="Arial" w:hAnsi="Arial"/>
                <w:sz w:val="18"/>
                <w:szCs w:val="18"/>
                <w:color w:val="auto"/>
              </w:rPr>
              <w:t>Total deferred tax liabilities</w:t>
            </w:r>
          </w:p>
        </w:tc>
        <w:tc>
          <w:tcPr>
            <w:tcW w:w="18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(49,512)</w:t>
            </w:r>
          </w:p>
        </w:tc>
        <w:tc>
          <w:tcPr>
            <w:tcW w:w="520" w:type="dxa"/>
            <w:vAlign w:val="bottom"/>
          </w:tcPr>
          <w:p>
            <w:pPr>
              <w:spacing w:after="0"/>
              <w:rPr>
                <w:sz w:val="18"/>
                <w:szCs w:val="18"/>
                <w:color w:val="auto"/>
              </w:rPr>
            </w:pPr>
          </w:p>
        </w:tc>
        <w:tc>
          <w:tcPr>
            <w:tcW w:w="1340" w:type="dxa"/>
            <w:vAlign w:val="bottom"/>
            <w:gridSpan w:val="2"/>
          </w:tcPr>
          <w:p>
            <w:pPr>
              <w:jc w:val="right"/>
              <w:ind w:right="60"/>
              <w:spacing w:after="0"/>
              <w:rPr>
                <w:sz w:val="20"/>
                <w:szCs w:val="20"/>
                <w:color w:val="auto"/>
              </w:rPr>
            </w:pPr>
            <w:r>
              <w:rPr>
                <w:rFonts w:ascii="Arial" w:cs="Arial" w:eastAsia="Arial" w:hAnsi="Arial"/>
                <w:sz w:val="18"/>
                <w:szCs w:val="18"/>
                <w:color w:val="auto"/>
              </w:rPr>
              <w:t>(20,210)</w:t>
            </w:r>
          </w:p>
        </w:tc>
      </w:tr>
      <w:tr>
        <w:trPr>
          <w:trHeight w:val="20"/>
        </w:trPr>
        <w:tc>
          <w:tcPr>
            <w:tcW w:w="5720" w:type="dxa"/>
            <w:vAlign w:val="bottom"/>
            <w:shd w:val="clear" w:color="auto" w:fill="CFF0FC"/>
          </w:tcPr>
          <w:p>
            <w:pPr>
              <w:spacing w:after="0" w:line="20" w:lineRule="exact"/>
              <w:rPr>
                <w:sz w:val="1"/>
                <w:szCs w:val="1"/>
                <w:color w:val="auto"/>
              </w:rPr>
            </w:pPr>
          </w:p>
        </w:tc>
        <w:tc>
          <w:tcPr>
            <w:tcW w:w="1840" w:type="dxa"/>
            <w:vAlign w:val="bottom"/>
            <w:shd w:val="clear" w:color="auto" w:fill="CFF0FC"/>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r>
      <w:tr>
        <w:trPr>
          <w:trHeight w:val="210"/>
        </w:trPr>
        <w:tc>
          <w:tcPr>
            <w:tcW w:w="5720" w:type="dxa"/>
            <w:vAlign w:val="bottom"/>
            <w:shd w:val="clear" w:color="auto" w:fill="CFF0FC"/>
          </w:tcPr>
          <w:p>
            <w:pPr>
              <w:spacing w:after="0"/>
              <w:rPr>
                <w:sz w:val="20"/>
                <w:szCs w:val="20"/>
                <w:color w:val="auto"/>
              </w:rPr>
            </w:pPr>
            <w:r>
              <w:rPr>
                <w:rFonts w:ascii="Arial" w:cs="Arial" w:eastAsia="Arial" w:hAnsi="Arial"/>
                <w:sz w:val="18"/>
                <w:szCs w:val="18"/>
                <w:color w:val="auto"/>
              </w:rPr>
              <w:t>Net deferred taxes</w:t>
            </w:r>
          </w:p>
        </w:tc>
        <w:tc>
          <w:tcPr>
            <w:tcW w:w="2900" w:type="dxa"/>
            <w:vAlign w:val="bottom"/>
            <w:gridSpan w:val="2"/>
            <w:shd w:val="clear" w:color="auto" w:fill="CFF0FC"/>
          </w:tcPr>
          <w:p>
            <w:pPr>
              <w:jc w:val="right"/>
              <w:ind w:right="96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(4,571)</w:t>
            </w:r>
          </w:p>
        </w:tc>
        <w:tc>
          <w:tcPr>
            <w:tcW w:w="520" w:type="dxa"/>
            <w:vAlign w:val="bottom"/>
            <w:shd w:val="clear" w:color="auto" w:fill="CFF0FC"/>
          </w:tcPr>
          <w:p>
            <w:pPr>
              <w:jc w:val="right"/>
              <w:ind w:right="330"/>
              <w:spacing w:after="0"/>
              <w:rPr>
                <w:sz w:val="20"/>
                <w:szCs w:val="20"/>
                <w:color w:val="auto"/>
              </w:rPr>
            </w:pPr>
            <w:r>
              <w:rPr>
                <w:rFonts w:ascii="Arial" w:cs="Arial" w:eastAsia="Arial" w:hAnsi="Arial"/>
                <w:sz w:val="18"/>
                <w:szCs w:val="18"/>
                <w:color w:val="auto"/>
                <w:w w:val="79"/>
              </w:rPr>
              <w:t>$</w:t>
            </w:r>
          </w:p>
        </w:tc>
        <w:tc>
          <w:tcPr>
            <w:tcW w:w="134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(3,257)</w:t>
            </w:r>
          </w:p>
        </w:tc>
      </w:tr>
      <w:tr>
        <w:trPr>
          <w:trHeight w:val="20"/>
        </w:trPr>
        <w:tc>
          <w:tcPr>
            <w:tcW w:w="5720" w:type="dxa"/>
            <w:vAlign w:val="bottom"/>
            <w:tcBorders>
              <w:top w:val="single" w:sz="8" w:color="CFF0FC"/>
            </w:tcBorders>
          </w:tcPr>
          <w:p>
            <w:pPr>
              <w:spacing w:after="0" w:line="20" w:lineRule="exact"/>
              <w:rPr>
                <w:sz w:val="1"/>
                <w:szCs w:val="1"/>
                <w:color w:val="auto"/>
              </w:rPr>
            </w:pPr>
          </w:p>
        </w:tc>
        <w:tc>
          <w:tcPr>
            <w:tcW w:w="1840" w:type="dxa"/>
            <w:vAlign w:val="bottom"/>
            <w:tcBorders>
              <w:top w:val="single" w:sz="8" w:color="CFF0FC"/>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FF0FC"/>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r>
    </w:tbl>
    <w:p>
      <w:pPr>
        <w:spacing w:after="0" w:line="242" w:lineRule="exact"/>
        <w:rPr>
          <w:sz w:val="20"/>
          <w:szCs w:val="20"/>
          <w:color w:val="auto"/>
        </w:rPr>
      </w:pPr>
    </w:p>
    <w:p>
      <w:pPr>
        <w:ind w:right="40" w:firstLine="518"/>
        <w:spacing w:after="0" w:line="237" w:lineRule="auto"/>
        <w:rPr>
          <w:sz w:val="20"/>
          <w:szCs w:val="20"/>
          <w:color w:val="auto"/>
        </w:rPr>
      </w:pPr>
      <w:r>
        <w:rPr>
          <w:rFonts w:ascii="Arial" w:cs="Arial" w:eastAsia="Arial" w:hAnsi="Arial"/>
          <w:sz w:val="18"/>
          <w:szCs w:val="18"/>
          <w:color w:val="auto"/>
        </w:rPr>
        <w:t>ASC 740 requires that the tax benefit of net operating losses, temporary differences, and credit carryforwards be recorded as an asset to the extent that management assesses that realization is "more likely than not." A valuation allowance is recorded when it is more likely than not that some of the deferred tax assets will not be realized. Realization of future tax benefits is dependent on the Company’s ability to generate sufficient taxable income within the carryforward period. For financial reporting purposes, the Company has incurred losses for each of the past three years. Based on available objective evidence, including the Company’s history of losses, management believes it is more likely than not that the net deferred tax assets will not be fully realizable. Accordingly, the Company provided a valuation allowance against certain deferred tax assets. The net deferred tax liability position at December 31, 2019 was related to the Company’s foreign tax jurisdictions.</w:t>
      </w:r>
    </w:p>
    <w:p>
      <w:pPr>
        <w:spacing w:after="0" w:line="203"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changes in the valuation allowance were as follows (in thousands).</w:t>
      </w:r>
    </w:p>
    <w:p>
      <w:pPr>
        <w:spacing w:after="0" w:line="294"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6400" w:type="dxa"/>
            <w:vAlign w:val="bottom"/>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840" w:type="dxa"/>
            <w:vAlign w:val="bottom"/>
            <w:tcBorders>
              <w:bottom w:val="single" w:sz="8" w:color="auto"/>
            </w:tcBorders>
            <w:gridSpan w:val="4"/>
          </w:tcPr>
          <w:p>
            <w:pPr>
              <w:ind w:left="20"/>
              <w:spacing w:after="0"/>
              <w:rPr>
                <w:sz w:val="20"/>
                <w:szCs w:val="20"/>
                <w:color w:val="auto"/>
              </w:rPr>
            </w:pPr>
            <w:r>
              <w:rPr>
                <w:rFonts w:ascii="Arial" w:cs="Arial" w:eastAsia="Arial" w:hAnsi="Arial"/>
                <w:sz w:val="14"/>
                <w:szCs w:val="14"/>
                <w:b w:val="1"/>
                <w:bCs w:val="1"/>
                <w:color w:val="auto"/>
              </w:rPr>
              <w:t>Year Ended December 31,</w:t>
            </w:r>
          </w:p>
        </w:tc>
        <w:tc>
          <w:tcPr>
            <w:tcW w:w="60" w:type="dxa"/>
            <w:vAlign w:val="bottom"/>
            <w:tcBorders>
              <w:bottom w:val="single" w:sz="8" w:color="auto"/>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r>
      <w:tr>
        <w:trPr>
          <w:trHeight w:val="169"/>
        </w:trPr>
        <w:tc>
          <w:tcPr>
            <w:tcW w:w="6400" w:type="dxa"/>
            <w:vAlign w:val="bottom"/>
            <w:tcBorders>
              <w:bottom w:val="single" w:sz="8" w:color="CFF0FC"/>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jc w:val="right"/>
              <w:ind w:right="473"/>
              <w:spacing w:after="0"/>
              <w:rPr>
                <w:sz w:val="20"/>
                <w:szCs w:val="20"/>
                <w:color w:val="auto"/>
              </w:rPr>
            </w:pPr>
            <w:r>
              <w:rPr>
                <w:rFonts w:ascii="Arial" w:cs="Arial" w:eastAsia="Arial" w:hAnsi="Arial"/>
                <w:sz w:val="14"/>
                <w:szCs w:val="14"/>
                <w:b w:val="1"/>
                <w:bCs w:val="1"/>
                <w:color w:val="auto"/>
              </w:rPr>
              <w:t>2019</w:t>
            </w:r>
          </w:p>
        </w:tc>
        <w:tc>
          <w:tcPr>
            <w:tcW w:w="80" w:type="dxa"/>
            <w:vAlign w:val="bottom"/>
            <w:tcBorders>
              <w:bottom w:val="single" w:sz="8" w:color="CFF0FC"/>
            </w:tcBorders>
          </w:tcPr>
          <w:p>
            <w:pPr>
              <w:spacing w:after="0"/>
              <w:rPr>
                <w:sz w:val="14"/>
                <w:szCs w:val="14"/>
                <w:color w:val="auto"/>
              </w:rPr>
            </w:pPr>
          </w:p>
        </w:tc>
        <w:tc>
          <w:tcPr>
            <w:tcW w:w="180" w:type="dxa"/>
            <w:vAlign w:val="bottom"/>
            <w:tcBorders>
              <w:bottom w:val="single" w:sz="8" w:color="CFF0FC"/>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jc w:val="right"/>
              <w:ind w:right="493"/>
              <w:spacing w:after="0"/>
              <w:rPr>
                <w:sz w:val="20"/>
                <w:szCs w:val="20"/>
                <w:color w:val="auto"/>
              </w:rPr>
            </w:pPr>
            <w:r>
              <w:rPr>
                <w:rFonts w:ascii="Arial" w:cs="Arial" w:eastAsia="Arial" w:hAnsi="Arial"/>
                <w:sz w:val="14"/>
                <w:szCs w:val="14"/>
                <w:b w:val="1"/>
                <w:bCs w:val="1"/>
                <w:color w:val="auto"/>
              </w:rPr>
              <w:t>2018</w:t>
            </w:r>
          </w:p>
        </w:tc>
        <w:tc>
          <w:tcPr>
            <w:tcW w:w="200" w:type="dxa"/>
            <w:vAlign w:val="bottom"/>
            <w:tcBorders>
              <w:bottom w:val="single" w:sz="8" w:color="CFF0FC"/>
            </w:tcBorders>
          </w:tcPr>
          <w:p>
            <w:pPr>
              <w:spacing w:after="0"/>
              <w:rPr>
                <w:sz w:val="14"/>
                <w:szCs w:val="14"/>
                <w:color w:val="auto"/>
              </w:rPr>
            </w:pPr>
          </w:p>
        </w:tc>
        <w:tc>
          <w:tcPr>
            <w:tcW w:w="60" w:type="dxa"/>
            <w:vAlign w:val="bottom"/>
            <w:tcBorders>
              <w:bottom w:val="single" w:sz="8" w:color="CFF0FC"/>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jc w:val="right"/>
              <w:ind w:right="493"/>
              <w:spacing w:after="0"/>
              <w:rPr>
                <w:sz w:val="20"/>
                <w:szCs w:val="20"/>
                <w:color w:val="auto"/>
              </w:rPr>
            </w:pPr>
            <w:r>
              <w:rPr>
                <w:rFonts w:ascii="Arial" w:cs="Arial" w:eastAsia="Arial" w:hAnsi="Arial"/>
                <w:sz w:val="14"/>
                <w:szCs w:val="14"/>
                <w:b w:val="1"/>
                <w:bCs w:val="1"/>
                <w:color w:val="auto"/>
              </w:rPr>
              <w:t>2017</w:t>
            </w:r>
          </w:p>
        </w:tc>
        <w:tc>
          <w:tcPr>
            <w:tcW w:w="120" w:type="dxa"/>
            <w:vAlign w:val="bottom"/>
            <w:tcBorders>
              <w:bottom w:val="single" w:sz="8" w:color="CFF0FC"/>
            </w:tcBorders>
          </w:tcPr>
          <w:p>
            <w:pPr>
              <w:spacing w:after="0"/>
              <w:rPr>
                <w:sz w:val="14"/>
                <w:szCs w:val="14"/>
                <w:color w:val="auto"/>
              </w:rPr>
            </w:pPr>
          </w:p>
        </w:tc>
      </w:tr>
      <w:tr>
        <w:trPr>
          <w:trHeight w:val="210"/>
        </w:trPr>
        <w:tc>
          <w:tcPr>
            <w:tcW w:w="6400" w:type="dxa"/>
            <w:vAlign w:val="bottom"/>
            <w:shd w:val="clear" w:color="auto" w:fill="CFF0FC"/>
          </w:tcPr>
          <w:p>
            <w:pPr>
              <w:spacing w:after="0"/>
              <w:rPr>
                <w:sz w:val="20"/>
                <w:szCs w:val="20"/>
                <w:color w:val="auto"/>
              </w:rPr>
            </w:pPr>
            <w:r>
              <w:rPr>
                <w:rFonts w:ascii="Arial" w:cs="Arial" w:eastAsia="Arial" w:hAnsi="Arial"/>
                <w:sz w:val="18"/>
                <w:szCs w:val="18"/>
                <w:color w:val="auto"/>
              </w:rPr>
              <w:t>Valuation allowance, at beginning of year</w:t>
            </w:r>
          </w:p>
        </w:tc>
        <w:tc>
          <w:tcPr>
            <w:tcW w:w="340" w:type="dxa"/>
            <w:vAlign w:val="bottom"/>
            <w:shd w:val="clear" w:color="auto" w:fill="CFF0FC"/>
          </w:tcPr>
          <w:p>
            <w:pPr>
              <w:jc w:val="right"/>
              <w:ind w:right="150"/>
              <w:spacing w:after="0"/>
              <w:rPr>
                <w:sz w:val="20"/>
                <w:szCs w:val="20"/>
                <w:color w:val="auto"/>
              </w:rPr>
            </w:pPr>
            <w:r>
              <w:rPr>
                <w:rFonts w:ascii="Arial" w:cs="Arial" w:eastAsia="Arial" w:hAnsi="Arial"/>
                <w:sz w:val="18"/>
                <w:szCs w:val="18"/>
                <w:color w:val="auto"/>
                <w:w w:val="79"/>
              </w:rPr>
              <w:t>$</w:t>
            </w: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45,173</w:t>
            </w:r>
          </w:p>
        </w:tc>
        <w:tc>
          <w:tcPr>
            <w:tcW w:w="80" w:type="dxa"/>
            <w:vAlign w:val="bottom"/>
            <w:shd w:val="clear" w:color="auto" w:fill="CFF0FC"/>
          </w:tcPr>
          <w:p>
            <w:pPr>
              <w:spacing w:after="0"/>
              <w:rPr>
                <w:sz w:val="18"/>
                <w:szCs w:val="18"/>
                <w:color w:val="auto"/>
              </w:rPr>
            </w:pPr>
          </w:p>
        </w:tc>
        <w:tc>
          <w:tcPr>
            <w:tcW w:w="52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23,904</w:t>
            </w:r>
          </w:p>
        </w:tc>
        <w:tc>
          <w:tcPr>
            <w:tcW w:w="200" w:type="dxa"/>
            <w:vAlign w:val="bottom"/>
            <w:shd w:val="clear" w:color="auto" w:fill="CFF0FC"/>
          </w:tcPr>
          <w:p>
            <w:pPr>
              <w:spacing w:after="0"/>
              <w:rPr>
                <w:sz w:val="18"/>
                <w:szCs w:val="18"/>
                <w:color w:val="auto"/>
              </w:rPr>
            </w:pPr>
          </w:p>
        </w:tc>
        <w:tc>
          <w:tcPr>
            <w:tcW w:w="40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2,674</w:t>
            </w:r>
          </w:p>
        </w:tc>
        <w:tc>
          <w:tcPr>
            <w:tcW w:w="120" w:type="dxa"/>
            <w:vAlign w:val="bottom"/>
            <w:shd w:val="clear" w:color="auto" w:fill="CFF0FC"/>
          </w:tcPr>
          <w:p>
            <w:pPr>
              <w:spacing w:after="0"/>
              <w:rPr>
                <w:sz w:val="18"/>
                <w:szCs w:val="18"/>
                <w:color w:val="auto"/>
              </w:rPr>
            </w:pPr>
          </w:p>
        </w:tc>
      </w:tr>
      <w:tr>
        <w:trPr>
          <w:trHeight w:val="215"/>
        </w:trPr>
        <w:tc>
          <w:tcPr>
            <w:tcW w:w="6400" w:type="dxa"/>
            <w:vAlign w:val="bottom"/>
          </w:tcPr>
          <w:p>
            <w:pPr>
              <w:spacing w:after="0"/>
              <w:rPr>
                <w:sz w:val="20"/>
                <w:szCs w:val="20"/>
                <w:color w:val="auto"/>
              </w:rPr>
            </w:pPr>
            <w:r>
              <w:rPr>
                <w:rFonts w:ascii="Arial" w:cs="Arial" w:eastAsia="Arial" w:hAnsi="Arial"/>
                <w:sz w:val="18"/>
                <w:szCs w:val="18"/>
                <w:color w:val="auto"/>
              </w:rPr>
              <w:t>Increase in valuation allowance recorded through</w:t>
            </w:r>
          </w:p>
        </w:tc>
        <w:tc>
          <w:tcPr>
            <w:tcW w:w="3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03"/>
        </w:trPr>
        <w:tc>
          <w:tcPr>
            <w:tcW w:w="6400" w:type="dxa"/>
            <w:vAlign w:val="bottom"/>
          </w:tcPr>
          <w:p>
            <w:pPr>
              <w:ind w:left="200"/>
              <w:spacing w:after="0" w:line="203" w:lineRule="exact"/>
              <w:rPr>
                <w:sz w:val="20"/>
                <w:szCs w:val="20"/>
                <w:color w:val="auto"/>
              </w:rPr>
            </w:pPr>
            <w:r>
              <w:rPr>
                <w:rFonts w:ascii="Arial" w:cs="Arial" w:eastAsia="Arial" w:hAnsi="Arial"/>
                <w:sz w:val="18"/>
                <w:szCs w:val="18"/>
                <w:color w:val="auto"/>
              </w:rPr>
              <w:t>earnings</w:t>
            </w:r>
          </w:p>
        </w:tc>
        <w:tc>
          <w:tcPr>
            <w:tcW w:w="340" w:type="dxa"/>
            <w:vAlign w:val="bottom"/>
          </w:tcPr>
          <w:p>
            <w:pPr>
              <w:spacing w:after="0"/>
              <w:rPr>
                <w:sz w:val="17"/>
                <w:szCs w:val="17"/>
                <w:color w:val="auto"/>
              </w:rPr>
            </w:pPr>
          </w:p>
        </w:tc>
        <w:tc>
          <w:tcPr>
            <w:tcW w:w="1120" w:type="dxa"/>
            <w:vAlign w:val="bottom"/>
          </w:tcPr>
          <w:p>
            <w:pPr>
              <w:jc w:val="right"/>
              <w:spacing w:after="0" w:line="203" w:lineRule="exact"/>
              <w:rPr>
                <w:sz w:val="20"/>
                <w:szCs w:val="20"/>
                <w:color w:val="auto"/>
              </w:rPr>
            </w:pPr>
            <w:r>
              <w:rPr>
                <w:rFonts w:ascii="Arial" w:cs="Arial" w:eastAsia="Arial" w:hAnsi="Arial"/>
                <w:sz w:val="18"/>
                <w:szCs w:val="18"/>
                <w:color w:val="auto"/>
              </w:rPr>
              <w:t>12,808</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20" w:type="dxa"/>
            <w:vAlign w:val="bottom"/>
          </w:tcPr>
          <w:p>
            <w:pPr>
              <w:jc w:val="right"/>
              <w:spacing w:after="0" w:line="203" w:lineRule="exact"/>
              <w:rPr>
                <w:sz w:val="20"/>
                <w:szCs w:val="20"/>
                <w:color w:val="auto"/>
              </w:rPr>
            </w:pPr>
            <w:r>
              <w:rPr>
                <w:rFonts w:ascii="Arial" w:cs="Arial" w:eastAsia="Arial" w:hAnsi="Arial"/>
                <w:sz w:val="18"/>
                <w:szCs w:val="18"/>
                <w:color w:val="auto"/>
              </w:rPr>
              <w:t>21,269</w:t>
            </w:r>
          </w:p>
        </w:tc>
        <w:tc>
          <w:tcPr>
            <w:tcW w:w="2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20" w:type="dxa"/>
            <w:vAlign w:val="bottom"/>
          </w:tcPr>
          <w:p>
            <w:pPr>
              <w:jc w:val="right"/>
              <w:spacing w:after="0" w:line="203" w:lineRule="exact"/>
              <w:rPr>
                <w:sz w:val="20"/>
                <w:szCs w:val="20"/>
                <w:color w:val="auto"/>
              </w:rPr>
            </w:pPr>
            <w:r>
              <w:rPr>
                <w:rFonts w:ascii="Arial" w:cs="Arial" w:eastAsia="Arial" w:hAnsi="Arial"/>
                <w:sz w:val="18"/>
                <w:szCs w:val="18"/>
                <w:color w:val="auto"/>
              </w:rPr>
              <w:t>7,332</w:t>
            </w:r>
          </w:p>
        </w:tc>
        <w:tc>
          <w:tcPr>
            <w:tcW w:w="120" w:type="dxa"/>
            <w:vAlign w:val="bottom"/>
          </w:tcPr>
          <w:p>
            <w:pPr>
              <w:spacing w:after="0"/>
              <w:rPr>
                <w:sz w:val="17"/>
                <w:szCs w:val="17"/>
                <w:color w:val="auto"/>
              </w:rPr>
            </w:pPr>
          </w:p>
        </w:tc>
      </w:tr>
      <w:tr>
        <w:trPr>
          <w:trHeight w:val="215"/>
        </w:trPr>
        <w:tc>
          <w:tcPr>
            <w:tcW w:w="6400" w:type="dxa"/>
            <w:vAlign w:val="bottom"/>
            <w:shd w:val="clear" w:color="auto" w:fill="CFF0FC"/>
          </w:tcPr>
          <w:p>
            <w:pPr>
              <w:spacing w:after="0"/>
              <w:rPr>
                <w:sz w:val="20"/>
                <w:szCs w:val="20"/>
                <w:color w:val="auto"/>
              </w:rPr>
            </w:pPr>
            <w:r>
              <w:rPr>
                <w:rFonts w:ascii="Arial" w:cs="Arial" w:eastAsia="Arial" w:hAnsi="Arial"/>
                <w:sz w:val="18"/>
                <w:szCs w:val="18"/>
                <w:color w:val="auto"/>
              </w:rPr>
              <w:t>Decrease in valuation allowance recorded through</w:t>
            </w:r>
          </w:p>
        </w:tc>
        <w:tc>
          <w:tcPr>
            <w:tcW w:w="340" w:type="dxa"/>
            <w:vAlign w:val="bottom"/>
            <w:shd w:val="clear" w:color="auto" w:fill="CFF0FC"/>
          </w:tcPr>
          <w:p>
            <w:pPr>
              <w:spacing w:after="0"/>
              <w:rPr>
                <w:sz w:val="18"/>
                <w:szCs w:val="18"/>
                <w:color w:val="auto"/>
              </w:rPr>
            </w:pPr>
          </w:p>
        </w:tc>
        <w:tc>
          <w:tcPr>
            <w:tcW w:w="11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1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1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03"/>
        </w:trPr>
        <w:tc>
          <w:tcPr>
            <w:tcW w:w="6400" w:type="dxa"/>
            <w:vAlign w:val="bottom"/>
            <w:shd w:val="clear" w:color="auto" w:fill="CFF0FC"/>
          </w:tcPr>
          <w:p>
            <w:pPr>
              <w:ind w:left="200"/>
              <w:spacing w:after="0" w:line="203" w:lineRule="exact"/>
              <w:rPr>
                <w:sz w:val="20"/>
                <w:szCs w:val="20"/>
                <w:color w:val="auto"/>
              </w:rPr>
            </w:pPr>
            <w:r>
              <w:rPr>
                <w:rFonts w:ascii="Arial" w:cs="Arial" w:eastAsia="Arial" w:hAnsi="Arial"/>
                <w:sz w:val="18"/>
                <w:szCs w:val="18"/>
                <w:color w:val="auto"/>
              </w:rPr>
              <w:t>equity</w:t>
            </w:r>
          </w:p>
        </w:tc>
        <w:tc>
          <w:tcPr>
            <w:tcW w:w="340" w:type="dxa"/>
            <w:vAlign w:val="bottom"/>
            <w:shd w:val="clear" w:color="auto" w:fill="CFF0FC"/>
          </w:tcPr>
          <w:p>
            <w:pPr>
              <w:spacing w:after="0"/>
              <w:rPr>
                <w:sz w:val="17"/>
                <w:szCs w:val="17"/>
                <w:color w:val="auto"/>
              </w:rPr>
            </w:pPr>
          </w:p>
        </w:tc>
        <w:tc>
          <w:tcPr>
            <w:tcW w:w="1200" w:type="dxa"/>
            <w:vAlign w:val="bottom"/>
            <w:gridSpan w:val="2"/>
            <w:shd w:val="clear" w:color="auto" w:fill="CFF0FC"/>
          </w:tcPr>
          <w:p>
            <w:pPr>
              <w:jc w:val="right"/>
              <w:ind w:right="20"/>
              <w:spacing w:after="0" w:line="203" w:lineRule="exact"/>
              <w:rPr>
                <w:sz w:val="20"/>
                <w:szCs w:val="20"/>
                <w:color w:val="auto"/>
              </w:rPr>
            </w:pPr>
            <w:r>
              <w:rPr>
                <w:rFonts w:ascii="Arial" w:cs="Arial" w:eastAsia="Arial" w:hAnsi="Arial"/>
                <w:sz w:val="18"/>
                <w:szCs w:val="18"/>
                <w:color w:val="auto"/>
              </w:rPr>
              <w:t>(27,383)</w:t>
            </w:r>
          </w:p>
        </w:tc>
        <w:tc>
          <w:tcPr>
            <w:tcW w:w="18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1320" w:type="dxa"/>
            <w:vAlign w:val="bottom"/>
            <w:gridSpan w:val="2"/>
            <w:shd w:val="clear" w:color="auto" w:fill="CFF0FC"/>
          </w:tcPr>
          <w:p>
            <w:pPr>
              <w:jc w:val="right"/>
              <w:ind w:right="220"/>
              <w:spacing w:after="0" w:line="203" w:lineRule="exact"/>
              <w:rPr>
                <w:sz w:val="20"/>
                <w:szCs w:val="20"/>
                <w:color w:val="auto"/>
              </w:rPr>
            </w:pPr>
            <w:r>
              <w:rPr>
                <w:rFonts w:ascii="Arial" w:cs="Arial" w:eastAsia="Arial" w:hAnsi="Arial"/>
                <w:sz w:val="18"/>
                <w:szCs w:val="18"/>
                <w:color w:val="auto"/>
              </w:rPr>
              <w:t>—</w:t>
            </w:r>
          </w:p>
        </w:tc>
        <w:tc>
          <w:tcPr>
            <w:tcW w:w="6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1240" w:type="dxa"/>
            <w:vAlign w:val="bottom"/>
            <w:gridSpan w:val="2"/>
            <w:shd w:val="clear" w:color="auto" w:fill="CFF0FC"/>
          </w:tcPr>
          <w:p>
            <w:pPr>
              <w:jc w:val="right"/>
              <w:ind w:right="140"/>
              <w:spacing w:after="0" w:line="203" w:lineRule="exact"/>
              <w:rPr>
                <w:sz w:val="20"/>
                <w:szCs w:val="20"/>
                <w:color w:val="auto"/>
              </w:rPr>
            </w:pPr>
            <w:r>
              <w:rPr>
                <w:rFonts w:ascii="Arial" w:cs="Arial" w:eastAsia="Arial" w:hAnsi="Arial"/>
                <w:sz w:val="18"/>
                <w:szCs w:val="18"/>
                <w:color w:val="auto"/>
              </w:rPr>
              <w:t>—</w:t>
            </w:r>
          </w:p>
        </w:tc>
      </w:tr>
      <w:tr>
        <w:trPr>
          <w:trHeight w:val="215"/>
        </w:trPr>
        <w:tc>
          <w:tcPr>
            <w:tcW w:w="6400" w:type="dxa"/>
            <w:vAlign w:val="bottom"/>
          </w:tcPr>
          <w:p>
            <w:pPr>
              <w:spacing w:after="0"/>
              <w:rPr>
                <w:sz w:val="20"/>
                <w:szCs w:val="20"/>
                <w:color w:val="auto"/>
              </w:rPr>
            </w:pPr>
            <w:r>
              <w:rPr>
                <w:rFonts w:ascii="Arial" w:cs="Arial" w:eastAsia="Arial" w:hAnsi="Arial"/>
                <w:sz w:val="18"/>
                <w:szCs w:val="18"/>
                <w:color w:val="auto"/>
              </w:rPr>
              <w:t>Increase in valuation allowance as result of adoption of</w:t>
            </w:r>
          </w:p>
        </w:tc>
        <w:tc>
          <w:tcPr>
            <w:tcW w:w="3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03"/>
        </w:trPr>
        <w:tc>
          <w:tcPr>
            <w:tcW w:w="6400" w:type="dxa"/>
            <w:vAlign w:val="bottom"/>
            <w:tcBorders>
              <w:bottom w:val="single" w:sz="8" w:color="CFF0FC"/>
            </w:tcBorders>
          </w:tcPr>
          <w:p>
            <w:pPr>
              <w:ind w:left="200"/>
              <w:spacing w:after="0" w:line="203" w:lineRule="exact"/>
              <w:rPr>
                <w:sz w:val="20"/>
                <w:szCs w:val="20"/>
                <w:color w:val="auto"/>
              </w:rPr>
            </w:pPr>
            <w:r>
              <w:rPr>
                <w:rFonts w:ascii="Arial" w:cs="Arial" w:eastAsia="Arial" w:hAnsi="Arial"/>
                <w:sz w:val="18"/>
                <w:szCs w:val="18"/>
                <w:color w:val="auto"/>
              </w:rPr>
              <w:t>ASU 2016-09</w:t>
            </w:r>
          </w:p>
        </w:tc>
        <w:tc>
          <w:tcPr>
            <w:tcW w:w="34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w:t>
            </w:r>
          </w:p>
        </w:tc>
        <w:tc>
          <w:tcPr>
            <w:tcW w:w="80" w:type="dxa"/>
            <w:vAlign w:val="bottom"/>
            <w:tcBorders>
              <w:bottom w:val="single" w:sz="8" w:color="CFF0FC"/>
            </w:tcBorders>
          </w:tcPr>
          <w:p>
            <w:pPr>
              <w:spacing w:after="0"/>
              <w:rPr>
                <w:sz w:val="17"/>
                <w:szCs w:val="17"/>
                <w:color w:val="auto"/>
              </w:rPr>
            </w:pPr>
          </w:p>
        </w:tc>
        <w:tc>
          <w:tcPr>
            <w:tcW w:w="180" w:type="dxa"/>
            <w:vAlign w:val="bottom"/>
            <w:tcBorders>
              <w:bottom w:val="single" w:sz="8" w:color="CFF0FC"/>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w:t>
            </w:r>
          </w:p>
        </w:tc>
        <w:tc>
          <w:tcPr>
            <w:tcW w:w="200" w:type="dxa"/>
            <w:vAlign w:val="bottom"/>
            <w:tcBorders>
              <w:bottom w:val="single" w:sz="8" w:color="CFF0FC"/>
            </w:tcBorders>
          </w:tcPr>
          <w:p>
            <w:pPr>
              <w:spacing w:after="0"/>
              <w:rPr>
                <w:sz w:val="17"/>
                <w:szCs w:val="17"/>
                <w:color w:val="auto"/>
              </w:rPr>
            </w:pPr>
          </w:p>
        </w:tc>
        <w:tc>
          <w:tcPr>
            <w:tcW w:w="60" w:type="dxa"/>
            <w:vAlign w:val="bottom"/>
            <w:tcBorders>
              <w:bottom w:val="single" w:sz="8" w:color="CFF0FC"/>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13,898</w:t>
            </w:r>
          </w:p>
        </w:tc>
        <w:tc>
          <w:tcPr>
            <w:tcW w:w="120" w:type="dxa"/>
            <w:vAlign w:val="bottom"/>
            <w:tcBorders>
              <w:bottom w:val="single" w:sz="8" w:color="CFF0FC"/>
            </w:tcBorders>
          </w:tcPr>
          <w:p>
            <w:pPr>
              <w:spacing w:after="0"/>
              <w:rPr>
                <w:sz w:val="17"/>
                <w:szCs w:val="17"/>
                <w:color w:val="auto"/>
              </w:rPr>
            </w:pPr>
          </w:p>
        </w:tc>
      </w:tr>
      <w:tr>
        <w:trPr>
          <w:trHeight w:val="210"/>
        </w:trPr>
        <w:tc>
          <w:tcPr>
            <w:tcW w:w="6400" w:type="dxa"/>
            <w:vAlign w:val="bottom"/>
            <w:shd w:val="clear" w:color="auto" w:fill="CFF0FC"/>
          </w:tcPr>
          <w:p>
            <w:pPr>
              <w:spacing w:after="0"/>
              <w:rPr>
                <w:sz w:val="20"/>
                <w:szCs w:val="20"/>
                <w:color w:val="auto"/>
              </w:rPr>
            </w:pPr>
            <w:r>
              <w:rPr>
                <w:rFonts w:ascii="Arial" w:cs="Arial" w:eastAsia="Arial" w:hAnsi="Arial"/>
                <w:sz w:val="18"/>
                <w:szCs w:val="18"/>
                <w:color w:val="auto"/>
              </w:rPr>
              <w:t>Valuation allowance, at end of year</w:t>
            </w:r>
          </w:p>
        </w:tc>
        <w:tc>
          <w:tcPr>
            <w:tcW w:w="340" w:type="dxa"/>
            <w:vAlign w:val="bottom"/>
            <w:shd w:val="clear" w:color="auto" w:fill="CFF0FC"/>
          </w:tcPr>
          <w:p>
            <w:pPr>
              <w:jc w:val="right"/>
              <w:ind w:right="150"/>
              <w:spacing w:after="0"/>
              <w:rPr>
                <w:sz w:val="20"/>
                <w:szCs w:val="20"/>
                <w:color w:val="auto"/>
              </w:rPr>
            </w:pPr>
            <w:r>
              <w:rPr>
                <w:rFonts w:ascii="Arial" w:cs="Arial" w:eastAsia="Arial" w:hAnsi="Arial"/>
                <w:sz w:val="18"/>
                <w:szCs w:val="18"/>
                <w:color w:val="auto"/>
                <w:w w:val="79"/>
              </w:rPr>
              <w:t>$</w:t>
            </w: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30,598</w:t>
            </w:r>
          </w:p>
        </w:tc>
        <w:tc>
          <w:tcPr>
            <w:tcW w:w="80" w:type="dxa"/>
            <w:vAlign w:val="bottom"/>
            <w:shd w:val="clear" w:color="auto" w:fill="CFF0FC"/>
          </w:tcPr>
          <w:p>
            <w:pPr>
              <w:spacing w:after="0"/>
              <w:rPr>
                <w:sz w:val="18"/>
                <w:szCs w:val="18"/>
                <w:color w:val="auto"/>
              </w:rPr>
            </w:pPr>
          </w:p>
        </w:tc>
        <w:tc>
          <w:tcPr>
            <w:tcW w:w="52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45,173</w:t>
            </w:r>
          </w:p>
        </w:tc>
        <w:tc>
          <w:tcPr>
            <w:tcW w:w="200" w:type="dxa"/>
            <w:vAlign w:val="bottom"/>
            <w:shd w:val="clear" w:color="auto" w:fill="CFF0FC"/>
          </w:tcPr>
          <w:p>
            <w:pPr>
              <w:spacing w:after="0"/>
              <w:rPr>
                <w:sz w:val="18"/>
                <w:szCs w:val="18"/>
                <w:color w:val="auto"/>
              </w:rPr>
            </w:pPr>
          </w:p>
        </w:tc>
        <w:tc>
          <w:tcPr>
            <w:tcW w:w="40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23,904</w:t>
            </w:r>
          </w:p>
        </w:tc>
        <w:tc>
          <w:tcPr>
            <w:tcW w:w="120" w:type="dxa"/>
            <w:vAlign w:val="bottom"/>
            <w:shd w:val="clear" w:color="auto" w:fill="CFF0FC"/>
          </w:tcPr>
          <w:p>
            <w:pPr>
              <w:spacing w:after="0"/>
              <w:rPr>
                <w:sz w:val="18"/>
                <w:szCs w:val="18"/>
                <w:color w:val="auto"/>
              </w:rPr>
            </w:pPr>
          </w:p>
        </w:tc>
      </w:tr>
      <w:tr>
        <w:trPr>
          <w:trHeight w:val="20"/>
        </w:trPr>
        <w:tc>
          <w:tcPr>
            <w:tcW w:w="6400" w:type="dxa"/>
            <w:vAlign w:val="bottom"/>
            <w:tcBorders>
              <w:top w:val="single" w:sz="8" w:color="CFF0FC"/>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180" w:type="dxa"/>
            <w:vAlign w:val="bottom"/>
            <w:tcBorders>
              <w:top w:val="single" w:sz="8" w:color="CFF0FC"/>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FF0FC"/>
            </w:tcBorders>
          </w:tcPr>
          <w:p>
            <w:pPr>
              <w:spacing w:after="0" w:line="20" w:lineRule="exact"/>
              <w:rPr>
                <w:sz w:val="1"/>
                <w:szCs w:val="1"/>
                <w:color w:val="auto"/>
              </w:rPr>
            </w:pPr>
          </w:p>
        </w:tc>
        <w:tc>
          <w:tcPr>
            <w:tcW w:w="60" w:type="dxa"/>
            <w:vAlign w:val="bottom"/>
            <w:tcBorders>
              <w:top w:val="single" w:sz="8" w:color="CFF0FC"/>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r>
    </w:tbl>
    <w:p>
      <w:pPr>
        <w:spacing w:after="0" w:line="242" w:lineRule="exact"/>
        <w:rPr>
          <w:sz w:val="20"/>
          <w:szCs w:val="20"/>
          <w:color w:val="auto"/>
        </w:rPr>
      </w:pPr>
    </w:p>
    <w:p>
      <w:pPr>
        <w:ind w:right="160" w:firstLine="518"/>
        <w:spacing w:after="0" w:line="239" w:lineRule="auto"/>
        <w:rPr>
          <w:sz w:val="20"/>
          <w:szCs w:val="20"/>
          <w:color w:val="auto"/>
        </w:rPr>
      </w:pPr>
      <w:r>
        <w:rPr>
          <w:rFonts w:ascii="Arial" w:cs="Arial" w:eastAsia="Arial" w:hAnsi="Arial"/>
          <w:sz w:val="18"/>
          <w:szCs w:val="18"/>
          <w:color w:val="auto"/>
        </w:rPr>
        <w:t>The Company did not provide for U.S. income taxes on the undistributed earnings and other outside temporary differences of foreign subsidiaries as they are considered indefinitely reinvested outside the United States. At December 31, 2019 and 2018, the amount of temporary differences related to undistributed earnings and other outside temporary differences upon which U.S. income taxes have not been provided is immaterial to these consolidated financial statements.</w:t>
      </w:r>
    </w:p>
    <w:p>
      <w:pPr>
        <w:spacing w:after="0" w:line="269" w:lineRule="exact"/>
        <w:rPr>
          <w:sz w:val="20"/>
          <w:szCs w:val="20"/>
          <w:color w:val="auto"/>
        </w:rPr>
      </w:pPr>
    </w:p>
    <w:p>
      <w:pPr>
        <w:ind w:right="20" w:firstLine="523"/>
        <w:spacing w:after="0" w:line="239" w:lineRule="auto"/>
        <w:rPr>
          <w:sz w:val="20"/>
          <w:szCs w:val="20"/>
          <w:color w:val="auto"/>
        </w:rPr>
      </w:pPr>
      <w:r>
        <w:rPr>
          <w:rFonts w:ascii="Arial" w:cs="Arial" w:eastAsia="Arial" w:hAnsi="Arial"/>
          <w:sz w:val="18"/>
          <w:szCs w:val="18"/>
          <w:color w:val="auto"/>
        </w:rPr>
        <w:t>At December 31, 2019, the Company had consolidated federal and state net operating loss carryforwards available to offset future taxable income of approximately $199.0 million and $99.9 million, respectively. The federal losses will begin to expire in 2033, and the state losses will begin to expire between 2023 and 2033, depending on the jurisdiction. The Company has federal research and development credits and foreign tax credits of $4.8 million and $2.2 million,</w:t>
      </w: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272020" cy="425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571" w:right="239" w:bottom="1440" w:gutter="0" w:footer="0" w:header="0"/>
        </w:sectPr>
      </w:pPr>
    </w:p>
    <w:bookmarkStart w:id="84" w:name="page85"/>
    <w:bookmarkEnd w:id="84"/>
    <w:p>
      <w:pPr>
        <w:ind w:right="140"/>
        <w:spacing w:after="0" w:line="239" w:lineRule="auto"/>
        <w:rPr>
          <w:sz w:val="20"/>
          <w:szCs w:val="20"/>
          <w:color w:val="auto"/>
        </w:rPr>
      </w:pPr>
      <w:r>
        <w:rPr>
          <w:rFonts w:ascii="Arial" w:cs="Arial" w:eastAsia="Arial" w:hAnsi="Arial"/>
          <w:sz w:val="18"/>
          <w:szCs w:val="18"/>
          <w:color w:val="auto"/>
        </w:rPr>
        <w:t>respectively, which begin to expire in 2033 and 2023, respectively. The Company has state research and development credits and enterprise zone credits of $5.0 million and $0.6 million, respectively, which are indefinite in expiration and begin to expire in 2023, respectively. Pursuant to Internal Revenue Code Section 382, use of the Company’s net operating loss carryforwards may be limited if the Company experiences a cumulative change in ownership of more than 50% over a three-year period.</w:t>
      </w:r>
    </w:p>
    <w:p>
      <w:pPr>
        <w:spacing w:after="0" w:line="269"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following is a rollforward of the Company’s total gross unrecognized tax benefits (in thousands):</w:t>
      </w:r>
    </w:p>
    <w:p>
      <w:pPr>
        <w:spacing w:after="0" w:line="280"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6400" w:type="dxa"/>
            <w:vAlign w:val="bottom"/>
          </w:tcPr>
          <w:p>
            <w:pPr>
              <w:spacing w:after="0"/>
              <w:rPr>
                <w:sz w:val="15"/>
                <w:szCs w:val="15"/>
                <w:color w:val="auto"/>
              </w:rPr>
            </w:pPr>
          </w:p>
        </w:tc>
        <w:tc>
          <w:tcPr>
            <w:tcW w:w="940" w:type="dxa"/>
            <w:vAlign w:val="bottom"/>
            <w:tcBorders>
              <w:bottom w:val="single" w:sz="8" w:color="auto"/>
            </w:tcBorders>
          </w:tcPr>
          <w:p>
            <w:pPr>
              <w:spacing w:after="0"/>
              <w:rPr>
                <w:sz w:val="15"/>
                <w:szCs w:val="15"/>
                <w:color w:val="auto"/>
              </w:rPr>
            </w:pPr>
          </w:p>
        </w:tc>
        <w:tc>
          <w:tcPr>
            <w:tcW w:w="520" w:type="dxa"/>
            <w:vAlign w:val="bottom"/>
            <w:tcBorders>
              <w:bottom w:val="single" w:sz="8" w:color="auto"/>
            </w:tcBorders>
          </w:tcPr>
          <w:p>
            <w:pPr>
              <w:spacing w:after="0"/>
              <w:rPr>
                <w:sz w:val="15"/>
                <w:szCs w:val="15"/>
                <w:color w:val="auto"/>
              </w:rPr>
            </w:pPr>
          </w:p>
        </w:tc>
        <w:tc>
          <w:tcPr>
            <w:tcW w:w="1980" w:type="dxa"/>
            <w:vAlign w:val="bottom"/>
            <w:tcBorders>
              <w:bottom w:val="single" w:sz="8" w:color="auto"/>
            </w:tcBorders>
            <w:gridSpan w:val="4"/>
          </w:tcPr>
          <w:p>
            <w:pPr>
              <w:ind w:left="100"/>
              <w:spacing w:after="0"/>
              <w:rPr>
                <w:sz w:val="20"/>
                <w:szCs w:val="20"/>
                <w:color w:val="auto"/>
              </w:rPr>
            </w:pPr>
            <w:r>
              <w:rPr>
                <w:rFonts w:ascii="Arial" w:cs="Arial" w:eastAsia="Arial" w:hAnsi="Arial"/>
                <w:sz w:val="14"/>
                <w:szCs w:val="14"/>
                <w:b w:val="1"/>
                <w:bCs w:val="1"/>
                <w:color w:val="auto"/>
              </w:rPr>
              <w:t>Year Ended December 31,</w:t>
            </w:r>
          </w:p>
        </w:tc>
        <w:tc>
          <w:tcPr>
            <w:tcW w:w="34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r>
      <w:tr>
        <w:trPr>
          <w:trHeight w:val="210"/>
        </w:trPr>
        <w:tc>
          <w:tcPr>
            <w:tcW w:w="6400" w:type="dxa"/>
            <w:vAlign w:val="bottom"/>
            <w:tcBorders>
              <w:bottom w:val="single" w:sz="8" w:color="CFF0FC"/>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2019</w:t>
            </w:r>
          </w:p>
        </w:tc>
        <w:tc>
          <w:tcPr>
            <w:tcW w:w="520" w:type="dxa"/>
            <w:vAlign w:val="bottom"/>
            <w:tcBorders>
              <w:bottom w:val="single" w:sz="8" w:color="auto"/>
            </w:tcBorders>
          </w:tcPr>
          <w:p>
            <w:pPr>
              <w:spacing w:after="0"/>
              <w:rPr>
                <w:sz w:val="18"/>
                <w:szCs w:val="18"/>
                <w:color w:val="auto"/>
              </w:rPr>
            </w:pPr>
          </w:p>
        </w:tc>
        <w:tc>
          <w:tcPr>
            <w:tcW w:w="260" w:type="dxa"/>
            <w:vAlign w:val="bottom"/>
            <w:tcBorders>
              <w:bottom w:val="single" w:sz="8" w:color="CFF0FC"/>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494"/>
              <w:spacing w:after="0"/>
              <w:rPr>
                <w:sz w:val="20"/>
                <w:szCs w:val="20"/>
                <w:color w:val="auto"/>
              </w:rPr>
            </w:pPr>
            <w:r>
              <w:rPr>
                <w:rFonts w:ascii="Arial" w:cs="Arial" w:eastAsia="Arial" w:hAnsi="Arial"/>
                <w:sz w:val="14"/>
                <w:szCs w:val="14"/>
                <w:b w:val="1"/>
                <w:bCs w:val="1"/>
                <w:color w:val="auto"/>
              </w:rPr>
              <w:t>2018</w:t>
            </w:r>
          </w:p>
        </w:tc>
        <w:tc>
          <w:tcPr>
            <w:tcW w:w="260" w:type="dxa"/>
            <w:vAlign w:val="bottom"/>
            <w:tcBorders>
              <w:bottom w:val="single" w:sz="8" w:color="CFF0FC"/>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494"/>
              <w:spacing w:after="0"/>
              <w:rPr>
                <w:sz w:val="20"/>
                <w:szCs w:val="20"/>
                <w:color w:val="auto"/>
              </w:rPr>
            </w:pPr>
            <w:r>
              <w:rPr>
                <w:rFonts w:ascii="Arial" w:cs="Arial" w:eastAsia="Arial" w:hAnsi="Arial"/>
                <w:sz w:val="14"/>
                <w:szCs w:val="14"/>
                <w:b w:val="1"/>
                <w:bCs w:val="1"/>
                <w:color w:val="auto"/>
              </w:rPr>
              <w:t>2017</w:t>
            </w:r>
          </w:p>
        </w:tc>
        <w:tc>
          <w:tcPr>
            <w:tcW w:w="120" w:type="dxa"/>
            <w:vAlign w:val="bottom"/>
            <w:tcBorders>
              <w:bottom w:val="single" w:sz="8" w:color="CFF0FC"/>
            </w:tcBorders>
          </w:tcPr>
          <w:p>
            <w:pPr>
              <w:spacing w:after="0"/>
              <w:rPr>
                <w:sz w:val="18"/>
                <w:szCs w:val="18"/>
                <w:color w:val="auto"/>
              </w:rPr>
            </w:pPr>
          </w:p>
        </w:tc>
      </w:tr>
      <w:tr>
        <w:trPr>
          <w:trHeight w:val="210"/>
        </w:trPr>
        <w:tc>
          <w:tcPr>
            <w:tcW w:w="6400" w:type="dxa"/>
            <w:vAlign w:val="bottom"/>
            <w:shd w:val="clear" w:color="auto" w:fill="CFF0FC"/>
          </w:tcPr>
          <w:p>
            <w:pPr>
              <w:spacing w:after="0"/>
              <w:rPr>
                <w:sz w:val="20"/>
                <w:szCs w:val="20"/>
                <w:color w:val="auto"/>
              </w:rPr>
            </w:pPr>
            <w:r>
              <w:rPr>
                <w:rFonts w:ascii="Arial" w:cs="Arial" w:eastAsia="Arial" w:hAnsi="Arial"/>
                <w:sz w:val="18"/>
                <w:szCs w:val="18"/>
                <w:color w:val="auto"/>
              </w:rPr>
              <w:t>Beginning gross unrecognized tax benefits</w:t>
            </w:r>
          </w:p>
        </w:tc>
        <w:tc>
          <w:tcPr>
            <w:tcW w:w="940" w:type="dxa"/>
            <w:vAlign w:val="bottom"/>
            <w:shd w:val="clear" w:color="auto" w:fill="CFF0FC"/>
          </w:tcPr>
          <w:p>
            <w:pPr>
              <w:jc w:val="right"/>
              <w:ind w:right="756"/>
              <w:spacing w:after="0"/>
              <w:rPr>
                <w:sz w:val="20"/>
                <w:szCs w:val="20"/>
                <w:color w:val="auto"/>
              </w:rPr>
            </w:pPr>
            <w:r>
              <w:rPr>
                <w:rFonts w:ascii="Arial" w:cs="Arial" w:eastAsia="Arial" w:hAnsi="Arial"/>
                <w:sz w:val="18"/>
                <w:szCs w:val="18"/>
                <w:color w:val="auto"/>
                <w:w w:val="79"/>
              </w:rPr>
              <w:t>$</w:t>
            </w:r>
          </w:p>
        </w:tc>
        <w:tc>
          <w:tcPr>
            <w:tcW w:w="5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1,223</w:t>
            </w:r>
          </w:p>
        </w:tc>
        <w:tc>
          <w:tcPr>
            <w:tcW w:w="60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672</w:t>
            </w:r>
          </w:p>
        </w:tc>
        <w:tc>
          <w:tcPr>
            <w:tcW w:w="260" w:type="dxa"/>
            <w:vAlign w:val="bottom"/>
            <w:shd w:val="clear" w:color="auto" w:fill="CFF0FC"/>
          </w:tcPr>
          <w:p>
            <w:pPr>
              <w:spacing w:after="0"/>
              <w:rPr>
                <w:sz w:val="18"/>
                <w:szCs w:val="18"/>
                <w:color w:val="auto"/>
              </w:rPr>
            </w:pPr>
          </w:p>
        </w:tc>
        <w:tc>
          <w:tcPr>
            <w:tcW w:w="340" w:type="dxa"/>
            <w:vAlign w:val="bottom"/>
            <w:shd w:val="clear" w:color="auto" w:fill="CFF0FC"/>
          </w:tcPr>
          <w:p>
            <w:pPr>
              <w:jc w:val="right"/>
              <w:ind w:right="150"/>
              <w:spacing w:after="0"/>
              <w:rPr>
                <w:sz w:val="20"/>
                <w:szCs w:val="20"/>
                <w:color w:val="auto"/>
              </w:rPr>
            </w:pPr>
            <w:r>
              <w:rPr>
                <w:rFonts w:ascii="Arial" w:cs="Arial" w:eastAsia="Arial" w:hAnsi="Arial"/>
                <w:sz w:val="18"/>
                <w:szCs w:val="18"/>
                <w:color w:val="auto"/>
                <w:w w:val="79"/>
              </w:rPr>
              <w:t>$</w:t>
            </w: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382</w:t>
            </w:r>
          </w:p>
        </w:tc>
        <w:tc>
          <w:tcPr>
            <w:tcW w:w="120" w:type="dxa"/>
            <w:vAlign w:val="bottom"/>
            <w:shd w:val="clear" w:color="auto" w:fill="CFF0FC"/>
          </w:tcPr>
          <w:p>
            <w:pPr>
              <w:spacing w:after="0"/>
              <w:rPr>
                <w:sz w:val="18"/>
                <w:szCs w:val="18"/>
                <w:color w:val="auto"/>
              </w:rPr>
            </w:pPr>
          </w:p>
        </w:tc>
      </w:tr>
      <w:tr>
        <w:trPr>
          <w:trHeight w:val="216"/>
        </w:trPr>
        <w:tc>
          <w:tcPr>
            <w:tcW w:w="6400" w:type="dxa"/>
            <w:vAlign w:val="bottom"/>
          </w:tcPr>
          <w:p>
            <w:pPr>
              <w:spacing w:after="0"/>
              <w:rPr>
                <w:sz w:val="20"/>
                <w:szCs w:val="20"/>
                <w:color w:val="auto"/>
              </w:rPr>
            </w:pPr>
            <w:r>
              <w:rPr>
                <w:rFonts w:ascii="Arial" w:cs="Arial" w:eastAsia="Arial" w:hAnsi="Arial"/>
                <w:sz w:val="18"/>
                <w:szCs w:val="18"/>
                <w:color w:val="auto"/>
              </w:rPr>
              <w:t>Increases related to prior year tax positions</w:t>
            </w:r>
          </w:p>
        </w:tc>
        <w:tc>
          <w:tcPr>
            <w:tcW w:w="94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134</w:t>
            </w:r>
          </w:p>
        </w:tc>
        <w:tc>
          <w:tcPr>
            <w:tcW w:w="2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130</w:t>
            </w:r>
          </w:p>
        </w:tc>
        <w:tc>
          <w:tcPr>
            <w:tcW w:w="2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38</w:t>
            </w:r>
          </w:p>
        </w:tc>
        <w:tc>
          <w:tcPr>
            <w:tcW w:w="120" w:type="dxa"/>
            <w:vAlign w:val="bottom"/>
          </w:tcPr>
          <w:p>
            <w:pPr>
              <w:spacing w:after="0"/>
              <w:rPr>
                <w:sz w:val="18"/>
                <w:szCs w:val="18"/>
                <w:color w:val="auto"/>
              </w:rPr>
            </w:pPr>
          </w:p>
        </w:tc>
      </w:tr>
      <w:tr>
        <w:trPr>
          <w:trHeight w:val="216"/>
        </w:trPr>
        <w:tc>
          <w:tcPr>
            <w:tcW w:w="6400" w:type="dxa"/>
            <w:vAlign w:val="bottom"/>
            <w:shd w:val="clear" w:color="auto" w:fill="CFF0FC"/>
          </w:tcPr>
          <w:p>
            <w:pPr>
              <w:spacing w:after="0"/>
              <w:rPr>
                <w:sz w:val="20"/>
                <w:szCs w:val="20"/>
                <w:color w:val="auto"/>
              </w:rPr>
            </w:pPr>
            <w:r>
              <w:rPr>
                <w:rFonts w:ascii="Arial" w:cs="Arial" w:eastAsia="Arial" w:hAnsi="Arial"/>
                <w:sz w:val="18"/>
                <w:szCs w:val="18"/>
                <w:color w:val="auto"/>
              </w:rPr>
              <w:t>Increases related to current year tax positions</w:t>
            </w:r>
          </w:p>
        </w:tc>
        <w:tc>
          <w:tcPr>
            <w:tcW w:w="940" w:type="dxa"/>
            <w:vAlign w:val="bottom"/>
            <w:tcBorders>
              <w:bottom w:val="single" w:sz="8" w:color="auto"/>
            </w:tcBorders>
            <w:shd w:val="clear" w:color="auto" w:fill="CFF0FC"/>
          </w:tcPr>
          <w:p>
            <w:pPr>
              <w:spacing w:after="0"/>
              <w:rPr>
                <w:sz w:val="18"/>
                <w:szCs w:val="18"/>
                <w:color w:val="auto"/>
              </w:rPr>
            </w:pPr>
          </w:p>
        </w:tc>
        <w:tc>
          <w:tcPr>
            <w:tcW w:w="5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380</w:t>
            </w:r>
          </w:p>
        </w:tc>
        <w:tc>
          <w:tcPr>
            <w:tcW w:w="260" w:type="dxa"/>
            <w:vAlign w:val="bottom"/>
            <w:shd w:val="clear" w:color="auto" w:fill="CFF0FC"/>
          </w:tcPr>
          <w:p>
            <w:pPr>
              <w:spacing w:after="0"/>
              <w:rPr>
                <w:sz w:val="18"/>
                <w:szCs w:val="18"/>
                <w:color w:val="auto"/>
              </w:rPr>
            </w:pPr>
          </w:p>
        </w:tc>
        <w:tc>
          <w:tcPr>
            <w:tcW w:w="340" w:type="dxa"/>
            <w:vAlign w:val="bottom"/>
            <w:tcBorders>
              <w:bottom w:val="single" w:sz="8" w:color="auto"/>
            </w:tcBorders>
            <w:shd w:val="clear" w:color="auto" w:fill="CFF0FC"/>
          </w:tcPr>
          <w:p>
            <w:pPr>
              <w:spacing w:after="0"/>
              <w:rPr>
                <w:sz w:val="18"/>
                <w:szCs w:val="18"/>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421</w:t>
            </w:r>
          </w:p>
        </w:tc>
        <w:tc>
          <w:tcPr>
            <w:tcW w:w="260" w:type="dxa"/>
            <w:vAlign w:val="bottom"/>
            <w:shd w:val="clear" w:color="auto" w:fill="CFF0FC"/>
          </w:tcPr>
          <w:p>
            <w:pPr>
              <w:spacing w:after="0"/>
              <w:rPr>
                <w:sz w:val="18"/>
                <w:szCs w:val="18"/>
                <w:color w:val="auto"/>
              </w:rPr>
            </w:pPr>
          </w:p>
        </w:tc>
        <w:tc>
          <w:tcPr>
            <w:tcW w:w="340" w:type="dxa"/>
            <w:vAlign w:val="bottom"/>
            <w:tcBorders>
              <w:bottom w:val="single" w:sz="8" w:color="auto"/>
            </w:tcBorders>
            <w:shd w:val="clear" w:color="auto" w:fill="CFF0FC"/>
          </w:tcPr>
          <w:p>
            <w:pPr>
              <w:spacing w:after="0"/>
              <w:rPr>
                <w:sz w:val="18"/>
                <w:szCs w:val="18"/>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252</w:t>
            </w:r>
          </w:p>
        </w:tc>
        <w:tc>
          <w:tcPr>
            <w:tcW w:w="120" w:type="dxa"/>
            <w:vAlign w:val="bottom"/>
            <w:shd w:val="clear" w:color="auto" w:fill="CFF0FC"/>
          </w:tcPr>
          <w:p>
            <w:pPr>
              <w:spacing w:after="0"/>
              <w:rPr>
                <w:sz w:val="18"/>
                <w:szCs w:val="18"/>
                <w:color w:val="auto"/>
              </w:rPr>
            </w:pPr>
          </w:p>
        </w:tc>
      </w:tr>
      <w:tr>
        <w:trPr>
          <w:trHeight w:val="210"/>
        </w:trPr>
        <w:tc>
          <w:tcPr>
            <w:tcW w:w="6400" w:type="dxa"/>
            <w:vAlign w:val="bottom"/>
          </w:tcPr>
          <w:p>
            <w:pPr>
              <w:spacing w:after="0"/>
              <w:rPr>
                <w:sz w:val="20"/>
                <w:szCs w:val="20"/>
                <w:color w:val="auto"/>
              </w:rPr>
            </w:pPr>
            <w:r>
              <w:rPr>
                <w:rFonts w:ascii="Arial" w:cs="Arial" w:eastAsia="Arial" w:hAnsi="Arial"/>
                <w:sz w:val="18"/>
                <w:szCs w:val="18"/>
                <w:color w:val="auto"/>
              </w:rPr>
              <w:t>Ending gross unrecognized tax benefits</w:t>
            </w:r>
          </w:p>
        </w:tc>
        <w:tc>
          <w:tcPr>
            <w:tcW w:w="940" w:type="dxa"/>
            <w:vAlign w:val="bottom"/>
          </w:tcPr>
          <w:p>
            <w:pPr>
              <w:jc w:val="right"/>
              <w:ind w:right="756"/>
              <w:spacing w:after="0"/>
              <w:rPr>
                <w:sz w:val="20"/>
                <w:szCs w:val="20"/>
                <w:color w:val="auto"/>
              </w:rPr>
            </w:pPr>
            <w:r>
              <w:rPr>
                <w:rFonts w:ascii="Arial" w:cs="Arial" w:eastAsia="Arial" w:hAnsi="Arial"/>
                <w:sz w:val="18"/>
                <w:szCs w:val="18"/>
                <w:color w:val="auto"/>
                <w:w w:val="79"/>
              </w:rPr>
              <w:t>$</w:t>
            </w:r>
          </w:p>
        </w:tc>
        <w:tc>
          <w:tcPr>
            <w:tcW w:w="520" w:type="dxa"/>
            <w:vAlign w:val="bottom"/>
          </w:tcPr>
          <w:p>
            <w:pPr>
              <w:jc w:val="right"/>
              <w:spacing w:after="0"/>
              <w:rPr>
                <w:sz w:val="20"/>
                <w:szCs w:val="20"/>
                <w:color w:val="auto"/>
              </w:rPr>
            </w:pPr>
            <w:r>
              <w:rPr>
                <w:rFonts w:ascii="Arial" w:cs="Arial" w:eastAsia="Arial" w:hAnsi="Arial"/>
                <w:sz w:val="18"/>
                <w:szCs w:val="18"/>
                <w:color w:val="auto"/>
              </w:rPr>
              <w:t>1,737</w:t>
            </w:r>
          </w:p>
        </w:tc>
        <w:tc>
          <w:tcPr>
            <w:tcW w:w="6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1,223</w:t>
            </w:r>
          </w:p>
        </w:tc>
        <w:tc>
          <w:tcPr>
            <w:tcW w:w="260" w:type="dxa"/>
            <w:vAlign w:val="bottom"/>
          </w:tcPr>
          <w:p>
            <w:pPr>
              <w:spacing w:after="0"/>
              <w:rPr>
                <w:sz w:val="18"/>
                <w:szCs w:val="18"/>
                <w:color w:val="auto"/>
              </w:rPr>
            </w:pP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672</w:t>
            </w:r>
          </w:p>
        </w:tc>
        <w:tc>
          <w:tcPr>
            <w:tcW w:w="120" w:type="dxa"/>
            <w:vAlign w:val="bottom"/>
          </w:tcPr>
          <w:p>
            <w:pPr>
              <w:spacing w:after="0"/>
              <w:rPr>
                <w:sz w:val="18"/>
                <w:szCs w:val="18"/>
                <w:color w:val="auto"/>
              </w:rPr>
            </w:pPr>
          </w:p>
        </w:tc>
      </w:tr>
      <w:tr>
        <w:trPr>
          <w:trHeight w:val="20"/>
        </w:trPr>
        <w:tc>
          <w:tcPr>
            <w:tcW w:w="640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58" w:lineRule="exact"/>
        <w:rPr>
          <w:sz w:val="20"/>
          <w:szCs w:val="20"/>
          <w:color w:val="auto"/>
        </w:rPr>
      </w:pPr>
    </w:p>
    <w:p>
      <w:pPr>
        <w:ind w:firstLine="518"/>
        <w:spacing w:after="0"/>
        <w:rPr>
          <w:sz w:val="20"/>
          <w:szCs w:val="20"/>
          <w:color w:val="auto"/>
        </w:rPr>
      </w:pPr>
      <w:r>
        <w:rPr>
          <w:rFonts w:ascii="Arial" w:cs="Arial" w:eastAsia="Arial" w:hAnsi="Arial"/>
          <w:sz w:val="18"/>
          <w:szCs w:val="18"/>
          <w:color w:val="auto"/>
        </w:rPr>
        <w:t>At December 31, 2019, the realization of unrecognized tax benefits were not expected to impact the effective rate due to a full valuation allowance on federal and state deferred taxes. The Company has not recorded any interest or penalties in its provision for income taxes for the years ended December 31, 2019, 2018, and 2017 and no such amounts have been accrued at December 31, 2019 and 2018.</w:t>
      </w:r>
    </w:p>
    <w:p>
      <w:pPr>
        <w:spacing w:after="0" w:line="257" w:lineRule="exact"/>
        <w:rPr>
          <w:sz w:val="20"/>
          <w:szCs w:val="20"/>
          <w:color w:val="auto"/>
        </w:rPr>
      </w:pPr>
    </w:p>
    <w:p>
      <w:pPr>
        <w:ind w:right="40" w:firstLine="518"/>
        <w:spacing w:after="0" w:line="238" w:lineRule="auto"/>
        <w:rPr>
          <w:sz w:val="20"/>
          <w:szCs w:val="20"/>
          <w:color w:val="auto"/>
        </w:rPr>
      </w:pPr>
      <w:r>
        <w:rPr>
          <w:rFonts w:ascii="Arial" w:cs="Arial" w:eastAsia="Arial" w:hAnsi="Arial"/>
          <w:sz w:val="18"/>
          <w:szCs w:val="18"/>
          <w:color w:val="auto"/>
        </w:rPr>
        <w:t>The Company files U.S. federal, various state, and foreign income tax returns. In the normal course of business, the Company is subject to examination by taxing authorities. The tax years from 2013 forward remain subject to examination for federal purposes. Generally, state and foreign tax authorities may examine the Company’s tax returns for four years and five years, respectively, from the date an income tax return is filed. However, the taxing authorities may continue to examine the Company’s federal and state net operating loss carryforwards until the statute of limitations closes on the tax years in which the federal and state net operating losses are utilized.</w:t>
      </w:r>
    </w:p>
    <w:p>
      <w:pPr>
        <w:spacing w:after="0" w:line="203" w:lineRule="exact"/>
        <w:rPr>
          <w:sz w:val="20"/>
          <w:szCs w:val="20"/>
          <w:color w:val="auto"/>
        </w:rPr>
      </w:pPr>
    </w:p>
    <w:p>
      <w:pPr>
        <w:ind w:right="100" w:firstLine="518"/>
        <w:spacing w:after="0" w:line="246" w:lineRule="auto"/>
        <w:rPr>
          <w:sz w:val="20"/>
          <w:szCs w:val="20"/>
          <w:color w:val="auto"/>
        </w:rPr>
      </w:pPr>
      <w:r>
        <w:rPr>
          <w:rFonts w:ascii="Arial" w:cs="Arial" w:eastAsia="Arial" w:hAnsi="Arial"/>
          <w:sz w:val="18"/>
          <w:szCs w:val="18"/>
          <w:color w:val="auto"/>
        </w:rPr>
        <w:t>The Company does not anticipate material changes in the total amount or composition of its unrecognized tax benefits within 12 months of the reporting date.</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Note 12—Net Loss per Share</w:t>
      </w:r>
    </w:p>
    <w:p>
      <w:pPr>
        <w:spacing w:after="0" w:line="126"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following table sets forth the computation of basic and diluted net loss per share (in thousands, except per share amounts):</w:t>
      </w:r>
    </w:p>
    <w:p>
      <w:pPr>
        <w:spacing w:after="0" w:line="267"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6460" w:type="dxa"/>
            <w:vAlign w:val="bottom"/>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2160" w:type="dxa"/>
            <w:vAlign w:val="bottom"/>
            <w:tcBorders>
              <w:bottom w:val="single" w:sz="8" w:color="auto"/>
            </w:tcBorders>
            <w:gridSpan w:val="5"/>
          </w:tcPr>
          <w:p>
            <w:pPr>
              <w:jc w:val="right"/>
              <w:ind w:right="250"/>
              <w:spacing w:after="0"/>
              <w:rPr>
                <w:sz w:val="20"/>
                <w:szCs w:val="20"/>
                <w:color w:val="auto"/>
              </w:rPr>
            </w:pPr>
            <w:r>
              <w:rPr>
                <w:rFonts w:ascii="Arial" w:cs="Arial" w:eastAsia="Arial" w:hAnsi="Arial"/>
                <w:sz w:val="14"/>
                <w:szCs w:val="14"/>
                <w:b w:val="1"/>
                <w:bCs w:val="1"/>
                <w:color w:val="auto"/>
              </w:rPr>
              <w:t>Year Ended December 31,</w:t>
            </w:r>
          </w:p>
        </w:tc>
        <w:tc>
          <w:tcPr>
            <w:tcW w:w="120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r>
      <w:tr>
        <w:trPr>
          <w:trHeight w:val="169"/>
        </w:trPr>
        <w:tc>
          <w:tcPr>
            <w:tcW w:w="6460" w:type="dxa"/>
            <w:vAlign w:val="bottom"/>
            <w:tcBorders>
              <w:bottom w:val="single" w:sz="8" w:color="CFF0FC"/>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right"/>
              <w:ind w:right="453"/>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FF0FC"/>
            </w:tcBorders>
          </w:tcPr>
          <w:p>
            <w:pPr>
              <w:spacing w:after="0"/>
              <w:rPr>
                <w:sz w:val="14"/>
                <w:szCs w:val="14"/>
                <w:color w:val="auto"/>
              </w:rPr>
            </w:pPr>
          </w:p>
        </w:tc>
        <w:tc>
          <w:tcPr>
            <w:tcW w:w="160" w:type="dxa"/>
            <w:vAlign w:val="bottom"/>
            <w:tcBorders>
              <w:bottom w:val="single" w:sz="8" w:color="CFF0FC"/>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right"/>
              <w:ind w:right="453"/>
              <w:spacing w:after="0"/>
              <w:rPr>
                <w:sz w:val="20"/>
                <w:szCs w:val="20"/>
                <w:color w:val="auto"/>
              </w:rPr>
            </w:pPr>
            <w:r>
              <w:rPr>
                <w:rFonts w:ascii="Arial" w:cs="Arial" w:eastAsia="Arial" w:hAnsi="Arial"/>
                <w:sz w:val="14"/>
                <w:szCs w:val="14"/>
                <w:b w:val="1"/>
                <w:bCs w:val="1"/>
                <w:color w:val="auto"/>
              </w:rPr>
              <w:t>2018</w:t>
            </w:r>
          </w:p>
        </w:tc>
        <w:tc>
          <w:tcPr>
            <w:tcW w:w="260" w:type="dxa"/>
            <w:vAlign w:val="bottom"/>
            <w:tcBorders>
              <w:bottom w:val="single" w:sz="8" w:color="CFF0FC"/>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jc w:val="right"/>
              <w:ind w:right="553"/>
              <w:spacing w:after="0"/>
              <w:rPr>
                <w:sz w:val="20"/>
                <w:szCs w:val="20"/>
                <w:color w:val="auto"/>
              </w:rPr>
            </w:pPr>
            <w:r>
              <w:rPr>
                <w:rFonts w:ascii="Arial" w:cs="Arial" w:eastAsia="Arial" w:hAnsi="Arial"/>
                <w:sz w:val="14"/>
                <w:szCs w:val="14"/>
                <w:b w:val="1"/>
                <w:bCs w:val="1"/>
                <w:color w:val="auto"/>
              </w:rPr>
              <w:t>2017</w:t>
            </w:r>
          </w:p>
        </w:tc>
        <w:tc>
          <w:tcPr>
            <w:tcW w:w="120" w:type="dxa"/>
            <w:vAlign w:val="bottom"/>
            <w:tcBorders>
              <w:bottom w:val="single" w:sz="8" w:color="CFF0FC"/>
            </w:tcBorders>
          </w:tcPr>
          <w:p>
            <w:pPr>
              <w:spacing w:after="0"/>
              <w:rPr>
                <w:sz w:val="14"/>
                <w:szCs w:val="14"/>
                <w:color w:val="auto"/>
              </w:rPr>
            </w:pPr>
          </w:p>
        </w:tc>
      </w:tr>
      <w:tr>
        <w:trPr>
          <w:trHeight w:val="210"/>
        </w:trPr>
        <w:tc>
          <w:tcPr>
            <w:tcW w:w="6460" w:type="dxa"/>
            <w:vAlign w:val="bottom"/>
            <w:shd w:val="clear" w:color="auto" w:fill="CFF0FC"/>
          </w:tcPr>
          <w:p>
            <w:pPr>
              <w:spacing w:after="0"/>
              <w:rPr>
                <w:sz w:val="20"/>
                <w:szCs w:val="20"/>
                <w:color w:val="auto"/>
              </w:rPr>
            </w:pPr>
            <w:r>
              <w:rPr>
                <w:rFonts w:ascii="Arial" w:cs="Arial" w:eastAsia="Arial" w:hAnsi="Arial"/>
                <w:sz w:val="18"/>
                <w:szCs w:val="18"/>
                <w:color w:val="auto"/>
              </w:rPr>
              <w:t>Numerator:</w:t>
            </w:r>
          </w:p>
        </w:tc>
        <w:tc>
          <w:tcPr>
            <w:tcW w:w="32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56"/>
        </w:trPr>
        <w:tc>
          <w:tcPr>
            <w:tcW w:w="6460" w:type="dxa"/>
            <w:vAlign w:val="bottom"/>
          </w:tcPr>
          <w:p>
            <w:pPr>
              <w:spacing w:after="0"/>
              <w:rPr>
                <w:sz w:val="20"/>
                <w:szCs w:val="20"/>
                <w:color w:val="auto"/>
              </w:rPr>
            </w:pPr>
            <w:r>
              <w:rPr>
                <w:rFonts w:ascii="Arial" w:cs="Arial" w:eastAsia="Arial" w:hAnsi="Arial"/>
                <w:sz w:val="18"/>
                <w:szCs w:val="18"/>
                <w:color w:val="auto"/>
              </w:rPr>
              <w:t>Net loss attributable to BlackLine, Inc.</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160" w:type="dxa"/>
            <w:vAlign w:val="bottom"/>
            <w:gridSpan w:val="2"/>
          </w:tcPr>
          <w:p>
            <w:pPr>
              <w:jc w:val="right"/>
              <w:ind w:right="40"/>
              <w:spacing w:after="0"/>
              <w:rPr>
                <w:sz w:val="20"/>
                <w:szCs w:val="20"/>
                <w:color w:val="auto"/>
              </w:rPr>
            </w:pPr>
            <w:r>
              <w:rPr>
                <w:rFonts w:ascii="Arial" w:cs="Arial" w:eastAsia="Arial" w:hAnsi="Arial"/>
                <w:sz w:val="18"/>
                <w:szCs w:val="18"/>
                <w:color w:val="auto"/>
              </w:rPr>
              <w:t>(32,535)</w:t>
            </w:r>
          </w:p>
        </w:tc>
        <w:tc>
          <w:tcPr>
            <w:tcW w:w="4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340" w:type="dxa"/>
            <w:vAlign w:val="bottom"/>
            <w:gridSpan w:val="2"/>
          </w:tcPr>
          <w:p>
            <w:pPr>
              <w:jc w:val="right"/>
              <w:ind w:right="200"/>
              <w:spacing w:after="0"/>
              <w:rPr>
                <w:sz w:val="20"/>
                <w:szCs w:val="20"/>
                <w:color w:val="auto"/>
              </w:rPr>
            </w:pPr>
            <w:r>
              <w:rPr>
                <w:rFonts w:ascii="Arial" w:cs="Arial" w:eastAsia="Arial" w:hAnsi="Arial"/>
                <w:sz w:val="18"/>
                <w:szCs w:val="18"/>
                <w:color w:val="auto"/>
              </w:rPr>
              <w:t>(28,714)</w:t>
            </w: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320" w:type="dxa"/>
            <w:vAlign w:val="bottom"/>
            <w:gridSpan w:val="2"/>
          </w:tcPr>
          <w:p>
            <w:pPr>
              <w:jc w:val="right"/>
              <w:ind w:right="60"/>
              <w:spacing w:after="0"/>
              <w:rPr>
                <w:sz w:val="20"/>
                <w:szCs w:val="20"/>
                <w:color w:val="auto"/>
              </w:rPr>
            </w:pPr>
            <w:r>
              <w:rPr>
                <w:rFonts w:ascii="Arial" w:cs="Arial" w:eastAsia="Arial" w:hAnsi="Arial"/>
                <w:sz w:val="18"/>
                <w:szCs w:val="18"/>
                <w:color w:val="auto"/>
              </w:rPr>
              <w:t>(33,408)</w:t>
            </w:r>
          </w:p>
        </w:tc>
      </w:tr>
      <w:tr>
        <w:trPr>
          <w:trHeight w:val="197"/>
        </w:trPr>
        <w:tc>
          <w:tcPr>
            <w:tcW w:w="6460" w:type="dxa"/>
            <w:vAlign w:val="bottom"/>
            <w:tcBorders>
              <w:top w:val="single" w:sz="8" w:color="CFF0FC"/>
            </w:tcBorders>
            <w:shd w:val="clear" w:color="auto" w:fill="CFF0FC"/>
          </w:tcPr>
          <w:p>
            <w:pPr>
              <w:spacing w:after="0" w:line="196" w:lineRule="exact"/>
              <w:rPr>
                <w:sz w:val="20"/>
                <w:szCs w:val="20"/>
                <w:color w:val="auto"/>
              </w:rPr>
            </w:pPr>
            <w:r>
              <w:rPr>
                <w:rFonts w:ascii="Arial" w:cs="Arial" w:eastAsia="Arial" w:hAnsi="Arial"/>
                <w:sz w:val="18"/>
                <w:szCs w:val="18"/>
                <w:color w:val="auto"/>
              </w:rPr>
              <w:t>Denominator:</w:t>
            </w:r>
          </w:p>
        </w:tc>
        <w:tc>
          <w:tcPr>
            <w:tcW w:w="320" w:type="dxa"/>
            <w:vAlign w:val="bottom"/>
            <w:tcBorders>
              <w:top w:val="single" w:sz="8" w:color="auto"/>
            </w:tcBorders>
            <w:shd w:val="clear" w:color="auto" w:fill="CFF0FC"/>
          </w:tcPr>
          <w:p>
            <w:pPr>
              <w:spacing w:after="0"/>
              <w:rPr>
                <w:sz w:val="17"/>
                <w:szCs w:val="17"/>
                <w:color w:val="auto"/>
              </w:rPr>
            </w:pPr>
          </w:p>
        </w:tc>
        <w:tc>
          <w:tcPr>
            <w:tcW w:w="1060" w:type="dxa"/>
            <w:vAlign w:val="bottom"/>
            <w:tcBorders>
              <w:top w:val="single" w:sz="8" w:color="auto"/>
            </w:tcBorders>
            <w:shd w:val="clear" w:color="auto" w:fill="CFF0FC"/>
          </w:tcPr>
          <w:p>
            <w:pPr>
              <w:spacing w:after="0"/>
              <w:rPr>
                <w:sz w:val="17"/>
                <w:szCs w:val="17"/>
                <w:color w:val="auto"/>
              </w:rPr>
            </w:pPr>
          </w:p>
        </w:tc>
        <w:tc>
          <w:tcPr>
            <w:tcW w:w="100" w:type="dxa"/>
            <w:vAlign w:val="bottom"/>
            <w:tcBorders>
              <w:top w:val="single" w:sz="8" w:color="CFF0FC"/>
            </w:tcBorders>
            <w:shd w:val="clear" w:color="auto" w:fill="CFF0FC"/>
          </w:tcPr>
          <w:p>
            <w:pPr>
              <w:spacing w:after="0"/>
              <w:rPr>
                <w:sz w:val="17"/>
                <w:szCs w:val="17"/>
                <w:color w:val="auto"/>
              </w:rPr>
            </w:pPr>
          </w:p>
        </w:tc>
        <w:tc>
          <w:tcPr>
            <w:tcW w:w="160" w:type="dxa"/>
            <w:vAlign w:val="bottom"/>
            <w:tcBorders>
              <w:top w:val="single" w:sz="8" w:color="CFF0FC"/>
            </w:tcBorders>
            <w:shd w:val="clear" w:color="auto" w:fill="CFF0FC"/>
          </w:tcPr>
          <w:p>
            <w:pPr>
              <w:spacing w:after="0"/>
              <w:rPr>
                <w:sz w:val="17"/>
                <w:szCs w:val="17"/>
                <w:color w:val="auto"/>
              </w:rPr>
            </w:pPr>
          </w:p>
        </w:tc>
        <w:tc>
          <w:tcPr>
            <w:tcW w:w="300" w:type="dxa"/>
            <w:vAlign w:val="bottom"/>
            <w:tcBorders>
              <w:top w:val="single" w:sz="8" w:color="auto"/>
            </w:tcBorders>
            <w:shd w:val="clear" w:color="auto" w:fill="CFF0FC"/>
          </w:tcPr>
          <w:p>
            <w:pPr>
              <w:spacing w:after="0"/>
              <w:rPr>
                <w:sz w:val="17"/>
                <w:szCs w:val="17"/>
                <w:color w:val="auto"/>
              </w:rPr>
            </w:pPr>
          </w:p>
        </w:tc>
        <w:tc>
          <w:tcPr>
            <w:tcW w:w="1080" w:type="dxa"/>
            <w:vAlign w:val="bottom"/>
            <w:tcBorders>
              <w:top w:val="single" w:sz="8" w:color="auto"/>
            </w:tcBorders>
            <w:shd w:val="clear" w:color="auto" w:fill="CFF0FC"/>
          </w:tcPr>
          <w:p>
            <w:pPr>
              <w:spacing w:after="0"/>
              <w:rPr>
                <w:sz w:val="17"/>
                <w:szCs w:val="17"/>
                <w:color w:val="auto"/>
              </w:rPr>
            </w:pPr>
          </w:p>
        </w:tc>
        <w:tc>
          <w:tcPr>
            <w:tcW w:w="260" w:type="dxa"/>
            <w:vAlign w:val="bottom"/>
            <w:tcBorders>
              <w:top w:val="single" w:sz="8" w:color="CFF0FC"/>
            </w:tcBorders>
            <w:shd w:val="clear" w:color="auto" w:fill="CFF0FC"/>
          </w:tcPr>
          <w:p>
            <w:pPr>
              <w:spacing w:after="0"/>
              <w:rPr>
                <w:sz w:val="17"/>
                <w:szCs w:val="17"/>
                <w:color w:val="auto"/>
              </w:rPr>
            </w:pPr>
          </w:p>
        </w:tc>
        <w:tc>
          <w:tcPr>
            <w:tcW w:w="360" w:type="dxa"/>
            <w:vAlign w:val="bottom"/>
            <w:tcBorders>
              <w:top w:val="single" w:sz="8" w:color="auto"/>
            </w:tcBorders>
            <w:shd w:val="clear" w:color="auto" w:fill="CFF0FC"/>
          </w:tcPr>
          <w:p>
            <w:pPr>
              <w:spacing w:after="0"/>
              <w:rPr>
                <w:sz w:val="17"/>
                <w:szCs w:val="17"/>
                <w:color w:val="auto"/>
              </w:rPr>
            </w:pPr>
          </w:p>
        </w:tc>
        <w:tc>
          <w:tcPr>
            <w:tcW w:w="1200" w:type="dxa"/>
            <w:vAlign w:val="bottom"/>
            <w:tcBorders>
              <w:top w:val="single" w:sz="8" w:color="auto"/>
            </w:tcBorders>
            <w:shd w:val="clear" w:color="auto" w:fill="CFF0FC"/>
          </w:tcPr>
          <w:p>
            <w:pPr>
              <w:spacing w:after="0"/>
              <w:rPr>
                <w:sz w:val="17"/>
                <w:szCs w:val="17"/>
                <w:color w:val="auto"/>
              </w:rPr>
            </w:pPr>
          </w:p>
        </w:tc>
        <w:tc>
          <w:tcPr>
            <w:tcW w:w="120" w:type="dxa"/>
            <w:vAlign w:val="bottom"/>
            <w:tcBorders>
              <w:top w:val="single" w:sz="8" w:color="CFF0FC"/>
            </w:tcBorders>
            <w:shd w:val="clear" w:color="auto" w:fill="CFF0FC"/>
          </w:tcPr>
          <w:p>
            <w:pPr>
              <w:spacing w:after="0"/>
              <w:rPr>
                <w:sz w:val="17"/>
                <w:szCs w:val="17"/>
                <w:color w:val="auto"/>
              </w:rPr>
            </w:pPr>
          </w:p>
        </w:tc>
      </w:tr>
      <w:tr>
        <w:trPr>
          <w:trHeight w:val="216"/>
        </w:trPr>
        <w:tc>
          <w:tcPr>
            <w:tcW w:w="6460" w:type="dxa"/>
            <w:vAlign w:val="bottom"/>
          </w:tcPr>
          <w:p>
            <w:pPr>
              <w:spacing w:after="0"/>
              <w:rPr>
                <w:sz w:val="20"/>
                <w:szCs w:val="20"/>
                <w:color w:val="auto"/>
              </w:rPr>
            </w:pPr>
            <w:r>
              <w:rPr>
                <w:rFonts w:ascii="Arial" w:cs="Arial" w:eastAsia="Arial" w:hAnsi="Arial"/>
                <w:sz w:val="18"/>
                <w:szCs w:val="18"/>
                <w:color w:val="auto"/>
              </w:rPr>
              <w:t>Weighted average shares</w:t>
            </w:r>
          </w:p>
        </w:tc>
        <w:tc>
          <w:tcPr>
            <w:tcW w:w="3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55,320</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53,912</w:t>
            </w:r>
          </w:p>
        </w:tc>
        <w:tc>
          <w:tcPr>
            <w:tcW w:w="2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52,161</w:t>
            </w:r>
          </w:p>
        </w:tc>
        <w:tc>
          <w:tcPr>
            <w:tcW w:w="120" w:type="dxa"/>
            <w:vAlign w:val="bottom"/>
          </w:tcPr>
          <w:p>
            <w:pPr>
              <w:spacing w:after="0"/>
              <w:rPr>
                <w:sz w:val="18"/>
                <w:szCs w:val="18"/>
                <w:color w:val="auto"/>
              </w:rPr>
            </w:pPr>
          </w:p>
        </w:tc>
      </w:tr>
      <w:tr>
        <w:trPr>
          <w:trHeight w:val="216"/>
        </w:trPr>
        <w:tc>
          <w:tcPr>
            <w:tcW w:w="6460" w:type="dxa"/>
            <w:vAlign w:val="bottom"/>
            <w:shd w:val="clear" w:color="auto" w:fill="CFF0FC"/>
          </w:tcPr>
          <w:p>
            <w:pPr>
              <w:ind w:left="100"/>
              <w:spacing w:after="0"/>
              <w:rPr>
                <w:sz w:val="20"/>
                <w:szCs w:val="20"/>
                <w:color w:val="auto"/>
              </w:rPr>
            </w:pPr>
            <w:r>
              <w:rPr>
                <w:rFonts w:ascii="Arial" w:cs="Arial" w:eastAsia="Arial" w:hAnsi="Arial"/>
                <w:sz w:val="18"/>
                <w:szCs w:val="18"/>
                <w:color w:val="auto"/>
              </w:rPr>
              <w:t>Add: Dilutive effect of securities</w:t>
            </w:r>
          </w:p>
        </w:tc>
        <w:tc>
          <w:tcPr>
            <w:tcW w:w="320" w:type="dxa"/>
            <w:vAlign w:val="bottom"/>
            <w:shd w:val="clear" w:color="auto" w:fill="CFF0FC"/>
          </w:tcPr>
          <w:p>
            <w:pPr>
              <w:spacing w:after="0"/>
              <w:rPr>
                <w:sz w:val="18"/>
                <w:szCs w:val="18"/>
                <w:color w:val="auto"/>
              </w:rPr>
            </w:pPr>
          </w:p>
        </w:tc>
        <w:tc>
          <w:tcPr>
            <w:tcW w:w="116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340" w:type="dxa"/>
            <w:vAlign w:val="bottom"/>
            <w:gridSpan w:val="2"/>
            <w:shd w:val="clear" w:color="auto" w:fill="CFF0FC"/>
          </w:tcPr>
          <w:p>
            <w:pPr>
              <w:jc w:val="right"/>
              <w:ind w:right="280"/>
              <w:spacing w:after="0"/>
              <w:rPr>
                <w:sz w:val="20"/>
                <w:szCs w:val="20"/>
                <w:color w:val="auto"/>
              </w:rPr>
            </w:pPr>
            <w:r>
              <w:rPr>
                <w:rFonts w:ascii="Arial" w:cs="Arial" w:eastAsia="Arial" w:hAnsi="Arial"/>
                <w:sz w:val="18"/>
                <w:szCs w:val="18"/>
                <w:color w:val="auto"/>
              </w:rPr>
              <w:t>—</w:t>
            </w:r>
          </w:p>
        </w:tc>
        <w:tc>
          <w:tcPr>
            <w:tcW w:w="360" w:type="dxa"/>
            <w:vAlign w:val="bottom"/>
            <w:shd w:val="clear" w:color="auto" w:fill="CFF0FC"/>
          </w:tcPr>
          <w:p>
            <w:pPr>
              <w:spacing w:after="0"/>
              <w:rPr>
                <w:sz w:val="18"/>
                <w:szCs w:val="18"/>
                <w:color w:val="auto"/>
              </w:rPr>
            </w:pPr>
          </w:p>
        </w:tc>
        <w:tc>
          <w:tcPr>
            <w:tcW w:w="132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r>
      <w:tr>
        <w:trPr>
          <w:trHeight w:val="250"/>
        </w:trPr>
        <w:tc>
          <w:tcPr>
            <w:tcW w:w="646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Shares used to calculate diluted net loss per share</w:t>
            </w:r>
          </w:p>
        </w:tc>
        <w:tc>
          <w:tcPr>
            <w:tcW w:w="320" w:type="dxa"/>
            <w:vAlign w:val="bottom"/>
            <w:tcBorders>
              <w:top w:val="single" w:sz="8" w:color="auto"/>
              <w:bottom w:val="single" w:sz="8" w:color="auto"/>
            </w:tcBorders>
          </w:tcPr>
          <w:p>
            <w:pPr>
              <w:spacing w:after="0"/>
              <w:rPr>
                <w:sz w:val="21"/>
                <w:szCs w:val="21"/>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55,320</w:t>
            </w:r>
          </w:p>
        </w:tc>
        <w:tc>
          <w:tcPr>
            <w:tcW w:w="100" w:type="dxa"/>
            <w:vAlign w:val="bottom"/>
            <w:tcBorders>
              <w:bottom w:val="single" w:sz="8" w:color="CFF0FC"/>
            </w:tcBorders>
          </w:tcPr>
          <w:p>
            <w:pPr>
              <w:spacing w:after="0"/>
              <w:rPr>
                <w:sz w:val="21"/>
                <w:szCs w:val="21"/>
                <w:color w:val="auto"/>
              </w:rPr>
            </w:pPr>
          </w:p>
        </w:tc>
        <w:tc>
          <w:tcPr>
            <w:tcW w:w="160" w:type="dxa"/>
            <w:vAlign w:val="bottom"/>
            <w:tcBorders>
              <w:bottom w:val="single" w:sz="8" w:color="CFF0FC"/>
            </w:tcBorders>
          </w:tcPr>
          <w:p>
            <w:pPr>
              <w:spacing w:after="0"/>
              <w:rPr>
                <w:sz w:val="21"/>
                <w:szCs w:val="21"/>
                <w:color w:val="auto"/>
              </w:rPr>
            </w:pPr>
          </w:p>
        </w:tc>
        <w:tc>
          <w:tcPr>
            <w:tcW w:w="300" w:type="dxa"/>
            <w:vAlign w:val="bottom"/>
            <w:tcBorders>
              <w:top w:val="single" w:sz="8" w:color="auto"/>
              <w:bottom w:val="single" w:sz="8" w:color="auto"/>
            </w:tcBorders>
          </w:tcPr>
          <w:p>
            <w:pPr>
              <w:spacing w:after="0"/>
              <w:rPr>
                <w:sz w:val="21"/>
                <w:szCs w:val="21"/>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53,912</w:t>
            </w:r>
          </w:p>
        </w:tc>
        <w:tc>
          <w:tcPr>
            <w:tcW w:w="260" w:type="dxa"/>
            <w:vAlign w:val="bottom"/>
            <w:tcBorders>
              <w:bottom w:val="single" w:sz="8" w:color="CFF0FC"/>
            </w:tcBorders>
          </w:tcPr>
          <w:p>
            <w:pPr>
              <w:spacing w:after="0"/>
              <w:rPr>
                <w:sz w:val="21"/>
                <w:szCs w:val="21"/>
                <w:color w:val="auto"/>
              </w:rPr>
            </w:pPr>
          </w:p>
        </w:tc>
        <w:tc>
          <w:tcPr>
            <w:tcW w:w="360" w:type="dxa"/>
            <w:vAlign w:val="bottom"/>
            <w:tcBorders>
              <w:top w:val="single" w:sz="8" w:color="auto"/>
              <w:bottom w:val="single" w:sz="8" w:color="auto"/>
            </w:tcBorders>
          </w:tcPr>
          <w:p>
            <w:pPr>
              <w:spacing w:after="0"/>
              <w:rPr>
                <w:sz w:val="21"/>
                <w:szCs w:val="21"/>
                <w:color w:val="auto"/>
              </w:rPr>
            </w:pP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52,161</w:t>
            </w:r>
          </w:p>
        </w:tc>
        <w:tc>
          <w:tcPr>
            <w:tcW w:w="120" w:type="dxa"/>
            <w:vAlign w:val="bottom"/>
            <w:tcBorders>
              <w:bottom w:val="single" w:sz="8" w:color="CFF0FC"/>
            </w:tcBorders>
          </w:tcPr>
          <w:p>
            <w:pPr>
              <w:spacing w:after="0"/>
              <w:rPr>
                <w:sz w:val="21"/>
                <w:szCs w:val="21"/>
                <w:color w:val="auto"/>
              </w:rPr>
            </w:pPr>
          </w:p>
        </w:tc>
      </w:tr>
      <w:tr>
        <w:trPr>
          <w:trHeight w:val="197"/>
        </w:trPr>
        <w:tc>
          <w:tcPr>
            <w:tcW w:w="6460" w:type="dxa"/>
            <w:vAlign w:val="bottom"/>
            <w:shd w:val="clear" w:color="auto" w:fill="CFF0FC"/>
          </w:tcPr>
          <w:p>
            <w:pPr>
              <w:spacing w:after="0" w:line="196" w:lineRule="exact"/>
              <w:rPr>
                <w:sz w:val="20"/>
                <w:szCs w:val="20"/>
                <w:color w:val="auto"/>
              </w:rPr>
            </w:pPr>
            <w:r>
              <w:rPr>
                <w:rFonts w:ascii="Arial" w:cs="Arial" w:eastAsia="Arial" w:hAnsi="Arial"/>
                <w:sz w:val="18"/>
                <w:szCs w:val="18"/>
                <w:color w:val="auto"/>
              </w:rPr>
              <w:t>Basic net loss per share attributable to BlackLine, Inc.</w:t>
            </w:r>
          </w:p>
        </w:tc>
        <w:tc>
          <w:tcPr>
            <w:tcW w:w="320" w:type="dxa"/>
            <w:vAlign w:val="bottom"/>
            <w:shd w:val="clear" w:color="auto" w:fill="CFF0FC"/>
          </w:tcPr>
          <w:p>
            <w:pPr>
              <w:jc w:val="right"/>
              <w:ind w:right="130"/>
              <w:spacing w:after="0" w:line="196" w:lineRule="exact"/>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CFF0FC"/>
          </w:tcPr>
          <w:p>
            <w:pPr>
              <w:jc w:val="right"/>
              <w:ind w:right="40"/>
              <w:spacing w:after="0" w:line="196" w:lineRule="exact"/>
              <w:rPr>
                <w:sz w:val="20"/>
                <w:szCs w:val="20"/>
                <w:color w:val="auto"/>
              </w:rPr>
            </w:pPr>
            <w:r>
              <w:rPr>
                <w:rFonts w:ascii="Arial" w:cs="Arial" w:eastAsia="Arial" w:hAnsi="Arial"/>
                <w:sz w:val="18"/>
                <w:szCs w:val="18"/>
                <w:color w:val="auto"/>
              </w:rPr>
              <w:t>(0.59)</w:t>
            </w:r>
          </w:p>
        </w:tc>
        <w:tc>
          <w:tcPr>
            <w:tcW w:w="460" w:type="dxa"/>
            <w:vAlign w:val="bottom"/>
            <w:gridSpan w:val="2"/>
            <w:shd w:val="clear" w:color="auto" w:fill="CFF0FC"/>
          </w:tcPr>
          <w:p>
            <w:pPr>
              <w:jc w:val="right"/>
              <w:ind w:right="200"/>
              <w:spacing w:after="0" w:line="196" w:lineRule="exact"/>
              <w:rPr>
                <w:sz w:val="20"/>
                <w:szCs w:val="20"/>
                <w:color w:val="auto"/>
              </w:rPr>
            </w:pPr>
            <w:r>
              <w:rPr>
                <w:rFonts w:ascii="Arial" w:cs="Arial" w:eastAsia="Arial" w:hAnsi="Arial"/>
                <w:sz w:val="18"/>
                <w:szCs w:val="18"/>
                <w:color w:val="auto"/>
              </w:rPr>
              <w:t>$</w:t>
            </w:r>
          </w:p>
        </w:tc>
        <w:tc>
          <w:tcPr>
            <w:tcW w:w="1340" w:type="dxa"/>
            <w:vAlign w:val="bottom"/>
            <w:gridSpan w:val="2"/>
            <w:shd w:val="clear" w:color="auto" w:fill="CFF0FC"/>
          </w:tcPr>
          <w:p>
            <w:pPr>
              <w:jc w:val="right"/>
              <w:ind w:right="200"/>
              <w:spacing w:after="0" w:line="196" w:lineRule="exact"/>
              <w:rPr>
                <w:sz w:val="20"/>
                <w:szCs w:val="20"/>
                <w:color w:val="auto"/>
              </w:rPr>
            </w:pPr>
            <w:r>
              <w:rPr>
                <w:rFonts w:ascii="Arial" w:cs="Arial" w:eastAsia="Arial" w:hAnsi="Arial"/>
                <w:sz w:val="18"/>
                <w:szCs w:val="18"/>
                <w:color w:val="auto"/>
              </w:rPr>
              <w:t>(0.53)</w:t>
            </w:r>
          </w:p>
        </w:tc>
        <w:tc>
          <w:tcPr>
            <w:tcW w:w="360" w:type="dxa"/>
            <w:vAlign w:val="bottom"/>
            <w:shd w:val="clear" w:color="auto" w:fill="CFF0FC"/>
          </w:tcPr>
          <w:p>
            <w:pPr>
              <w:jc w:val="right"/>
              <w:ind w:right="170"/>
              <w:spacing w:after="0" w:line="196" w:lineRule="exact"/>
              <w:rPr>
                <w:sz w:val="20"/>
                <w:szCs w:val="20"/>
                <w:color w:val="auto"/>
              </w:rPr>
            </w:pPr>
            <w:r>
              <w:rPr>
                <w:rFonts w:ascii="Arial" w:cs="Arial" w:eastAsia="Arial" w:hAnsi="Arial"/>
                <w:sz w:val="18"/>
                <w:szCs w:val="18"/>
                <w:color w:val="auto"/>
                <w:w w:val="79"/>
              </w:rPr>
              <w:t>$</w:t>
            </w:r>
          </w:p>
        </w:tc>
        <w:tc>
          <w:tcPr>
            <w:tcW w:w="1320" w:type="dxa"/>
            <w:vAlign w:val="bottom"/>
            <w:gridSpan w:val="2"/>
            <w:shd w:val="clear" w:color="auto" w:fill="CFF0FC"/>
          </w:tcPr>
          <w:p>
            <w:pPr>
              <w:jc w:val="right"/>
              <w:ind w:right="60"/>
              <w:spacing w:after="0" w:line="196" w:lineRule="exact"/>
              <w:rPr>
                <w:sz w:val="20"/>
                <w:szCs w:val="20"/>
                <w:color w:val="auto"/>
              </w:rPr>
            </w:pPr>
            <w:r>
              <w:rPr>
                <w:rFonts w:ascii="Arial" w:cs="Arial" w:eastAsia="Arial" w:hAnsi="Arial"/>
                <w:sz w:val="18"/>
                <w:szCs w:val="18"/>
                <w:color w:val="auto"/>
              </w:rPr>
              <w:t>(0.64)</w:t>
            </w:r>
          </w:p>
        </w:tc>
      </w:tr>
      <w:tr>
        <w:trPr>
          <w:trHeight w:val="20"/>
        </w:trPr>
        <w:tc>
          <w:tcPr>
            <w:tcW w:w="6460" w:type="dxa"/>
            <w:vAlign w:val="bottom"/>
            <w:tcBorders>
              <w:top w:val="single" w:sz="8" w:color="CFF0FC"/>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160" w:type="dxa"/>
            <w:vAlign w:val="bottom"/>
            <w:tcBorders>
              <w:top w:val="single" w:sz="8" w:color="CFF0FC"/>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FF0FC"/>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r>
      <w:tr>
        <w:trPr>
          <w:trHeight w:val="197"/>
        </w:trPr>
        <w:tc>
          <w:tcPr>
            <w:tcW w:w="6460" w:type="dxa"/>
            <w:vAlign w:val="bottom"/>
          </w:tcPr>
          <w:p>
            <w:pPr>
              <w:spacing w:after="0" w:line="196" w:lineRule="exact"/>
              <w:rPr>
                <w:sz w:val="20"/>
                <w:szCs w:val="20"/>
                <w:color w:val="auto"/>
              </w:rPr>
            </w:pPr>
            <w:r>
              <w:rPr>
                <w:rFonts w:ascii="Arial" w:cs="Arial" w:eastAsia="Arial" w:hAnsi="Arial"/>
                <w:sz w:val="18"/>
                <w:szCs w:val="18"/>
                <w:color w:val="auto"/>
              </w:rPr>
              <w:t>Diluted net loss per share attributable to BlackLine, Inc.</w:t>
            </w:r>
          </w:p>
        </w:tc>
        <w:tc>
          <w:tcPr>
            <w:tcW w:w="320" w:type="dxa"/>
            <w:vAlign w:val="bottom"/>
          </w:tcPr>
          <w:p>
            <w:pPr>
              <w:jc w:val="right"/>
              <w:ind w:right="130"/>
              <w:spacing w:after="0" w:line="196" w:lineRule="exact"/>
              <w:rPr>
                <w:sz w:val="20"/>
                <w:szCs w:val="20"/>
                <w:color w:val="auto"/>
              </w:rPr>
            </w:pPr>
            <w:r>
              <w:rPr>
                <w:rFonts w:ascii="Arial" w:cs="Arial" w:eastAsia="Arial" w:hAnsi="Arial"/>
                <w:sz w:val="18"/>
                <w:szCs w:val="18"/>
                <w:color w:val="auto"/>
                <w:w w:val="79"/>
              </w:rPr>
              <w:t>$</w:t>
            </w:r>
          </w:p>
        </w:tc>
        <w:tc>
          <w:tcPr>
            <w:tcW w:w="1160" w:type="dxa"/>
            <w:vAlign w:val="bottom"/>
            <w:gridSpan w:val="2"/>
          </w:tcPr>
          <w:p>
            <w:pPr>
              <w:jc w:val="right"/>
              <w:ind w:right="40"/>
              <w:spacing w:after="0" w:line="196" w:lineRule="exact"/>
              <w:rPr>
                <w:sz w:val="20"/>
                <w:szCs w:val="20"/>
                <w:color w:val="auto"/>
              </w:rPr>
            </w:pPr>
            <w:r>
              <w:rPr>
                <w:rFonts w:ascii="Arial" w:cs="Arial" w:eastAsia="Arial" w:hAnsi="Arial"/>
                <w:sz w:val="18"/>
                <w:szCs w:val="18"/>
                <w:color w:val="auto"/>
              </w:rPr>
              <w:t>(0.59)</w:t>
            </w:r>
          </w:p>
        </w:tc>
        <w:tc>
          <w:tcPr>
            <w:tcW w:w="460" w:type="dxa"/>
            <w:vAlign w:val="bottom"/>
            <w:gridSpan w:val="2"/>
          </w:tcPr>
          <w:p>
            <w:pPr>
              <w:jc w:val="right"/>
              <w:ind w:right="200"/>
              <w:spacing w:after="0" w:line="196" w:lineRule="exact"/>
              <w:rPr>
                <w:sz w:val="20"/>
                <w:szCs w:val="20"/>
                <w:color w:val="auto"/>
              </w:rPr>
            </w:pPr>
            <w:r>
              <w:rPr>
                <w:rFonts w:ascii="Arial" w:cs="Arial" w:eastAsia="Arial" w:hAnsi="Arial"/>
                <w:sz w:val="18"/>
                <w:szCs w:val="18"/>
                <w:color w:val="auto"/>
              </w:rPr>
              <w:t>$</w:t>
            </w:r>
          </w:p>
        </w:tc>
        <w:tc>
          <w:tcPr>
            <w:tcW w:w="1340" w:type="dxa"/>
            <w:vAlign w:val="bottom"/>
            <w:gridSpan w:val="2"/>
          </w:tcPr>
          <w:p>
            <w:pPr>
              <w:jc w:val="right"/>
              <w:ind w:right="200"/>
              <w:spacing w:after="0" w:line="196" w:lineRule="exact"/>
              <w:rPr>
                <w:sz w:val="20"/>
                <w:szCs w:val="20"/>
                <w:color w:val="auto"/>
              </w:rPr>
            </w:pPr>
            <w:r>
              <w:rPr>
                <w:rFonts w:ascii="Arial" w:cs="Arial" w:eastAsia="Arial" w:hAnsi="Arial"/>
                <w:sz w:val="18"/>
                <w:szCs w:val="18"/>
                <w:color w:val="auto"/>
              </w:rPr>
              <w:t>(0.53)</w:t>
            </w:r>
          </w:p>
        </w:tc>
        <w:tc>
          <w:tcPr>
            <w:tcW w:w="360" w:type="dxa"/>
            <w:vAlign w:val="bottom"/>
          </w:tcPr>
          <w:p>
            <w:pPr>
              <w:jc w:val="right"/>
              <w:ind w:right="170"/>
              <w:spacing w:after="0" w:line="196" w:lineRule="exact"/>
              <w:rPr>
                <w:sz w:val="20"/>
                <w:szCs w:val="20"/>
                <w:color w:val="auto"/>
              </w:rPr>
            </w:pPr>
            <w:r>
              <w:rPr>
                <w:rFonts w:ascii="Arial" w:cs="Arial" w:eastAsia="Arial" w:hAnsi="Arial"/>
                <w:sz w:val="18"/>
                <w:szCs w:val="18"/>
                <w:color w:val="auto"/>
                <w:w w:val="79"/>
              </w:rPr>
              <w:t>$</w:t>
            </w:r>
          </w:p>
        </w:tc>
        <w:tc>
          <w:tcPr>
            <w:tcW w:w="1320" w:type="dxa"/>
            <w:vAlign w:val="bottom"/>
            <w:gridSpan w:val="2"/>
          </w:tcPr>
          <w:p>
            <w:pPr>
              <w:jc w:val="right"/>
              <w:ind w:right="60"/>
              <w:spacing w:after="0" w:line="196" w:lineRule="exact"/>
              <w:rPr>
                <w:sz w:val="20"/>
                <w:szCs w:val="20"/>
                <w:color w:val="auto"/>
              </w:rPr>
            </w:pPr>
            <w:r>
              <w:rPr>
                <w:rFonts w:ascii="Arial" w:cs="Arial" w:eastAsia="Arial" w:hAnsi="Arial"/>
                <w:sz w:val="18"/>
                <w:szCs w:val="18"/>
                <w:color w:val="auto"/>
              </w:rPr>
              <w:t>(0.64)</w:t>
            </w:r>
          </w:p>
        </w:tc>
      </w:tr>
      <w:tr>
        <w:trPr>
          <w:trHeight w:val="20"/>
        </w:trPr>
        <w:tc>
          <w:tcPr>
            <w:tcW w:w="646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42" w:lineRule="exact"/>
        <w:rPr>
          <w:sz w:val="20"/>
          <w:szCs w:val="20"/>
          <w:color w:val="auto"/>
        </w:rPr>
      </w:pPr>
    </w:p>
    <w:p>
      <w:pPr>
        <w:ind w:right="800" w:firstLine="518"/>
        <w:spacing w:after="0" w:line="246" w:lineRule="auto"/>
        <w:rPr>
          <w:sz w:val="20"/>
          <w:szCs w:val="20"/>
          <w:color w:val="auto"/>
        </w:rPr>
      </w:pPr>
      <w:r>
        <w:rPr>
          <w:rFonts w:ascii="Arial" w:cs="Arial" w:eastAsia="Arial" w:hAnsi="Arial"/>
          <w:sz w:val="18"/>
          <w:szCs w:val="18"/>
          <w:color w:val="auto"/>
        </w:rPr>
        <w:t>The following potentially dilutive shares were excluded from the calculation of diluted net loss per share attributable to common stockholders because they were anti-dilutive:</w:t>
      </w:r>
    </w:p>
    <w:p>
      <w:pPr>
        <w:spacing w:after="0" w:line="266"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6500" w:type="dxa"/>
            <w:vAlign w:val="bottom"/>
          </w:tcPr>
          <w:p>
            <w:pPr>
              <w:spacing w:after="0"/>
              <w:rPr>
                <w:sz w:val="15"/>
                <w:szCs w:val="15"/>
                <w:color w:val="auto"/>
              </w:rPr>
            </w:pPr>
          </w:p>
        </w:tc>
        <w:tc>
          <w:tcPr>
            <w:tcW w:w="860" w:type="dxa"/>
            <w:vAlign w:val="bottom"/>
            <w:tcBorders>
              <w:bottom w:val="single" w:sz="8" w:color="auto"/>
            </w:tcBorders>
          </w:tcPr>
          <w:p>
            <w:pPr>
              <w:spacing w:after="0"/>
              <w:rPr>
                <w:sz w:val="15"/>
                <w:szCs w:val="15"/>
                <w:color w:val="auto"/>
              </w:rPr>
            </w:pPr>
          </w:p>
        </w:tc>
        <w:tc>
          <w:tcPr>
            <w:tcW w:w="500" w:type="dxa"/>
            <w:vAlign w:val="bottom"/>
            <w:tcBorders>
              <w:bottom w:val="single" w:sz="8" w:color="auto"/>
            </w:tcBorders>
          </w:tcPr>
          <w:p>
            <w:pPr>
              <w:spacing w:after="0"/>
              <w:rPr>
                <w:sz w:val="15"/>
                <w:szCs w:val="15"/>
                <w:color w:val="auto"/>
              </w:rPr>
            </w:pPr>
          </w:p>
        </w:tc>
        <w:tc>
          <w:tcPr>
            <w:tcW w:w="2200" w:type="dxa"/>
            <w:vAlign w:val="bottom"/>
            <w:tcBorders>
              <w:bottom w:val="single" w:sz="8" w:color="auto"/>
            </w:tcBorders>
            <w:gridSpan w:val="4"/>
          </w:tcPr>
          <w:p>
            <w:pPr>
              <w:ind w:left="140"/>
              <w:spacing w:after="0"/>
              <w:rPr>
                <w:sz w:val="20"/>
                <w:szCs w:val="20"/>
                <w:color w:val="auto"/>
              </w:rPr>
            </w:pPr>
            <w:r>
              <w:rPr>
                <w:rFonts w:ascii="Arial" w:cs="Arial" w:eastAsia="Arial" w:hAnsi="Arial"/>
                <w:sz w:val="14"/>
                <w:szCs w:val="14"/>
                <w:b w:val="1"/>
                <w:bCs w:val="1"/>
                <w:color w:val="auto"/>
              </w:rPr>
              <w:t>Year Ended December 31,</w:t>
            </w:r>
          </w:p>
        </w:tc>
        <w:tc>
          <w:tcPr>
            <w:tcW w:w="124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6500" w:type="dxa"/>
            <w:vAlign w:val="bottom"/>
            <w:tcBorders>
              <w:bottom w:val="single" w:sz="8" w:color="CFF0FC"/>
            </w:tcBorders>
          </w:tcPr>
          <w:p>
            <w:pPr>
              <w:spacing w:after="0"/>
              <w:rPr>
                <w:sz w:val="14"/>
                <w:szCs w:val="14"/>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2019</w:t>
            </w:r>
          </w:p>
        </w:tc>
        <w:tc>
          <w:tcPr>
            <w:tcW w:w="500" w:type="dxa"/>
            <w:vAlign w:val="bottom"/>
            <w:tcBorders>
              <w:bottom w:val="single" w:sz="8" w:color="auto"/>
            </w:tcBorders>
          </w:tcPr>
          <w:p>
            <w:pPr>
              <w:spacing w:after="0"/>
              <w:rPr>
                <w:sz w:val="14"/>
                <w:szCs w:val="14"/>
                <w:color w:val="auto"/>
              </w:rPr>
            </w:pPr>
          </w:p>
        </w:tc>
        <w:tc>
          <w:tcPr>
            <w:tcW w:w="260" w:type="dxa"/>
            <w:vAlign w:val="bottom"/>
            <w:tcBorders>
              <w:bottom w:val="single" w:sz="8" w:color="CFF0FC"/>
            </w:tcBorders>
          </w:tcPr>
          <w:p>
            <w:pPr>
              <w:spacing w:after="0"/>
              <w:rPr>
                <w:sz w:val="14"/>
                <w:szCs w:val="14"/>
                <w:color w:val="auto"/>
              </w:rPr>
            </w:pPr>
          </w:p>
        </w:tc>
        <w:tc>
          <w:tcPr>
            <w:tcW w:w="1360" w:type="dxa"/>
            <w:vAlign w:val="bottom"/>
            <w:tcBorders>
              <w:bottom w:val="single" w:sz="8" w:color="auto"/>
            </w:tcBorders>
          </w:tcPr>
          <w:p>
            <w:pPr>
              <w:jc w:val="right"/>
              <w:ind w:right="439"/>
              <w:spacing w:after="0"/>
              <w:rPr>
                <w:sz w:val="20"/>
                <w:szCs w:val="20"/>
                <w:color w:val="auto"/>
              </w:rPr>
            </w:pPr>
            <w:r>
              <w:rPr>
                <w:rFonts w:ascii="Arial" w:cs="Arial" w:eastAsia="Arial" w:hAnsi="Arial"/>
                <w:sz w:val="14"/>
                <w:szCs w:val="14"/>
                <w:b w:val="1"/>
                <w:bCs w:val="1"/>
                <w:color w:val="auto"/>
              </w:rPr>
              <w:t>2018</w:t>
            </w:r>
          </w:p>
        </w:tc>
        <w:tc>
          <w:tcPr>
            <w:tcW w:w="260" w:type="dxa"/>
            <w:vAlign w:val="bottom"/>
            <w:tcBorders>
              <w:bottom w:val="single" w:sz="8" w:color="CFF0FC"/>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tcPr>
          <w:p>
            <w:pPr>
              <w:jc w:val="right"/>
              <w:ind w:right="534"/>
              <w:spacing w:after="0"/>
              <w:rPr>
                <w:sz w:val="20"/>
                <w:szCs w:val="20"/>
                <w:color w:val="auto"/>
              </w:rPr>
            </w:pPr>
            <w:r>
              <w:rPr>
                <w:rFonts w:ascii="Arial" w:cs="Arial" w:eastAsia="Arial" w:hAnsi="Arial"/>
                <w:sz w:val="14"/>
                <w:szCs w:val="14"/>
                <w:b w:val="1"/>
                <w:bCs w:val="1"/>
                <w:color w:val="auto"/>
              </w:rPr>
              <w:t>2017</w:t>
            </w:r>
          </w:p>
        </w:tc>
        <w:tc>
          <w:tcPr>
            <w:tcW w:w="120" w:type="dxa"/>
            <w:vAlign w:val="bottom"/>
            <w:tcBorders>
              <w:bottom w:val="single" w:sz="8" w:color="CFF0FC"/>
            </w:tcBorders>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736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Stock options with service-only vesting conditions</w:t>
            </w:r>
          </w:p>
        </w:tc>
        <w:tc>
          <w:tcPr>
            <w:tcW w:w="5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3,486</w:t>
            </w:r>
          </w:p>
        </w:tc>
        <w:tc>
          <w:tcPr>
            <w:tcW w:w="16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3,820</w:t>
            </w:r>
          </w:p>
        </w:tc>
        <w:tc>
          <w:tcPr>
            <w:tcW w:w="26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5,019</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60" w:type="dxa"/>
            <w:vAlign w:val="bottom"/>
            <w:gridSpan w:val="2"/>
          </w:tcPr>
          <w:p>
            <w:pPr>
              <w:spacing w:after="0"/>
              <w:rPr>
                <w:sz w:val="20"/>
                <w:szCs w:val="20"/>
                <w:color w:val="auto"/>
              </w:rPr>
            </w:pPr>
            <w:r>
              <w:rPr>
                <w:rFonts w:ascii="Arial" w:cs="Arial" w:eastAsia="Arial" w:hAnsi="Arial"/>
                <w:sz w:val="18"/>
                <w:szCs w:val="18"/>
                <w:color w:val="auto"/>
              </w:rPr>
              <w:t>Stock options with performance conditions</w:t>
            </w:r>
          </w:p>
        </w:tc>
        <w:tc>
          <w:tcPr>
            <w:tcW w:w="500" w:type="dxa"/>
            <w:vAlign w:val="bottom"/>
          </w:tcPr>
          <w:p>
            <w:pPr>
              <w:jc w:val="right"/>
              <w:spacing w:after="0"/>
              <w:rPr>
                <w:sz w:val="20"/>
                <w:szCs w:val="20"/>
                <w:color w:val="auto"/>
              </w:rPr>
            </w:pPr>
            <w:r>
              <w:rPr>
                <w:rFonts w:ascii="Arial" w:cs="Arial" w:eastAsia="Arial" w:hAnsi="Arial"/>
                <w:sz w:val="18"/>
                <w:szCs w:val="18"/>
                <w:color w:val="auto"/>
              </w:rPr>
              <w:t>683</w:t>
            </w:r>
          </w:p>
        </w:tc>
        <w:tc>
          <w:tcPr>
            <w:tcW w:w="1620" w:type="dxa"/>
            <w:vAlign w:val="bottom"/>
            <w:gridSpan w:val="2"/>
          </w:tcPr>
          <w:p>
            <w:pPr>
              <w:jc w:val="right"/>
              <w:spacing w:after="0"/>
              <w:rPr>
                <w:sz w:val="20"/>
                <w:szCs w:val="20"/>
                <w:color w:val="auto"/>
              </w:rPr>
            </w:pPr>
            <w:r>
              <w:rPr>
                <w:rFonts w:ascii="Arial" w:cs="Arial" w:eastAsia="Arial" w:hAnsi="Arial"/>
                <w:sz w:val="18"/>
                <w:szCs w:val="18"/>
                <w:color w:val="auto"/>
              </w:rPr>
              <w:t>683</w:t>
            </w:r>
          </w:p>
        </w:tc>
        <w:tc>
          <w:tcPr>
            <w:tcW w:w="2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683</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00" w:type="dxa"/>
            <w:vAlign w:val="bottom"/>
            <w:shd w:val="clear" w:color="auto" w:fill="CFF0FC"/>
          </w:tcPr>
          <w:p>
            <w:pPr>
              <w:spacing w:after="0"/>
              <w:rPr>
                <w:sz w:val="20"/>
                <w:szCs w:val="20"/>
                <w:color w:val="auto"/>
              </w:rPr>
            </w:pPr>
            <w:r>
              <w:rPr>
                <w:rFonts w:ascii="Arial" w:cs="Arial" w:eastAsia="Arial" w:hAnsi="Arial"/>
                <w:sz w:val="18"/>
                <w:szCs w:val="18"/>
                <w:color w:val="auto"/>
              </w:rPr>
              <w:t>Restricted stock units</w:t>
            </w:r>
          </w:p>
        </w:tc>
        <w:tc>
          <w:tcPr>
            <w:tcW w:w="860" w:type="dxa"/>
            <w:vAlign w:val="bottom"/>
            <w:tcBorders>
              <w:bottom w:val="single" w:sz="8" w:color="auto"/>
            </w:tcBorders>
            <w:shd w:val="clear" w:color="auto" w:fill="CFF0FC"/>
          </w:tcPr>
          <w:p>
            <w:pPr>
              <w:spacing w:after="0"/>
              <w:rPr>
                <w:sz w:val="18"/>
                <w:szCs w:val="18"/>
                <w:color w:val="auto"/>
              </w:rPr>
            </w:pPr>
          </w:p>
        </w:tc>
        <w:tc>
          <w:tcPr>
            <w:tcW w:w="5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1,654</w:t>
            </w:r>
          </w:p>
        </w:tc>
        <w:tc>
          <w:tcPr>
            <w:tcW w:w="260" w:type="dxa"/>
            <w:vAlign w:val="bottom"/>
            <w:shd w:val="clear" w:color="auto" w:fill="CFF0FC"/>
          </w:tcPr>
          <w:p>
            <w:pPr>
              <w:spacing w:after="0"/>
              <w:rPr>
                <w:sz w:val="18"/>
                <w:szCs w:val="18"/>
                <w:color w:val="auto"/>
              </w:rPr>
            </w:pPr>
          </w:p>
        </w:tc>
        <w:tc>
          <w:tcPr>
            <w:tcW w:w="13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1,300</w:t>
            </w:r>
          </w:p>
        </w:tc>
        <w:tc>
          <w:tcPr>
            <w:tcW w:w="260" w:type="dxa"/>
            <w:vAlign w:val="bottom"/>
            <w:shd w:val="clear" w:color="auto" w:fill="CFF0FC"/>
          </w:tcPr>
          <w:p>
            <w:pPr>
              <w:spacing w:after="0"/>
              <w:rPr>
                <w:sz w:val="18"/>
                <w:szCs w:val="18"/>
                <w:color w:val="auto"/>
              </w:rPr>
            </w:pPr>
          </w:p>
        </w:tc>
        <w:tc>
          <w:tcPr>
            <w:tcW w:w="320" w:type="dxa"/>
            <w:vAlign w:val="bottom"/>
            <w:tcBorders>
              <w:bottom w:val="single" w:sz="8" w:color="auto"/>
            </w:tcBorders>
            <w:shd w:val="clear" w:color="auto" w:fill="CFF0FC"/>
          </w:tcPr>
          <w:p>
            <w:pPr>
              <w:spacing w:after="0"/>
              <w:rPr>
                <w:sz w:val="18"/>
                <w:szCs w:val="18"/>
                <w:color w:val="auto"/>
              </w:rPr>
            </w:pPr>
          </w:p>
        </w:tc>
        <w:tc>
          <w:tcPr>
            <w:tcW w:w="12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360" w:type="dxa"/>
            <w:vAlign w:val="bottom"/>
            <w:gridSpan w:val="2"/>
          </w:tcPr>
          <w:p>
            <w:pPr>
              <w:ind w:left="140"/>
              <w:spacing w:after="0"/>
              <w:rPr>
                <w:sz w:val="20"/>
                <w:szCs w:val="20"/>
                <w:color w:val="auto"/>
              </w:rPr>
            </w:pPr>
            <w:r>
              <w:rPr>
                <w:rFonts w:ascii="Arial" w:cs="Arial" w:eastAsia="Arial" w:hAnsi="Arial"/>
                <w:sz w:val="18"/>
                <w:szCs w:val="18"/>
                <w:color w:val="auto"/>
              </w:rPr>
              <w:t>Total shares excluded from net loss per share</w:t>
            </w:r>
          </w:p>
        </w:tc>
        <w:tc>
          <w:tcPr>
            <w:tcW w:w="500" w:type="dxa"/>
            <w:vAlign w:val="bottom"/>
          </w:tcPr>
          <w:p>
            <w:pPr>
              <w:jc w:val="right"/>
              <w:spacing w:after="0"/>
              <w:rPr>
                <w:sz w:val="20"/>
                <w:szCs w:val="20"/>
                <w:color w:val="auto"/>
              </w:rPr>
            </w:pPr>
            <w:r>
              <w:rPr>
                <w:rFonts w:ascii="Arial" w:cs="Arial" w:eastAsia="Arial" w:hAnsi="Arial"/>
                <w:sz w:val="18"/>
                <w:szCs w:val="18"/>
                <w:color w:val="auto"/>
              </w:rPr>
              <w:t>5,823</w:t>
            </w:r>
          </w:p>
        </w:tc>
        <w:tc>
          <w:tcPr>
            <w:tcW w:w="1620" w:type="dxa"/>
            <w:vAlign w:val="bottom"/>
            <w:gridSpan w:val="2"/>
          </w:tcPr>
          <w:p>
            <w:pPr>
              <w:jc w:val="right"/>
              <w:spacing w:after="0"/>
              <w:rPr>
                <w:sz w:val="20"/>
                <w:szCs w:val="20"/>
                <w:color w:val="auto"/>
              </w:rPr>
            </w:pPr>
            <w:r>
              <w:rPr>
                <w:rFonts w:ascii="Arial" w:cs="Arial" w:eastAsia="Arial" w:hAnsi="Arial"/>
                <w:sz w:val="18"/>
                <w:szCs w:val="18"/>
                <w:color w:val="auto"/>
              </w:rPr>
              <w:t>5,803</w:t>
            </w:r>
          </w:p>
        </w:tc>
        <w:tc>
          <w:tcPr>
            <w:tcW w:w="2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5,704</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500" w:type="dxa"/>
            <w:vAlign w:val="bottom"/>
            <w:vMerge w:val="restart"/>
          </w:tcPr>
          <w:p>
            <w:pPr>
              <w:ind w:left="5620"/>
              <w:spacing w:after="0"/>
              <w:rPr>
                <w:sz w:val="20"/>
                <w:szCs w:val="20"/>
                <w:color w:val="auto"/>
              </w:rPr>
            </w:pPr>
            <w:r>
              <w:rPr>
                <w:rFonts w:ascii="Arial" w:cs="Arial" w:eastAsia="Arial" w:hAnsi="Arial"/>
                <w:sz w:val="18"/>
                <w:szCs w:val="18"/>
                <w:color w:val="auto"/>
              </w:rPr>
              <w:t>85</w:t>
            </w:r>
          </w:p>
        </w:tc>
        <w:tc>
          <w:tcPr>
            <w:tcW w:w="86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56"/>
        </w:trPr>
        <w:tc>
          <w:tcPr>
            <w:tcW w:w="6500" w:type="dxa"/>
            <w:vAlign w:val="bottom"/>
            <w:vMerge w:val="continue"/>
          </w:tcPr>
          <w:p>
            <w:pPr>
              <w:spacing w:after="0"/>
              <w:rPr>
                <w:sz w:val="24"/>
                <w:szCs w:val="24"/>
                <w:color w:val="auto"/>
              </w:rPr>
            </w:pPr>
          </w:p>
        </w:tc>
        <w:tc>
          <w:tcPr>
            <w:tcW w:w="8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2"/>
        </w:trPr>
        <w:tc>
          <w:tcPr>
            <w:tcW w:w="6500" w:type="dxa"/>
            <w:vAlign w:val="bottom"/>
            <w:tcBorders>
              <w:bottom w:val="single" w:sz="8" w:color="9A9A9A"/>
            </w:tcBorders>
          </w:tcPr>
          <w:p>
            <w:pPr>
              <w:spacing w:after="0"/>
              <w:rPr>
                <w:sz w:val="8"/>
                <w:szCs w:val="8"/>
                <w:color w:val="auto"/>
              </w:rPr>
            </w:pPr>
          </w:p>
        </w:tc>
        <w:tc>
          <w:tcPr>
            <w:tcW w:w="860" w:type="dxa"/>
            <w:vAlign w:val="bottom"/>
            <w:tcBorders>
              <w:bottom w:val="single" w:sz="8" w:color="9A9A9A"/>
            </w:tcBorders>
          </w:tcPr>
          <w:p>
            <w:pPr>
              <w:spacing w:after="0"/>
              <w:rPr>
                <w:sz w:val="8"/>
                <w:szCs w:val="8"/>
                <w:color w:val="auto"/>
              </w:rPr>
            </w:pPr>
          </w:p>
        </w:tc>
        <w:tc>
          <w:tcPr>
            <w:tcW w:w="500" w:type="dxa"/>
            <w:vAlign w:val="bottom"/>
            <w:tcBorders>
              <w:bottom w:val="single" w:sz="8" w:color="9A9A9A"/>
            </w:tcBorders>
          </w:tcPr>
          <w:p>
            <w:pPr>
              <w:spacing w:after="0"/>
              <w:rPr>
                <w:sz w:val="8"/>
                <w:szCs w:val="8"/>
                <w:color w:val="auto"/>
              </w:rPr>
            </w:pPr>
          </w:p>
        </w:tc>
        <w:tc>
          <w:tcPr>
            <w:tcW w:w="260" w:type="dxa"/>
            <w:vAlign w:val="bottom"/>
            <w:tcBorders>
              <w:bottom w:val="single" w:sz="8" w:color="9A9A9A"/>
            </w:tcBorders>
          </w:tcPr>
          <w:p>
            <w:pPr>
              <w:spacing w:after="0"/>
              <w:rPr>
                <w:sz w:val="8"/>
                <w:szCs w:val="8"/>
                <w:color w:val="auto"/>
              </w:rPr>
            </w:pPr>
          </w:p>
        </w:tc>
        <w:tc>
          <w:tcPr>
            <w:tcW w:w="1360" w:type="dxa"/>
            <w:vAlign w:val="bottom"/>
            <w:tcBorders>
              <w:bottom w:val="single" w:sz="8" w:color="9A9A9A"/>
            </w:tcBorders>
          </w:tcPr>
          <w:p>
            <w:pPr>
              <w:spacing w:after="0"/>
              <w:rPr>
                <w:sz w:val="8"/>
                <w:szCs w:val="8"/>
                <w:color w:val="auto"/>
              </w:rPr>
            </w:pPr>
          </w:p>
        </w:tc>
        <w:tc>
          <w:tcPr>
            <w:tcW w:w="260" w:type="dxa"/>
            <w:vAlign w:val="bottom"/>
            <w:tcBorders>
              <w:bottom w:val="single" w:sz="8" w:color="9A9A9A"/>
            </w:tcBorders>
          </w:tcPr>
          <w:p>
            <w:pPr>
              <w:spacing w:after="0"/>
              <w:rPr>
                <w:sz w:val="8"/>
                <w:szCs w:val="8"/>
                <w:color w:val="auto"/>
              </w:rPr>
            </w:pPr>
          </w:p>
        </w:tc>
        <w:tc>
          <w:tcPr>
            <w:tcW w:w="320" w:type="dxa"/>
            <w:vAlign w:val="bottom"/>
            <w:tcBorders>
              <w:bottom w:val="single" w:sz="8" w:color="9A9A9A"/>
            </w:tcBorders>
          </w:tcPr>
          <w:p>
            <w:pPr>
              <w:spacing w:after="0"/>
              <w:rPr>
                <w:sz w:val="8"/>
                <w:szCs w:val="8"/>
                <w:color w:val="auto"/>
              </w:rPr>
            </w:pPr>
          </w:p>
        </w:tc>
        <w:tc>
          <w:tcPr>
            <w:tcW w:w="1240" w:type="dxa"/>
            <w:vAlign w:val="bottom"/>
            <w:tcBorders>
              <w:bottom w:val="single" w:sz="8" w:color="9A9A9A"/>
            </w:tcBorders>
          </w:tcPr>
          <w:p>
            <w:pPr>
              <w:spacing w:after="0"/>
              <w:rPr>
                <w:sz w:val="8"/>
                <w:szCs w:val="8"/>
                <w:color w:val="auto"/>
              </w:rPr>
            </w:pPr>
          </w:p>
        </w:tc>
        <w:tc>
          <w:tcPr>
            <w:tcW w:w="120" w:type="dxa"/>
            <w:vAlign w:val="bottom"/>
            <w:tcBorders>
              <w:bottom w:val="single" w:sz="8" w:color="9A9A9A"/>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7230110</wp:posOffset>
            </wp:positionH>
            <wp:positionV relativeFrom="paragraph">
              <wp:posOffset>-29210</wp:posOffset>
            </wp:positionV>
            <wp:extent cx="34290" cy="425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20"/>
          </w:cols>
          <w:pgMar w:left="240" w:top="355" w:right="239" w:bottom="1440" w:gutter="0" w:footer="0" w:header="0"/>
        </w:sectPr>
      </w:pPr>
    </w:p>
    <w:bookmarkStart w:id="85" w:name="page86"/>
    <w:bookmarkEnd w:id="85"/>
    <w:p>
      <w:pPr>
        <w:ind w:right="100" w:firstLine="518"/>
        <w:spacing w:after="0" w:line="237" w:lineRule="auto"/>
        <w:rPr>
          <w:sz w:val="20"/>
          <w:szCs w:val="20"/>
          <w:color w:val="auto"/>
        </w:rPr>
      </w:pPr>
      <w:r>
        <w:rPr>
          <w:rFonts w:ascii="Arial" w:cs="Arial" w:eastAsia="Arial" w:hAnsi="Arial"/>
          <w:sz w:val="18"/>
          <w:szCs w:val="18"/>
          <w:color w:val="auto"/>
        </w:rPr>
        <w:t>Additionally, approximately 6.8 million shares underlying the conversion option in the Notes are not considered in the calculation of diluted net loss per share as the effect would be anti-dilutive. The shares are subject to adjustment, up to approximately 9.4 million shares for the Notes, if certain corporate events occur prior to the maturity date or if the Company issues a notice of redemption. The Company uses the treasury stock method for calculating any potential dilutive effect of the conversion option on diluted net income per share, if applicable. During the year ended December 31, 2019, the average market price of the Company’s common stock did not exceed the conversion price of the Notes of $73.40 per share.</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Note 13—Contingent Consideration</w:t>
      </w:r>
    </w:p>
    <w:p>
      <w:pPr>
        <w:spacing w:after="0" w:line="126" w:lineRule="exact"/>
        <w:rPr>
          <w:sz w:val="20"/>
          <w:szCs w:val="20"/>
          <w:color w:val="auto"/>
        </w:rPr>
      </w:pPr>
    </w:p>
    <w:p>
      <w:pPr>
        <w:ind w:right="60" w:firstLine="518"/>
        <w:spacing w:after="0" w:line="234" w:lineRule="auto"/>
        <w:rPr>
          <w:sz w:val="20"/>
          <w:szCs w:val="20"/>
          <w:color w:val="auto"/>
        </w:rPr>
      </w:pPr>
      <w:r>
        <w:rPr>
          <w:rFonts w:ascii="Arial" w:cs="Arial" w:eastAsia="Arial" w:hAnsi="Arial"/>
          <w:sz w:val="18"/>
          <w:szCs w:val="18"/>
          <w:color w:val="auto"/>
        </w:rPr>
        <w:t>In conjunction with the 2013 Acquisition, option holders of BlackLine Systems, Inc. were allowed to cancel their stock option rights and receive a cash payment equal to the amount of calculated gain (less applicable expense and other items) had they exercised their stock options and then sold their common shares as part of the 2013 Acquisition. As a condition of the 2013 Acquisition, the Company is required to pay additional cash consideration to certain equity holders if the Company realizes a tax benefit from the use of net operating losses generated from the stock option exercises concurrent with the 2013 Acquisition. The maximum contingent cash consideration to be distributed is</w:t>
      </w:r>
    </w:p>
    <w:p>
      <w:pPr>
        <w:spacing w:after="0" w:line="4" w:lineRule="exact"/>
        <w:rPr>
          <w:sz w:val="20"/>
          <w:szCs w:val="20"/>
          <w:color w:val="auto"/>
        </w:rPr>
      </w:pPr>
    </w:p>
    <w:p>
      <w:pPr>
        <w:ind w:right="80"/>
        <w:spacing w:after="0" w:line="246" w:lineRule="auto"/>
        <w:rPr>
          <w:sz w:val="20"/>
          <w:szCs w:val="20"/>
          <w:color w:val="auto"/>
        </w:rPr>
      </w:pPr>
      <w:r>
        <w:rPr>
          <w:rFonts w:ascii="Arial" w:cs="Arial" w:eastAsia="Arial" w:hAnsi="Arial"/>
          <w:sz w:val="18"/>
          <w:szCs w:val="18"/>
          <w:color w:val="auto"/>
        </w:rPr>
        <w:t>$8.0 million. The fair value of the contingent consideration was $6.4 million and $6.3 million at December 31, 2019 and 2018, respectively. See Note 2 for additional information regarding the valuation of the contingent consideration.</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Note 14—Commitments and Contingencies</w:t>
      </w:r>
    </w:p>
    <w:p>
      <w:pPr>
        <w:spacing w:after="0" w:line="212" w:lineRule="exact"/>
        <w:rPr>
          <w:sz w:val="20"/>
          <w:szCs w:val="20"/>
          <w:color w:val="auto"/>
        </w:rPr>
      </w:pPr>
    </w:p>
    <w:p>
      <w:pPr>
        <w:ind w:right="560" w:firstLine="518"/>
        <w:spacing w:after="0" w:line="271" w:lineRule="auto"/>
        <w:rPr>
          <w:sz w:val="20"/>
          <w:szCs w:val="20"/>
          <w:color w:val="auto"/>
        </w:rPr>
      </w:pPr>
      <w:r>
        <w:rPr>
          <w:rFonts w:ascii="Arial" w:cs="Arial" w:eastAsia="Arial" w:hAnsi="Arial"/>
          <w:sz w:val="18"/>
          <w:szCs w:val="18"/>
          <w:b w:val="1"/>
          <w:bCs w:val="1"/>
          <w:i w:val="1"/>
          <w:iCs w:val="1"/>
          <w:color w:val="auto"/>
        </w:rPr>
        <w:t>Purchase obligations</w:t>
      </w:r>
      <w:r>
        <w:rPr>
          <w:rFonts w:ascii="Arial" w:cs="Arial" w:eastAsia="Arial" w:hAnsi="Arial"/>
          <w:sz w:val="18"/>
          <w:szCs w:val="18"/>
          <w:color w:val="auto"/>
        </w:rPr>
        <w:t>— At December 31, 2019, the Company had $16.8 million of non-cancelable purchase obligations primarily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related to future sales and user conferences and software agreements.</w:t>
      </w:r>
    </w:p>
    <w:p>
      <w:pPr>
        <w:spacing w:after="0" w:line="154" w:lineRule="exact"/>
        <w:rPr>
          <w:sz w:val="20"/>
          <w:szCs w:val="20"/>
          <w:color w:val="auto"/>
        </w:rPr>
      </w:pPr>
    </w:p>
    <w:p>
      <w:pPr>
        <w:ind w:right="140" w:firstLine="518"/>
        <w:spacing w:after="0" w:line="247" w:lineRule="auto"/>
        <w:rPr>
          <w:sz w:val="20"/>
          <w:szCs w:val="20"/>
          <w:color w:val="auto"/>
        </w:rPr>
      </w:pPr>
      <w:r>
        <w:rPr>
          <w:rFonts w:ascii="Arial" w:cs="Arial" w:eastAsia="Arial" w:hAnsi="Arial"/>
          <w:sz w:val="18"/>
          <w:szCs w:val="18"/>
          <w:b w:val="1"/>
          <w:bCs w:val="1"/>
          <w:i w:val="1"/>
          <w:iCs w:val="1"/>
          <w:color w:val="auto"/>
        </w:rPr>
        <w:t>Litigation</w:t>
      </w:r>
      <w:r>
        <w:rPr>
          <w:rFonts w:ascii="Arial" w:cs="Arial" w:eastAsia="Arial" w:hAnsi="Arial"/>
          <w:sz w:val="18"/>
          <w:szCs w:val="18"/>
          <w:color w:val="auto"/>
        </w:rPr>
        <w:t>—From time to time, the Company may become subject to legal proceedings, claims and litigation arising in the ordinary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course of business. The Company is not currently a party to any legal proceedings, nor is it aware of any pending or threatened litigation, that would have a material adverse effect on the Company’s business, operating results, cash flows, or financial condition should such litigation be resolved unfavorably.</w:t>
      </w:r>
    </w:p>
    <w:p>
      <w:pPr>
        <w:spacing w:after="0" w:line="174" w:lineRule="exact"/>
        <w:rPr>
          <w:sz w:val="20"/>
          <w:szCs w:val="20"/>
          <w:color w:val="auto"/>
        </w:rPr>
      </w:pPr>
    </w:p>
    <w:p>
      <w:pPr>
        <w:ind w:firstLine="518"/>
        <w:spacing w:after="0" w:line="239" w:lineRule="auto"/>
        <w:rPr>
          <w:sz w:val="20"/>
          <w:szCs w:val="20"/>
          <w:color w:val="auto"/>
        </w:rPr>
      </w:pPr>
      <w:r>
        <w:rPr>
          <w:rFonts w:ascii="Arial" w:cs="Arial" w:eastAsia="Arial" w:hAnsi="Arial"/>
          <w:sz w:val="18"/>
          <w:szCs w:val="18"/>
          <w:b w:val="1"/>
          <w:bCs w:val="1"/>
          <w:i w:val="1"/>
          <w:iCs w:val="1"/>
          <w:color w:val="auto"/>
        </w:rPr>
        <w:t>Indemnification</w:t>
      </w:r>
      <w:r>
        <w:rPr>
          <w:rFonts w:ascii="Arial" w:cs="Arial" w:eastAsia="Arial" w:hAnsi="Arial"/>
          <w:sz w:val="18"/>
          <w:szCs w:val="18"/>
          <w:color w:val="auto"/>
        </w:rPr>
        <w:t>—In the ordinary course of business, the Company may provide indemnification of varying scope and terms to</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customers, vendors, investors, directors, and officers with respect to certain matters, including, but not limited to, losses arising out of its breach of such agreements, services to be provided by the Company, or from intellectual property infringement claims made by third parties. These indemnification provisions may survive termination of the underlying agreement and the maximum potential amount of future payments the Company could be required to make under these indemnification provisions may not be subject to maximum loss clauses. The maximum potential amount of future payments the Company could be required to make under these indemnification provisions is indeterminable. The Company has never paid a material claim, nor has it been sued in connection with these indemnification arrangements. At December 31, 2019 and 2018, the Company has not accrued a liability for these indemnification arrangements because the likelihood of incurring a payment obligation, if any, in connection with these indemnification arrangements was not probable or reasonably estimable.</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272020" cy="425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355" w:right="239" w:bottom="1440" w:gutter="0" w:footer="0" w:header="0"/>
        </w:sectPr>
      </w:pPr>
    </w:p>
    <w:bookmarkStart w:id="86" w:name="page87"/>
    <w:bookmarkEnd w:id="86"/>
    <w:p>
      <w:pPr>
        <w:spacing w:after="0"/>
        <w:rPr>
          <w:sz w:val="20"/>
          <w:szCs w:val="20"/>
          <w:color w:val="auto"/>
        </w:rPr>
      </w:pPr>
      <w:r>
        <w:rPr>
          <w:rFonts w:ascii="Arial" w:cs="Arial" w:eastAsia="Arial" w:hAnsi="Arial"/>
          <w:sz w:val="18"/>
          <w:szCs w:val="18"/>
          <w:b w:val="1"/>
          <w:bCs w:val="1"/>
          <w:i w:val="1"/>
          <w:iCs w:val="1"/>
          <w:color w:val="auto"/>
        </w:rPr>
        <w:t>Note 15—Equity Awards</w:t>
      </w:r>
    </w:p>
    <w:p>
      <w:pPr>
        <w:spacing w:after="0" w:line="104"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2014 and 2016 Plans</w:t>
      </w:r>
    </w:p>
    <w:p>
      <w:pPr>
        <w:spacing w:after="0" w:line="126" w:lineRule="exact"/>
        <w:rPr>
          <w:sz w:val="20"/>
          <w:szCs w:val="20"/>
          <w:color w:val="auto"/>
        </w:rPr>
      </w:pPr>
    </w:p>
    <w:p>
      <w:pPr>
        <w:ind w:right="140" w:firstLine="518"/>
        <w:spacing w:after="0" w:line="236" w:lineRule="auto"/>
        <w:rPr>
          <w:sz w:val="20"/>
          <w:szCs w:val="20"/>
          <w:color w:val="auto"/>
        </w:rPr>
      </w:pPr>
      <w:r>
        <w:rPr>
          <w:rFonts w:ascii="Arial" w:cs="Arial" w:eastAsia="Arial" w:hAnsi="Arial"/>
          <w:sz w:val="18"/>
          <w:szCs w:val="18"/>
          <w:color w:val="auto"/>
        </w:rPr>
        <w:t>On March 3, 2014, the Company adopted the 2014 Stock Incentive Plan (the “2014 Plan”). In November 2016, upon the completion of the Company’s initial public offering, the Company adopted the 2016 Equity Incentive Plan (the “2016 Plan”) and determined that it will no longer grant any additional awards under the 2014 Plan. However, the 2014 Plan continues to govern the terms and conditions of the outstanding awards previously granted under the 2014 plan. Upon the adoption of the 2016 Plan, the maximum number of shares issuable was 6.2 million, plus a number of shares equal to the number of shares subject to outstanding awards granted under the 2014 Plan after the date the 2014 Plan is terminated without having been exercised in full. The Company’s board of directors may grant stock options and restricted stock units to employees, directors and consultants under the 2016 Plan. The aggregate number of shares available under the 2016 Plan and the number of shares subject to outstanding options automatically adjusts for any changes in the Company’s outstanding common stock by reason of any recapitalization, spin-off, reorganization, reclassification, stock dividend, stock split, reverse stock split, or similar transaction. Stock options and restricted stock units generally vest over four years and have contractual terms of ten years.</w:t>
      </w:r>
    </w:p>
    <w:p>
      <w:pPr>
        <w:spacing w:after="0" w:line="98" w:lineRule="exact"/>
        <w:rPr>
          <w:sz w:val="20"/>
          <w:szCs w:val="20"/>
          <w:color w:val="auto"/>
        </w:rPr>
      </w:pPr>
    </w:p>
    <w:p>
      <w:pPr>
        <w:ind w:right="180" w:firstLine="518"/>
        <w:spacing w:after="0" w:line="246" w:lineRule="auto"/>
        <w:rPr>
          <w:sz w:val="20"/>
          <w:szCs w:val="20"/>
          <w:color w:val="auto"/>
        </w:rPr>
      </w:pPr>
      <w:r>
        <w:rPr>
          <w:rFonts w:ascii="Arial" w:cs="Arial" w:eastAsia="Arial" w:hAnsi="Arial"/>
          <w:sz w:val="18"/>
          <w:szCs w:val="18"/>
          <w:color w:val="auto"/>
        </w:rPr>
        <w:t>In May 2017, warrants to purchase 499,999 shares of common stock were net exercised resulting in the issuance of 428,033 shares of common stock and, accordingly, there will be no further changes in the fair value.</w:t>
      </w:r>
    </w:p>
    <w:p>
      <w:pPr>
        <w:spacing w:after="0" w:line="19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At December 31, 2019, 10.8 million shares were available for issuance under the 2016 Plan.</w:t>
      </w:r>
    </w:p>
    <w:p>
      <w:pPr>
        <w:spacing w:after="0" w:line="298"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Stock options with service-only vesting conditions</w:t>
      </w:r>
    </w:p>
    <w:p>
      <w:pPr>
        <w:spacing w:after="0" w:line="126" w:lineRule="exact"/>
        <w:rPr>
          <w:sz w:val="20"/>
          <w:szCs w:val="20"/>
          <w:color w:val="auto"/>
        </w:rPr>
      </w:pPr>
    </w:p>
    <w:p>
      <w:pPr>
        <w:ind w:right="60" w:firstLine="518"/>
        <w:spacing w:after="0" w:line="246" w:lineRule="auto"/>
        <w:rPr>
          <w:sz w:val="20"/>
          <w:szCs w:val="20"/>
          <w:color w:val="auto"/>
        </w:rPr>
      </w:pPr>
      <w:r>
        <w:rPr>
          <w:rFonts w:ascii="Arial" w:cs="Arial" w:eastAsia="Arial" w:hAnsi="Arial"/>
          <w:sz w:val="18"/>
          <w:szCs w:val="18"/>
          <w:color w:val="auto"/>
        </w:rPr>
        <w:t>A summary of the Company’s stock option activity and related information for awards that contain service-only vesting conditions was as follows:</w:t>
      </w:r>
    </w:p>
    <w:p>
      <w:pPr>
        <w:spacing w:after="0" w:line="306"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12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20" w:type="dxa"/>
            <w:vAlign w:val="bottom"/>
          </w:tcPr>
          <w:p>
            <w:pPr>
              <w:jc w:val="center"/>
              <w:ind w:right="43"/>
              <w:spacing w:after="0"/>
              <w:rPr>
                <w:sz w:val="20"/>
                <w:szCs w:val="20"/>
                <w:color w:val="auto"/>
              </w:rPr>
            </w:pPr>
            <w:r>
              <w:rPr>
                <w:rFonts w:ascii="Arial" w:cs="Arial" w:eastAsia="Arial" w:hAnsi="Arial"/>
                <w:sz w:val="14"/>
                <w:szCs w:val="14"/>
                <w:b w:val="1"/>
                <w:bCs w:val="1"/>
                <w:color w:val="auto"/>
              </w:rPr>
              <w:t>Weighted-</w:t>
            </w: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80" w:type="dxa"/>
            <w:vAlign w:val="bottom"/>
          </w:tcPr>
          <w:p>
            <w:pPr>
              <w:spacing w:after="0"/>
              <w:rPr>
                <w:sz w:val="14"/>
                <w:szCs w:val="14"/>
                <w:color w:val="auto"/>
              </w:rPr>
            </w:pPr>
          </w:p>
        </w:tc>
      </w:tr>
      <w:tr>
        <w:trPr>
          <w:trHeight w:val="162"/>
        </w:trPr>
        <w:tc>
          <w:tcPr>
            <w:tcW w:w="512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4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rPr>
              <w:t>Weighted-</w:t>
            </w:r>
          </w:p>
        </w:tc>
        <w:tc>
          <w:tcPr>
            <w:tcW w:w="1520" w:type="dxa"/>
            <w:vAlign w:val="bottom"/>
          </w:tcPr>
          <w:p>
            <w:pPr>
              <w:jc w:val="center"/>
              <w:ind w:right="43"/>
              <w:spacing w:after="0"/>
              <w:rPr>
                <w:sz w:val="20"/>
                <w:szCs w:val="20"/>
                <w:color w:val="auto"/>
              </w:rPr>
            </w:pPr>
            <w:r>
              <w:rPr>
                <w:rFonts w:ascii="Arial" w:cs="Arial" w:eastAsia="Arial" w:hAnsi="Arial"/>
                <w:sz w:val="14"/>
                <w:szCs w:val="14"/>
                <w:b w:val="1"/>
                <w:bCs w:val="1"/>
                <w:color w:val="auto"/>
              </w:rPr>
              <w:t>Average</w:t>
            </w: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80" w:type="dxa"/>
            <w:vAlign w:val="bottom"/>
          </w:tcPr>
          <w:p>
            <w:pPr>
              <w:spacing w:after="0"/>
              <w:rPr>
                <w:sz w:val="14"/>
                <w:szCs w:val="14"/>
                <w:color w:val="auto"/>
              </w:rPr>
            </w:pPr>
          </w:p>
        </w:tc>
      </w:tr>
      <w:tr>
        <w:trPr>
          <w:trHeight w:val="162"/>
        </w:trPr>
        <w:tc>
          <w:tcPr>
            <w:tcW w:w="512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4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rPr>
              <w:t>Average</w:t>
            </w:r>
          </w:p>
        </w:tc>
        <w:tc>
          <w:tcPr>
            <w:tcW w:w="1520" w:type="dxa"/>
            <w:vAlign w:val="bottom"/>
          </w:tcPr>
          <w:p>
            <w:pPr>
              <w:jc w:val="center"/>
              <w:ind w:right="43"/>
              <w:spacing w:after="0"/>
              <w:rPr>
                <w:sz w:val="20"/>
                <w:szCs w:val="20"/>
                <w:color w:val="auto"/>
              </w:rPr>
            </w:pPr>
            <w:r>
              <w:rPr>
                <w:rFonts w:ascii="Arial" w:cs="Arial" w:eastAsia="Arial" w:hAnsi="Arial"/>
                <w:sz w:val="14"/>
                <w:szCs w:val="14"/>
                <w:b w:val="1"/>
                <w:bCs w:val="1"/>
                <w:color w:val="auto"/>
              </w:rPr>
              <w:t>Remaining</w:t>
            </w: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80" w:type="dxa"/>
            <w:vAlign w:val="bottom"/>
          </w:tcPr>
          <w:p>
            <w:pPr>
              <w:jc w:val="center"/>
              <w:ind w:right="181"/>
              <w:spacing w:after="0"/>
              <w:rPr>
                <w:sz w:val="20"/>
                <w:szCs w:val="20"/>
                <w:color w:val="auto"/>
              </w:rPr>
            </w:pPr>
            <w:r>
              <w:rPr>
                <w:rFonts w:ascii="Arial" w:cs="Arial" w:eastAsia="Arial" w:hAnsi="Arial"/>
                <w:sz w:val="14"/>
                <w:szCs w:val="14"/>
                <w:b w:val="1"/>
                <w:bCs w:val="1"/>
                <w:color w:val="auto"/>
              </w:rPr>
              <w:t>Aggregate</w:t>
            </w:r>
          </w:p>
        </w:tc>
      </w:tr>
      <w:tr>
        <w:trPr>
          <w:trHeight w:val="175"/>
        </w:trPr>
        <w:tc>
          <w:tcPr>
            <w:tcW w:w="5120" w:type="dxa"/>
            <w:vAlign w:val="bottom"/>
          </w:tcPr>
          <w:p>
            <w:pPr>
              <w:spacing w:after="0"/>
              <w:rPr>
                <w:sz w:val="15"/>
                <w:szCs w:val="15"/>
                <w:color w:val="auto"/>
              </w:rPr>
            </w:pPr>
          </w:p>
        </w:tc>
        <w:tc>
          <w:tcPr>
            <w:tcW w:w="1300" w:type="dxa"/>
            <w:vAlign w:val="bottom"/>
            <w:tcBorders>
              <w:bottom w:val="single" w:sz="8" w:color="auto"/>
            </w:tcBorders>
          </w:tcPr>
          <w:p>
            <w:pPr>
              <w:jc w:val="right"/>
              <w:ind w:right="334"/>
              <w:spacing w:after="0"/>
              <w:rPr>
                <w:sz w:val="20"/>
                <w:szCs w:val="20"/>
                <w:color w:val="auto"/>
              </w:rPr>
            </w:pPr>
            <w:r>
              <w:rPr>
                <w:rFonts w:ascii="Arial" w:cs="Arial" w:eastAsia="Arial" w:hAnsi="Arial"/>
                <w:sz w:val="14"/>
                <w:szCs w:val="14"/>
                <w:b w:val="1"/>
                <w:bCs w:val="1"/>
                <w:color w:val="auto"/>
              </w:rPr>
              <w:t>Shares</w:t>
            </w:r>
          </w:p>
        </w:tc>
        <w:tc>
          <w:tcPr>
            <w:tcW w:w="24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320" w:type="dxa"/>
            <w:vAlign w:val="bottom"/>
            <w:tcBorders>
              <w:bottom w:val="single" w:sz="8" w:color="auto"/>
            </w:tcBorders>
          </w:tcPr>
          <w:p>
            <w:pPr>
              <w:jc w:val="center"/>
              <w:ind w:right="176"/>
              <w:spacing w:after="0"/>
              <w:rPr>
                <w:sz w:val="20"/>
                <w:szCs w:val="20"/>
                <w:color w:val="auto"/>
              </w:rPr>
            </w:pPr>
            <w:r>
              <w:rPr>
                <w:rFonts w:ascii="Arial" w:cs="Arial" w:eastAsia="Arial" w:hAnsi="Arial"/>
                <w:sz w:val="14"/>
                <w:szCs w:val="14"/>
                <w:b w:val="1"/>
                <w:bCs w:val="1"/>
                <w:color w:val="auto"/>
              </w:rPr>
              <w:t>Exercise Price</w:t>
            </w:r>
          </w:p>
        </w:tc>
        <w:tc>
          <w:tcPr>
            <w:tcW w:w="120" w:type="dxa"/>
            <w:vAlign w:val="bottom"/>
          </w:tcPr>
          <w:p>
            <w:pPr>
              <w:spacing w:after="0"/>
              <w:rPr>
                <w:sz w:val="15"/>
                <w:szCs w:val="15"/>
                <w:color w:val="auto"/>
              </w:rPr>
            </w:pPr>
          </w:p>
        </w:tc>
        <w:tc>
          <w:tcPr>
            <w:tcW w:w="1520" w:type="dxa"/>
            <w:vAlign w:val="bottom"/>
            <w:tcBorders>
              <w:bottom w:val="single" w:sz="8" w:color="auto"/>
            </w:tcBorders>
          </w:tcPr>
          <w:p>
            <w:pPr>
              <w:jc w:val="center"/>
              <w:ind w:right="23"/>
              <w:spacing w:after="0"/>
              <w:rPr>
                <w:sz w:val="20"/>
                <w:szCs w:val="20"/>
                <w:color w:val="auto"/>
              </w:rPr>
            </w:pPr>
            <w:r>
              <w:rPr>
                <w:rFonts w:ascii="Arial" w:cs="Arial" w:eastAsia="Arial" w:hAnsi="Arial"/>
                <w:sz w:val="14"/>
                <w:szCs w:val="14"/>
                <w:b w:val="1"/>
                <w:bCs w:val="1"/>
                <w:color w:val="auto"/>
              </w:rPr>
              <w:t>Contractual Term</w:t>
            </w:r>
          </w:p>
        </w:tc>
        <w:tc>
          <w:tcPr>
            <w:tcW w:w="14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380" w:type="dxa"/>
            <w:vAlign w:val="bottom"/>
            <w:tcBorders>
              <w:bottom w:val="single" w:sz="8" w:color="auto"/>
            </w:tcBorders>
          </w:tcPr>
          <w:p>
            <w:pPr>
              <w:jc w:val="center"/>
              <w:ind w:right="201"/>
              <w:spacing w:after="0"/>
              <w:rPr>
                <w:sz w:val="20"/>
                <w:szCs w:val="20"/>
                <w:color w:val="auto"/>
              </w:rPr>
            </w:pPr>
            <w:r>
              <w:rPr>
                <w:rFonts w:ascii="Arial" w:cs="Arial" w:eastAsia="Arial" w:hAnsi="Arial"/>
                <w:sz w:val="14"/>
                <w:szCs w:val="14"/>
                <w:b w:val="1"/>
                <w:bCs w:val="1"/>
                <w:color w:val="auto"/>
              </w:rPr>
              <w:t>Intrinsic Value</w:t>
            </w:r>
          </w:p>
        </w:tc>
      </w:tr>
      <w:tr>
        <w:trPr>
          <w:trHeight w:val="210"/>
        </w:trPr>
        <w:tc>
          <w:tcPr>
            <w:tcW w:w="5120" w:type="dxa"/>
            <w:vAlign w:val="bottom"/>
          </w:tcPr>
          <w:p>
            <w:pPr>
              <w:spacing w:after="0"/>
              <w:rPr>
                <w:sz w:val="18"/>
                <w:szCs w:val="18"/>
                <w:color w:val="auto"/>
              </w:rPr>
            </w:pPr>
          </w:p>
        </w:tc>
        <w:tc>
          <w:tcPr>
            <w:tcW w:w="1540" w:type="dxa"/>
            <w:vAlign w:val="bottom"/>
            <w:gridSpan w:val="2"/>
          </w:tcPr>
          <w:p>
            <w:pPr>
              <w:jc w:val="right"/>
              <w:ind w:right="400"/>
              <w:spacing w:after="0"/>
              <w:rPr>
                <w:sz w:val="20"/>
                <w:szCs w:val="20"/>
                <w:color w:val="auto"/>
              </w:rPr>
            </w:pPr>
            <w:r>
              <w:rPr>
                <w:rFonts w:ascii="Arial" w:cs="Arial" w:eastAsia="Arial" w:hAnsi="Arial"/>
                <w:sz w:val="14"/>
                <w:szCs w:val="14"/>
                <w:b w:val="1"/>
                <w:bCs w:val="1"/>
                <w:color w:val="auto"/>
              </w:rPr>
              <w:t>(in thousands)</w:t>
            </w:r>
          </w:p>
        </w:tc>
        <w:tc>
          <w:tcPr>
            <w:tcW w:w="1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20" w:type="dxa"/>
            <w:vAlign w:val="bottom"/>
          </w:tcPr>
          <w:p>
            <w:pPr>
              <w:jc w:val="center"/>
              <w:ind w:right="43"/>
              <w:spacing w:after="0"/>
              <w:rPr>
                <w:sz w:val="20"/>
                <w:szCs w:val="20"/>
                <w:color w:val="auto"/>
              </w:rPr>
            </w:pPr>
            <w:r>
              <w:rPr>
                <w:rFonts w:ascii="Arial" w:cs="Arial" w:eastAsia="Arial" w:hAnsi="Arial"/>
                <w:sz w:val="14"/>
                <w:szCs w:val="14"/>
                <w:b w:val="1"/>
                <w:bCs w:val="1"/>
                <w:color w:val="auto"/>
              </w:rPr>
              <w:t>(in years)</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80" w:type="dxa"/>
            <w:vAlign w:val="bottom"/>
          </w:tcPr>
          <w:p>
            <w:pPr>
              <w:jc w:val="center"/>
              <w:ind w:right="181"/>
              <w:spacing w:after="0"/>
              <w:rPr>
                <w:sz w:val="20"/>
                <w:szCs w:val="20"/>
                <w:color w:val="auto"/>
              </w:rPr>
            </w:pPr>
            <w:r>
              <w:rPr>
                <w:rFonts w:ascii="Arial" w:cs="Arial" w:eastAsia="Arial" w:hAnsi="Arial"/>
                <w:sz w:val="14"/>
                <w:szCs w:val="14"/>
                <w:b w:val="1"/>
                <w:bCs w:val="1"/>
                <w:color w:val="auto"/>
              </w:rPr>
              <w:t>(in thousands)</w:t>
            </w:r>
          </w:p>
        </w:tc>
      </w:tr>
      <w:tr>
        <w:trPr>
          <w:trHeight w:val="216"/>
        </w:trPr>
        <w:tc>
          <w:tcPr>
            <w:tcW w:w="5120" w:type="dxa"/>
            <w:vAlign w:val="bottom"/>
            <w:shd w:val="clear" w:color="auto" w:fill="CFF0FC"/>
          </w:tcPr>
          <w:p>
            <w:pPr>
              <w:spacing w:after="0"/>
              <w:rPr>
                <w:sz w:val="20"/>
                <w:szCs w:val="20"/>
                <w:color w:val="auto"/>
              </w:rPr>
            </w:pPr>
            <w:r>
              <w:rPr>
                <w:rFonts w:ascii="Arial" w:cs="Arial" w:eastAsia="Arial" w:hAnsi="Arial"/>
                <w:sz w:val="18"/>
                <w:szCs w:val="18"/>
                <w:color w:val="auto"/>
              </w:rPr>
              <w:t>Outstanding at December 31, 2018</w:t>
            </w: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3,820</w:t>
            </w:r>
          </w:p>
        </w:tc>
        <w:tc>
          <w:tcPr>
            <w:tcW w:w="240" w:type="dxa"/>
            <w:vAlign w:val="bottom"/>
            <w:shd w:val="clear" w:color="auto" w:fill="CFF0FC"/>
          </w:tcPr>
          <w:p>
            <w:pPr>
              <w:spacing w:after="0"/>
              <w:rPr>
                <w:sz w:val="18"/>
                <w:szCs w:val="18"/>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shd w:val="clear" w:color="auto" w:fill="CFF0FC"/>
          </w:tcPr>
          <w:p>
            <w:pPr>
              <w:jc w:val="right"/>
              <w:ind w:right="56"/>
              <w:spacing w:after="0"/>
              <w:rPr>
                <w:sz w:val="20"/>
                <w:szCs w:val="20"/>
                <w:color w:val="auto"/>
              </w:rPr>
            </w:pPr>
            <w:r>
              <w:rPr>
                <w:rFonts w:ascii="Arial" w:cs="Arial" w:eastAsia="Arial" w:hAnsi="Arial"/>
                <w:sz w:val="18"/>
                <w:szCs w:val="18"/>
                <w:color w:val="auto"/>
              </w:rPr>
              <w:t>21.85</w:t>
            </w:r>
          </w:p>
        </w:tc>
        <w:tc>
          <w:tcPr>
            <w:tcW w:w="120" w:type="dxa"/>
            <w:vAlign w:val="bottom"/>
            <w:shd w:val="clear" w:color="auto" w:fill="CFF0FC"/>
          </w:tcPr>
          <w:p>
            <w:pPr>
              <w:spacing w:after="0"/>
              <w:rPr>
                <w:sz w:val="18"/>
                <w:szCs w:val="18"/>
                <w:color w:val="auto"/>
              </w:rPr>
            </w:pPr>
          </w:p>
        </w:tc>
        <w:tc>
          <w:tcPr>
            <w:tcW w:w="1520" w:type="dxa"/>
            <w:vAlign w:val="bottom"/>
            <w:shd w:val="clear" w:color="auto" w:fill="CFF0FC"/>
          </w:tcPr>
          <w:p>
            <w:pPr>
              <w:jc w:val="right"/>
              <w:ind w:right="43"/>
              <w:spacing w:after="0"/>
              <w:rPr>
                <w:sz w:val="20"/>
                <w:szCs w:val="20"/>
                <w:color w:val="auto"/>
              </w:rPr>
            </w:pPr>
            <w:r>
              <w:rPr>
                <w:rFonts w:ascii="Arial" w:cs="Arial" w:eastAsia="Arial" w:hAnsi="Arial"/>
                <w:sz w:val="18"/>
                <w:szCs w:val="18"/>
                <w:color w:val="auto"/>
              </w:rPr>
              <w:t>7.5</w:t>
            </w:r>
          </w:p>
        </w:tc>
        <w:tc>
          <w:tcPr>
            <w:tcW w:w="28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w:t>
            </w:r>
          </w:p>
        </w:tc>
        <w:tc>
          <w:tcPr>
            <w:tcW w:w="1380" w:type="dxa"/>
            <w:vAlign w:val="bottom"/>
            <w:shd w:val="clear" w:color="auto" w:fill="CFF0FC"/>
          </w:tcPr>
          <w:p>
            <w:pPr>
              <w:jc w:val="right"/>
              <w:ind w:right="41"/>
              <w:spacing w:after="0"/>
              <w:rPr>
                <w:sz w:val="20"/>
                <w:szCs w:val="20"/>
                <w:color w:val="auto"/>
              </w:rPr>
            </w:pPr>
            <w:r>
              <w:rPr>
                <w:rFonts w:ascii="Arial" w:cs="Arial" w:eastAsia="Arial" w:hAnsi="Arial"/>
                <w:sz w:val="18"/>
                <w:szCs w:val="18"/>
                <w:color w:val="auto"/>
              </w:rPr>
              <w:t>75,287</w:t>
            </w:r>
          </w:p>
        </w:tc>
      </w:tr>
      <w:tr>
        <w:trPr>
          <w:trHeight w:val="216"/>
        </w:trPr>
        <w:tc>
          <w:tcPr>
            <w:tcW w:w="5120" w:type="dxa"/>
            <w:vAlign w:val="bottom"/>
          </w:tcPr>
          <w:p>
            <w:pPr>
              <w:ind w:left="140"/>
              <w:spacing w:after="0"/>
              <w:rPr>
                <w:sz w:val="20"/>
                <w:szCs w:val="20"/>
                <w:color w:val="auto"/>
              </w:rPr>
            </w:pPr>
            <w:r>
              <w:rPr>
                <w:rFonts w:ascii="Arial" w:cs="Arial" w:eastAsia="Arial" w:hAnsi="Arial"/>
                <w:sz w:val="18"/>
                <w:szCs w:val="18"/>
                <w:color w:val="auto"/>
              </w:rPr>
              <w:t>Granted</w:t>
            </w:r>
          </w:p>
        </w:tc>
        <w:tc>
          <w:tcPr>
            <w:tcW w:w="1300" w:type="dxa"/>
            <w:vAlign w:val="bottom"/>
          </w:tcPr>
          <w:p>
            <w:pPr>
              <w:jc w:val="right"/>
              <w:spacing w:after="0"/>
              <w:rPr>
                <w:sz w:val="20"/>
                <w:szCs w:val="20"/>
                <w:color w:val="auto"/>
              </w:rPr>
            </w:pPr>
            <w:r>
              <w:rPr>
                <w:rFonts w:ascii="Arial" w:cs="Arial" w:eastAsia="Arial" w:hAnsi="Arial"/>
                <w:sz w:val="18"/>
                <w:szCs w:val="18"/>
                <w:color w:val="auto"/>
              </w:rPr>
              <w:t>480</w:t>
            </w:r>
          </w:p>
        </w:tc>
        <w:tc>
          <w:tcPr>
            <w:tcW w:w="24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tcPr>
          <w:p>
            <w:pPr>
              <w:jc w:val="right"/>
              <w:ind w:right="56"/>
              <w:spacing w:after="0"/>
              <w:rPr>
                <w:sz w:val="20"/>
                <w:szCs w:val="20"/>
                <w:color w:val="auto"/>
              </w:rPr>
            </w:pPr>
            <w:r>
              <w:rPr>
                <w:rFonts w:ascii="Arial" w:cs="Arial" w:eastAsia="Arial" w:hAnsi="Arial"/>
                <w:sz w:val="18"/>
                <w:szCs w:val="18"/>
                <w:color w:val="auto"/>
              </w:rPr>
              <w:t>49.24</w:t>
            </w:r>
          </w:p>
        </w:tc>
        <w:tc>
          <w:tcPr>
            <w:tcW w:w="12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80" w:type="dxa"/>
            <w:vAlign w:val="bottom"/>
          </w:tcPr>
          <w:p>
            <w:pPr>
              <w:spacing w:after="0"/>
              <w:rPr>
                <w:sz w:val="18"/>
                <w:szCs w:val="18"/>
                <w:color w:val="auto"/>
              </w:rPr>
            </w:pPr>
          </w:p>
        </w:tc>
      </w:tr>
      <w:tr>
        <w:trPr>
          <w:trHeight w:val="216"/>
        </w:trPr>
        <w:tc>
          <w:tcPr>
            <w:tcW w:w="5120" w:type="dxa"/>
            <w:vAlign w:val="bottom"/>
            <w:shd w:val="clear" w:color="auto" w:fill="CFF0FC"/>
          </w:tcPr>
          <w:p>
            <w:pPr>
              <w:ind w:left="140"/>
              <w:spacing w:after="0"/>
              <w:rPr>
                <w:sz w:val="20"/>
                <w:szCs w:val="20"/>
                <w:color w:val="auto"/>
              </w:rPr>
            </w:pPr>
            <w:r>
              <w:rPr>
                <w:rFonts w:ascii="Arial" w:cs="Arial" w:eastAsia="Arial" w:hAnsi="Arial"/>
                <w:sz w:val="18"/>
                <w:szCs w:val="18"/>
                <w:color w:val="auto"/>
              </w:rPr>
              <w:t>Exercised</w:t>
            </w:r>
          </w:p>
        </w:tc>
        <w:tc>
          <w:tcPr>
            <w:tcW w:w="154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(710)</w:t>
            </w: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shd w:val="clear" w:color="auto" w:fill="CFF0FC"/>
          </w:tcPr>
          <w:p>
            <w:pPr>
              <w:jc w:val="right"/>
              <w:ind w:right="56"/>
              <w:spacing w:after="0"/>
              <w:rPr>
                <w:sz w:val="20"/>
                <w:szCs w:val="20"/>
                <w:color w:val="auto"/>
              </w:rPr>
            </w:pPr>
            <w:r>
              <w:rPr>
                <w:rFonts w:ascii="Arial" w:cs="Arial" w:eastAsia="Arial" w:hAnsi="Arial"/>
                <w:sz w:val="18"/>
                <w:szCs w:val="18"/>
                <w:color w:val="auto"/>
              </w:rPr>
              <w:t>15.44</w:t>
            </w:r>
          </w:p>
        </w:tc>
        <w:tc>
          <w:tcPr>
            <w:tcW w:w="120" w:type="dxa"/>
            <w:vAlign w:val="bottom"/>
            <w:shd w:val="clear" w:color="auto" w:fill="CFF0FC"/>
          </w:tcPr>
          <w:p>
            <w:pPr>
              <w:spacing w:after="0"/>
              <w:rPr>
                <w:sz w:val="18"/>
                <w:szCs w:val="18"/>
                <w:color w:val="auto"/>
              </w:rPr>
            </w:pPr>
          </w:p>
        </w:tc>
        <w:tc>
          <w:tcPr>
            <w:tcW w:w="15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380" w:type="dxa"/>
            <w:vAlign w:val="bottom"/>
            <w:shd w:val="clear" w:color="auto" w:fill="CFF0FC"/>
          </w:tcPr>
          <w:p>
            <w:pPr>
              <w:spacing w:after="0"/>
              <w:rPr>
                <w:sz w:val="18"/>
                <w:szCs w:val="18"/>
                <w:color w:val="auto"/>
              </w:rPr>
            </w:pPr>
          </w:p>
        </w:tc>
      </w:tr>
      <w:tr>
        <w:trPr>
          <w:trHeight w:val="216"/>
        </w:trPr>
        <w:tc>
          <w:tcPr>
            <w:tcW w:w="5120" w:type="dxa"/>
            <w:vAlign w:val="bottom"/>
          </w:tcPr>
          <w:p>
            <w:pPr>
              <w:ind w:left="140"/>
              <w:spacing w:after="0"/>
              <w:rPr>
                <w:sz w:val="20"/>
                <w:szCs w:val="20"/>
                <w:color w:val="auto"/>
              </w:rPr>
            </w:pPr>
            <w:r>
              <w:rPr>
                <w:rFonts w:ascii="Arial" w:cs="Arial" w:eastAsia="Arial" w:hAnsi="Arial"/>
                <w:sz w:val="18"/>
                <w:szCs w:val="18"/>
                <w:color w:val="auto"/>
              </w:rPr>
              <w:t>Forfeited/canceled</w:t>
            </w:r>
          </w:p>
        </w:tc>
        <w:tc>
          <w:tcPr>
            <w:tcW w:w="1540" w:type="dxa"/>
            <w:vAlign w:val="bottom"/>
            <w:gridSpan w:val="2"/>
          </w:tcPr>
          <w:p>
            <w:pPr>
              <w:jc w:val="right"/>
              <w:ind w:right="180"/>
              <w:spacing w:after="0"/>
              <w:rPr>
                <w:sz w:val="20"/>
                <w:szCs w:val="20"/>
                <w:color w:val="auto"/>
              </w:rPr>
            </w:pPr>
            <w:r>
              <w:rPr>
                <w:rFonts w:ascii="Arial" w:cs="Arial" w:eastAsia="Arial" w:hAnsi="Arial"/>
                <w:sz w:val="18"/>
                <w:szCs w:val="18"/>
                <w:color w:val="auto"/>
              </w:rPr>
              <w:t>(104)</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tcPr>
          <w:p>
            <w:pPr>
              <w:jc w:val="right"/>
              <w:ind w:right="56"/>
              <w:spacing w:after="0"/>
              <w:rPr>
                <w:sz w:val="20"/>
                <w:szCs w:val="20"/>
                <w:color w:val="auto"/>
              </w:rPr>
            </w:pPr>
            <w:r>
              <w:rPr>
                <w:rFonts w:ascii="Arial" w:cs="Arial" w:eastAsia="Arial" w:hAnsi="Arial"/>
                <w:sz w:val="18"/>
                <w:szCs w:val="18"/>
                <w:color w:val="auto"/>
              </w:rPr>
              <w:t>22.09</w:t>
            </w:r>
          </w:p>
        </w:tc>
        <w:tc>
          <w:tcPr>
            <w:tcW w:w="12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80" w:type="dxa"/>
            <w:vAlign w:val="bottom"/>
          </w:tcPr>
          <w:p>
            <w:pPr>
              <w:spacing w:after="0"/>
              <w:rPr>
                <w:sz w:val="18"/>
                <w:szCs w:val="18"/>
                <w:color w:val="auto"/>
              </w:rPr>
            </w:pPr>
          </w:p>
        </w:tc>
      </w:tr>
      <w:tr>
        <w:trPr>
          <w:trHeight w:val="210"/>
        </w:trPr>
        <w:tc>
          <w:tcPr>
            <w:tcW w:w="512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Outstanding at December 31, 2019</w:t>
            </w:r>
          </w:p>
        </w:tc>
        <w:tc>
          <w:tcPr>
            <w:tcW w:w="13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3,486</w:t>
            </w:r>
          </w:p>
        </w:tc>
        <w:tc>
          <w:tcPr>
            <w:tcW w:w="240" w:type="dxa"/>
            <w:vAlign w:val="bottom"/>
            <w:tcBorders>
              <w:top w:val="single" w:sz="8" w:color="CFF0FC"/>
              <w:bottom w:val="single" w:sz="8" w:color="CFF0FC"/>
            </w:tcBorders>
            <w:shd w:val="clear" w:color="auto" w:fill="CFF0FC"/>
          </w:tcPr>
          <w:p>
            <w:pPr>
              <w:spacing w:after="0"/>
              <w:rPr>
                <w:sz w:val="18"/>
                <w:szCs w:val="18"/>
                <w:color w:val="auto"/>
              </w:rPr>
            </w:pPr>
          </w:p>
        </w:tc>
        <w:tc>
          <w:tcPr>
            <w:tcW w:w="140" w:type="dxa"/>
            <w:vAlign w:val="bottom"/>
            <w:tcBorders>
              <w:top w:val="single" w:sz="8" w:color="CFF0FC"/>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tcBorders>
              <w:top w:val="single" w:sz="8" w:color="CFF0FC"/>
              <w:bottom w:val="single" w:sz="8" w:color="CFF0FC"/>
            </w:tcBorders>
            <w:shd w:val="clear" w:color="auto" w:fill="CFF0FC"/>
          </w:tcPr>
          <w:p>
            <w:pPr>
              <w:jc w:val="right"/>
              <w:ind w:right="56"/>
              <w:spacing w:after="0"/>
              <w:rPr>
                <w:sz w:val="20"/>
                <w:szCs w:val="20"/>
                <w:color w:val="auto"/>
              </w:rPr>
            </w:pPr>
            <w:r>
              <w:rPr>
                <w:rFonts w:ascii="Arial" w:cs="Arial" w:eastAsia="Arial" w:hAnsi="Arial"/>
                <w:sz w:val="18"/>
                <w:szCs w:val="18"/>
                <w:color w:val="auto"/>
              </w:rPr>
              <w:t>26.92</w:t>
            </w:r>
          </w:p>
        </w:tc>
        <w:tc>
          <w:tcPr>
            <w:tcW w:w="120" w:type="dxa"/>
            <w:vAlign w:val="bottom"/>
            <w:tcBorders>
              <w:top w:val="single" w:sz="8" w:color="CFF0FC"/>
              <w:bottom w:val="single" w:sz="8" w:color="CFF0FC"/>
            </w:tcBorders>
            <w:shd w:val="clear" w:color="auto" w:fill="CFF0FC"/>
          </w:tcPr>
          <w:p>
            <w:pPr>
              <w:spacing w:after="0"/>
              <w:rPr>
                <w:sz w:val="18"/>
                <w:szCs w:val="18"/>
                <w:color w:val="auto"/>
              </w:rPr>
            </w:pPr>
          </w:p>
        </w:tc>
        <w:tc>
          <w:tcPr>
            <w:tcW w:w="1520" w:type="dxa"/>
            <w:vAlign w:val="bottom"/>
            <w:tcBorders>
              <w:top w:val="single" w:sz="8" w:color="CFF0FC"/>
              <w:bottom w:val="single" w:sz="8" w:color="CFF0FC"/>
            </w:tcBorders>
            <w:shd w:val="clear" w:color="auto" w:fill="CFF0FC"/>
          </w:tcPr>
          <w:p>
            <w:pPr>
              <w:jc w:val="right"/>
              <w:ind w:right="43"/>
              <w:spacing w:after="0"/>
              <w:rPr>
                <w:sz w:val="20"/>
                <w:szCs w:val="20"/>
                <w:color w:val="auto"/>
              </w:rPr>
            </w:pPr>
            <w:r>
              <w:rPr>
                <w:rFonts w:ascii="Arial" w:cs="Arial" w:eastAsia="Arial" w:hAnsi="Arial"/>
                <w:sz w:val="18"/>
                <w:szCs w:val="18"/>
                <w:color w:val="auto"/>
              </w:rPr>
              <w:t>7.0</w:t>
            </w:r>
          </w:p>
        </w:tc>
        <w:tc>
          <w:tcPr>
            <w:tcW w:w="280" w:type="dxa"/>
            <w:vAlign w:val="bottom"/>
            <w:tcBorders>
              <w:top w:val="single" w:sz="8" w:color="CFF0FC"/>
              <w:bottom w:val="single" w:sz="8" w:color="CFF0FC"/>
            </w:tcBorders>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w:t>
            </w:r>
          </w:p>
        </w:tc>
        <w:tc>
          <w:tcPr>
            <w:tcW w:w="1380" w:type="dxa"/>
            <w:vAlign w:val="bottom"/>
            <w:tcBorders>
              <w:top w:val="single" w:sz="8" w:color="CFF0FC"/>
              <w:bottom w:val="single" w:sz="8" w:color="CFF0FC"/>
            </w:tcBorders>
            <w:shd w:val="clear" w:color="auto" w:fill="CFF0FC"/>
          </w:tcPr>
          <w:p>
            <w:pPr>
              <w:jc w:val="right"/>
              <w:ind w:right="41"/>
              <w:spacing w:after="0"/>
              <w:rPr>
                <w:sz w:val="20"/>
                <w:szCs w:val="20"/>
                <w:color w:val="auto"/>
              </w:rPr>
            </w:pPr>
            <w:r>
              <w:rPr>
                <w:rFonts w:ascii="Arial" w:cs="Arial" w:eastAsia="Arial" w:hAnsi="Arial"/>
                <w:sz w:val="18"/>
                <w:szCs w:val="18"/>
                <w:color w:val="auto"/>
              </w:rPr>
              <w:t>85,983</w:t>
            </w:r>
          </w:p>
        </w:tc>
      </w:tr>
      <w:tr>
        <w:trPr>
          <w:trHeight w:val="20"/>
        </w:trPr>
        <w:tc>
          <w:tcPr>
            <w:tcW w:w="5120" w:type="dxa"/>
            <w:vAlign w:val="bottom"/>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r>
      <w:tr>
        <w:trPr>
          <w:trHeight w:val="210"/>
        </w:trPr>
        <w:tc>
          <w:tcPr>
            <w:tcW w:w="5120" w:type="dxa"/>
            <w:vAlign w:val="bottom"/>
          </w:tcPr>
          <w:p>
            <w:pPr>
              <w:spacing w:after="0"/>
              <w:rPr>
                <w:sz w:val="20"/>
                <w:szCs w:val="20"/>
                <w:color w:val="auto"/>
              </w:rPr>
            </w:pPr>
            <w:r>
              <w:rPr>
                <w:rFonts w:ascii="Arial" w:cs="Arial" w:eastAsia="Arial" w:hAnsi="Arial"/>
                <w:sz w:val="18"/>
                <w:szCs w:val="18"/>
                <w:color w:val="auto"/>
              </w:rPr>
              <w:t>Exercisable at December 31, 2019</w:t>
            </w:r>
          </w:p>
        </w:tc>
        <w:tc>
          <w:tcPr>
            <w:tcW w:w="1300" w:type="dxa"/>
            <w:vAlign w:val="bottom"/>
          </w:tcPr>
          <w:p>
            <w:pPr>
              <w:jc w:val="right"/>
              <w:spacing w:after="0"/>
              <w:rPr>
                <w:sz w:val="20"/>
                <w:szCs w:val="20"/>
                <w:color w:val="auto"/>
              </w:rPr>
            </w:pPr>
            <w:r>
              <w:rPr>
                <w:rFonts w:ascii="Arial" w:cs="Arial" w:eastAsia="Arial" w:hAnsi="Arial"/>
                <w:sz w:val="18"/>
                <w:szCs w:val="18"/>
                <w:color w:val="auto"/>
              </w:rPr>
              <w:t>2,019</w:t>
            </w:r>
          </w:p>
        </w:tc>
        <w:tc>
          <w:tcPr>
            <w:tcW w:w="24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tcPr>
          <w:p>
            <w:pPr>
              <w:jc w:val="right"/>
              <w:ind w:right="56"/>
              <w:spacing w:after="0"/>
              <w:rPr>
                <w:sz w:val="20"/>
                <w:szCs w:val="20"/>
                <w:color w:val="auto"/>
              </w:rPr>
            </w:pPr>
            <w:r>
              <w:rPr>
                <w:rFonts w:ascii="Arial" w:cs="Arial" w:eastAsia="Arial" w:hAnsi="Arial"/>
                <w:sz w:val="18"/>
                <w:szCs w:val="18"/>
                <w:color w:val="auto"/>
              </w:rPr>
              <w:t>18.43</w:t>
            </w:r>
          </w:p>
        </w:tc>
        <w:tc>
          <w:tcPr>
            <w:tcW w:w="12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80" w:type="dxa"/>
            <w:vAlign w:val="bottom"/>
          </w:tcPr>
          <w:p>
            <w:pPr>
              <w:spacing w:after="0"/>
              <w:rPr>
                <w:sz w:val="18"/>
                <w:szCs w:val="18"/>
                <w:color w:val="auto"/>
              </w:rPr>
            </w:pPr>
          </w:p>
        </w:tc>
      </w:tr>
    </w:tbl>
    <w:p>
      <w:pPr>
        <w:spacing w:after="0" w:line="229" w:lineRule="exact"/>
        <w:rPr>
          <w:sz w:val="20"/>
          <w:szCs w:val="20"/>
          <w:color w:val="auto"/>
        </w:rPr>
      </w:pPr>
    </w:p>
    <w:p>
      <w:pPr>
        <w:ind w:right="120" w:firstLine="518"/>
        <w:spacing w:after="0" w:line="238" w:lineRule="auto"/>
        <w:rPr>
          <w:sz w:val="20"/>
          <w:szCs w:val="20"/>
          <w:color w:val="auto"/>
        </w:rPr>
      </w:pPr>
      <w:r>
        <w:rPr>
          <w:rFonts w:ascii="Arial" w:cs="Arial" w:eastAsia="Arial" w:hAnsi="Arial"/>
          <w:sz w:val="18"/>
          <w:szCs w:val="18"/>
          <w:color w:val="auto"/>
        </w:rPr>
        <w:t>The weighted average grant date fair value per share of options granted during the years ended December 31, 2019, 2018, and 2017 that contain service only vesting conditions were $ 23.40, $20.15, and $15.20, respectively. The aggregate intrinsic value of options exercised that contain service only vesting conditions during the years ended December 31, 2019, 2018, and 2017 were $25.6 million, $66.7 million, and $31.4 million, respectively. Cash received from the exercise of stock options for the years ended December 31, 2019, 2018, and 2017 was $10.6 million, $14.0 million, and $10.4 million, respectively.</w:t>
      </w:r>
    </w:p>
    <w:p>
      <w:pPr>
        <w:spacing w:after="0" w:line="203" w:lineRule="exact"/>
        <w:rPr>
          <w:sz w:val="20"/>
          <w:szCs w:val="20"/>
          <w:color w:val="auto"/>
        </w:rPr>
      </w:pPr>
    </w:p>
    <w:p>
      <w:pPr>
        <w:ind w:right="840" w:firstLine="518"/>
        <w:spacing w:after="0" w:line="246" w:lineRule="auto"/>
        <w:rPr>
          <w:sz w:val="20"/>
          <w:szCs w:val="20"/>
          <w:color w:val="auto"/>
        </w:rPr>
      </w:pPr>
      <w:r>
        <w:rPr>
          <w:rFonts w:ascii="Arial" w:cs="Arial" w:eastAsia="Arial" w:hAnsi="Arial"/>
          <w:sz w:val="18"/>
          <w:szCs w:val="18"/>
          <w:color w:val="auto"/>
        </w:rPr>
        <w:t>Unrecognized compensation expense relating to stock options that contain service only vesting conditions was $22.2 million at December 31, 2019, which is expected to be recognized over a weighted-average period of 2.5 years.</w:t>
      </w:r>
    </w:p>
    <w:p>
      <w:pPr>
        <w:spacing w:after="0" w:line="283"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Stock options with performance conditions</w:t>
      </w:r>
    </w:p>
    <w:p>
      <w:pPr>
        <w:spacing w:after="0" w:line="126" w:lineRule="exact"/>
        <w:rPr>
          <w:sz w:val="20"/>
          <w:szCs w:val="20"/>
          <w:color w:val="auto"/>
        </w:rPr>
      </w:pPr>
    </w:p>
    <w:p>
      <w:pPr>
        <w:ind w:right="20" w:firstLine="518"/>
        <w:spacing w:after="0" w:line="237" w:lineRule="auto"/>
        <w:rPr>
          <w:sz w:val="20"/>
          <w:szCs w:val="20"/>
          <w:color w:val="auto"/>
        </w:rPr>
      </w:pPr>
      <w:r>
        <w:rPr>
          <w:rFonts w:ascii="Arial" w:cs="Arial" w:eastAsia="Arial" w:hAnsi="Arial"/>
          <w:sz w:val="18"/>
          <w:szCs w:val="18"/>
          <w:color w:val="auto"/>
        </w:rPr>
        <w:t>In October 2016, the Company granted options to purchase 682,800 shares of common stock at an exercise price of $14.00 per share to two executive officers that vest upon meeting certain performance conditions and continued service. The performance conditions include meeting yearly cash flow targets and cumulative annual recurring revenue targets through 2019. If each yearly cash flow target is met through 2019, but the full cumulative annual recurring target through 2019 is not met, the executive officers are still able to vest in the award if an additional cash flow target for 2020 and a cumulative annual recurring revenue target through 2020 are achieved. The cash flow performance targets for the final year were set during the quarter ended March 31, 2019, resulting in a grant date being established. The total fair value of the awards at grant date was approximately $24.0 million. At December 31, 2019, the Company has determined that the</w:t>
      </w: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272020" cy="425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657" w:right="239" w:bottom="1440" w:gutter="0" w:footer="0" w:header="0"/>
        </w:sectPr>
      </w:pPr>
    </w:p>
    <w:bookmarkStart w:id="87" w:name="page88"/>
    <w:bookmarkEnd w:id="87"/>
    <w:p>
      <w:pPr>
        <w:ind w:right="120"/>
        <w:spacing w:after="0" w:line="238" w:lineRule="auto"/>
        <w:rPr>
          <w:sz w:val="20"/>
          <w:szCs w:val="20"/>
          <w:color w:val="auto"/>
        </w:rPr>
      </w:pPr>
      <w:r>
        <w:rPr>
          <w:rFonts w:ascii="Arial" w:cs="Arial" w:eastAsia="Arial" w:hAnsi="Arial"/>
          <w:sz w:val="18"/>
          <w:szCs w:val="18"/>
          <w:color w:val="auto"/>
        </w:rPr>
        <w:t>achievement of the performance targets is not probable and, accordingly, no stock-based compensation expense has been recorded for these awards. To the extent that the awards become probable of vesting prior to the grant date, the amount of compensation cost to be recognized will be based on the then fair value of the options. The fair value of the options will be remeasured each period until a grant date has been established. Accordingly, stock-based compensation cost, if any, to be recognized will depend on the value of the stock options when all performance conditions have been set and whether the performance conditions are probable of being achieved.</w:t>
      </w:r>
    </w:p>
    <w:p>
      <w:pPr>
        <w:spacing w:after="0" w:line="289"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Restricted stock units</w:t>
      </w:r>
    </w:p>
    <w:p>
      <w:pPr>
        <w:spacing w:after="0" w:line="126"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following table summarizes activity for restricted stock units:</w:t>
      </w:r>
    </w:p>
    <w:p>
      <w:pPr>
        <w:spacing w:after="0" w:line="25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18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820" w:type="dxa"/>
            <w:vAlign w:val="bottom"/>
          </w:tcPr>
          <w:p>
            <w:pPr>
              <w:jc w:val="center"/>
              <w:ind w:right="257"/>
              <w:spacing w:after="0"/>
              <w:rPr>
                <w:sz w:val="20"/>
                <w:szCs w:val="20"/>
                <w:color w:val="auto"/>
              </w:rPr>
            </w:pPr>
            <w:r>
              <w:rPr>
                <w:rFonts w:ascii="Arial" w:cs="Arial" w:eastAsia="Arial" w:hAnsi="Arial"/>
                <w:sz w:val="14"/>
                <w:szCs w:val="14"/>
                <w:b w:val="1"/>
                <w:bCs w:val="1"/>
                <w:color w:val="auto"/>
              </w:rPr>
              <w:t>Weighted-Average</w:t>
            </w:r>
          </w:p>
        </w:tc>
      </w:tr>
      <w:tr>
        <w:trPr>
          <w:trHeight w:val="216"/>
        </w:trPr>
        <w:tc>
          <w:tcPr>
            <w:tcW w:w="7180" w:type="dxa"/>
            <w:vAlign w:val="bottom"/>
          </w:tcPr>
          <w:p>
            <w:pPr>
              <w:spacing w:after="0"/>
              <w:rPr>
                <w:sz w:val="18"/>
                <w:szCs w:val="18"/>
                <w:color w:val="auto"/>
              </w:rPr>
            </w:pPr>
          </w:p>
        </w:tc>
        <w:tc>
          <w:tcPr>
            <w:tcW w:w="1440" w:type="dxa"/>
            <w:vAlign w:val="bottom"/>
          </w:tcPr>
          <w:p>
            <w:pPr>
              <w:jc w:val="center"/>
              <w:ind w:left="388"/>
              <w:spacing w:after="0"/>
              <w:rPr>
                <w:sz w:val="20"/>
                <w:szCs w:val="20"/>
                <w:color w:val="auto"/>
              </w:rPr>
            </w:pPr>
            <w:r>
              <w:rPr>
                <w:rFonts w:ascii="Arial" w:cs="Arial" w:eastAsia="Arial" w:hAnsi="Arial"/>
                <w:sz w:val="14"/>
                <w:szCs w:val="14"/>
                <w:b w:val="1"/>
                <w:bCs w:val="1"/>
                <w:color w:val="auto"/>
              </w:rPr>
              <w:t>Restricted</w:t>
            </w:r>
          </w:p>
        </w:tc>
        <w:tc>
          <w:tcPr>
            <w:tcW w:w="4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20" w:type="dxa"/>
            <w:vAlign w:val="bottom"/>
          </w:tcPr>
          <w:p>
            <w:pPr>
              <w:jc w:val="center"/>
              <w:ind w:right="257"/>
              <w:spacing w:after="0"/>
              <w:rPr>
                <w:sz w:val="20"/>
                <w:szCs w:val="20"/>
                <w:color w:val="auto"/>
              </w:rPr>
            </w:pPr>
            <w:r>
              <w:rPr>
                <w:rFonts w:ascii="Arial" w:cs="Arial" w:eastAsia="Arial" w:hAnsi="Arial"/>
                <w:sz w:val="14"/>
                <w:szCs w:val="14"/>
                <w:b w:val="1"/>
                <w:bCs w:val="1"/>
                <w:color w:val="auto"/>
              </w:rPr>
              <w:t>Grant Date</w:t>
            </w:r>
          </w:p>
        </w:tc>
      </w:tr>
      <w:tr>
        <w:trPr>
          <w:trHeight w:val="201"/>
        </w:trPr>
        <w:tc>
          <w:tcPr>
            <w:tcW w:w="7180" w:type="dxa"/>
            <w:vAlign w:val="bottom"/>
          </w:tcPr>
          <w:p>
            <w:pPr>
              <w:spacing w:after="0"/>
              <w:rPr>
                <w:sz w:val="17"/>
                <w:szCs w:val="17"/>
                <w:color w:val="auto"/>
              </w:rPr>
            </w:pPr>
          </w:p>
        </w:tc>
        <w:tc>
          <w:tcPr>
            <w:tcW w:w="1440" w:type="dxa"/>
            <w:vAlign w:val="bottom"/>
            <w:tcBorders>
              <w:bottom w:val="single" w:sz="8" w:color="auto"/>
            </w:tcBorders>
          </w:tcPr>
          <w:p>
            <w:pPr>
              <w:jc w:val="center"/>
              <w:ind w:left="368"/>
              <w:spacing w:after="0"/>
              <w:rPr>
                <w:sz w:val="20"/>
                <w:szCs w:val="20"/>
                <w:color w:val="auto"/>
              </w:rPr>
            </w:pPr>
            <w:r>
              <w:rPr>
                <w:rFonts w:ascii="Arial" w:cs="Arial" w:eastAsia="Arial" w:hAnsi="Arial"/>
                <w:sz w:val="14"/>
                <w:szCs w:val="14"/>
                <w:b w:val="1"/>
                <w:bCs w:val="1"/>
                <w:color w:val="auto"/>
              </w:rPr>
              <w:t>Stock Units</w:t>
            </w:r>
          </w:p>
        </w:tc>
        <w:tc>
          <w:tcPr>
            <w:tcW w:w="460" w:type="dxa"/>
            <w:vAlign w:val="bottom"/>
            <w:tcBorders>
              <w:bottom w:val="single" w:sz="8" w:color="auto"/>
            </w:tcBorders>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820" w:type="dxa"/>
            <w:vAlign w:val="bottom"/>
            <w:tcBorders>
              <w:bottom w:val="single" w:sz="8" w:color="auto"/>
            </w:tcBorders>
          </w:tcPr>
          <w:p>
            <w:pPr>
              <w:jc w:val="center"/>
              <w:ind w:right="257"/>
              <w:spacing w:after="0"/>
              <w:rPr>
                <w:sz w:val="20"/>
                <w:szCs w:val="20"/>
                <w:color w:val="auto"/>
              </w:rPr>
            </w:pPr>
            <w:r>
              <w:rPr>
                <w:rFonts w:ascii="Arial" w:cs="Arial" w:eastAsia="Arial" w:hAnsi="Arial"/>
                <w:sz w:val="14"/>
                <w:szCs w:val="14"/>
                <w:b w:val="1"/>
                <w:bCs w:val="1"/>
                <w:color w:val="auto"/>
              </w:rPr>
              <w:t>Fair Value</w:t>
            </w:r>
          </w:p>
        </w:tc>
      </w:tr>
      <w:tr>
        <w:trPr>
          <w:trHeight w:val="210"/>
        </w:trPr>
        <w:tc>
          <w:tcPr>
            <w:tcW w:w="7180" w:type="dxa"/>
            <w:vAlign w:val="bottom"/>
          </w:tcPr>
          <w:p>
            <w:pPr>
              <w:spacing w:after="0"/>
              <w:rPr>
                <w:sz w:val="18"/>
                <w:szCs w:val="18"/>
                <w:color w:val="auto"/>
              </w:rPr>
            </w:pPr>
          </w:p>
        </w:tc>
        <w:tc>
          <w:tcPr>
            <w:tcW w:w="1440" w:type="dxa"/>
            <w:vAlign w:val="bottom"/>
          </w:tcPr>
          <w:p>
            <w:pPr>
              <w:jc w:val="center"/>
              <w:ind w:left="368"/>
              <w:spacing w:after="0"/>
              <w:rPr>
                <w:sz w:val="20"/>
                <w:szCs w:val="20"/>
                <w:color w:val="auto"/>
              </w:rPr>
            </w:pPr>
            <w:r>
              <w:rPr>
                <w:rFonts w:ascii="Arial" w:cs="Arial" w:eastAsia="Arial" w:hAnsi="Arial"/>
                <w:sz w:val="14"/>
                <w:szCs w:val="14"/>
                <w:b w:val="1"/>
                <w:bCs w:val="1"/>
                <w:color w:val="auto"/>
              </w:rPr>
              <w:t>(in thousands)</w:t>
            </w:r>
          </w:p>
        </w:tc>
        <w:tc>
          <w:tcPr>
            <w:tcW w:w="4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20" w:type="dxa"/>
            <w:vAlign w:val="bottom"/>
          </w:tcPr>
          <w:p>
            <w:pPr>
              <w:spacing w:after="0"/>
              <w:rPr>
                <w:sz w:val="18"/>
                <w:szCs w:val="18"/>
                <w:color w:val="auto"/>
              </w:rPr>
            </w:pPr>
          </w:p>
        </w:tc>
      </w:tr>
      <w:tr>
        <w:trPr>
          <w:trHeight w:val="216"/>
        </w:trPr>
        <w:tc>
          <w:tcPr>
            <w:tcW w:w="862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Nonvested at December 31, 2018</w:t>
            </w:r>
          </w:p>
        </w:tc>
        <w:tc>
          <w:tcPr>
            <w:tcW w:w="4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7"/>
              </w:rPr>
              <w:t>1,300</w:t>
            </w:r>
          </w:p>
        </w:tc>
        <w:tc>
          <w:tcPr>
            <w:tcW w:w="180" w:type="dxa"/>
            <w:vAlign w:val="bottom"/>
            <w:shd w:val="clear" w:color="auto" w:fill="CFF0FC"/>
          </w:tcPr>
          <w:p>
            <w:pPr>
              <w:spacing w:after="0"/>
              <w:rPr>
                <w:sz w:val="18"/>
                <w:szCs w:val="18"/>
                <w:color w:val="auto"/>
              </w:rPr>
            </w:pPr>
          </w:p>
        </w:tc>
        <w:tc>
          <w:tcPr>
            <w:tcW w:w="34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1820" w:type="dxa"/>
            <w:vAlign w:val="bottom"/>
            <w:shd w:val="clear" w:color="auto" w:fill="CFF0FC"/>
          </w:tcPr>
          <w:p>
            <w:pPr>
              <w:jc w:val="right"/>
              <w:ind w:right="37"/>
              <w:spacing w:after="0"/>
              <w:rPr>
                <w:sz w:val="20"/>
                <w:szCs w:val="20"/>
                <w:color w:val="auto"/>
              </w:rPr>
            </w:pPr>
            <w:r>
              <w:rPr>
                <w:rFonts w:ascii="Arial" w:cs="Arial" w:eastAsia="Arial" w:hAnsi="Arial"/>
                <w:sz w:val="18"/>
                <w:szCs w:val="18"/>
                <w:color w:val="auto"/>
              </w:rPr>
              <w:t>42.29</w:t>
            </w:r>
          </w:p>
        </w:tc>
      </w:tr>
      <w:tr>
        <w:trPr>
          <w:trHeight w:val="216"/>
        </w:trPr>
        <w:tc>
          <w:tcPr>
            <w:tcW w:w="8620" w:type="dxa"/>
            <w:vAlign w:val="bottom"/>
            <w:gridSpan w:val="2"/>
          </w:tcPr>
          <w:p>
            <w:pPr>
              <w:ind w:left="140"/>
              <w:spacing w:after="0"/>
              <w:rPr>
                <w:sz w:val="20"/>
                <w:szCs w:val="20"/>
                <w:color w:val="auto"/>
              </w:rPr>
            </w:pPr>
            <w:r>
              <w:rPr>
                <w:rFonts w:ascii="Arial" w:cs="Arial" w:eastAsia="Arial" w:hAnsi="Arial"/>
                <w:sz w:val="18"/>
                <w:szCs w:val="18"/>
                <w:color w:val="auto"/>
              </w:rPr>
              <w:t>Granted</w:t>
            </w:r>
          </w:p>
        </w:tc>
        <w:tc>
          <w:tcPr>
            <w:tcW w:w="460" w:type="dxa"/>
            <w:vAlign w:val="bottom"/>
          </w:tcPr>
          <w:p>
            <w:pPr>
              <w:jc w:val="right"/>
              <w:spacing w:after="0"/>
              <w:rPr>
                <w:sz w:val="20"/>
                <w:szCs w:val="20"/>
                <w:color w:val="auto"/>
              </w:rPr>
            </w:pPr>
            <w:r>
              <w:rPr>
                <w:rFonts w:ascii="Arial" w:cs="Arial" w:eastAsia="Arial" w:hAnsi="Arial"/>
                <w:sz w:val="18"/>
                <w:szCs w:val="18"/>
                <w:color w:val="auto"/>
              </w:rPr>
              <w:t>961</w:t>
            </w:r>
          </w:p>
        </w:tc>
        <w:tc>
          <w:tcPr>
            <w:tcW w:w="180" w:type="dxa"/>
            <w:vAlign w:val="bottom"/>
          </w:tcPr>
          <w:p>
            <w:pPr>
              <w:spacing w:after="0"/>
              <w:rPr>
                <w:sz w:val="18"/>
                <w:szCs w:val="18"/>
                <w:color w:val="auto"/>
              </w:rPr>
            </w:pPr>
          </w:p>
        </w:tc>
        <w:tc>
          <w:tcPr>
            <w:tcW w:w="3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820" w:type="dxa"/>
            <w:vAlign w:val="bottom"/>
          </w:tcPr>
          <w:p>
            <w:pPr>
              <w:jc w:val="right"/>
              <w:ind w:right="37"/>
              <w:spacing w:after="0"/>
              <w:rPr>
                <w:sz w:val="20"/>
                <w:szCs w:val="20"/>
                <w:color w:val="auto"/>
              </w:rPr>
            </w:pPr>
            <w:r>
              <w:rPr>
                <w:rFonts w:ascii="Arial" w:cs="Arial" w:eastAsia="Arial" w:hAnsi="Arial"/>
                <w:sz w:val="18"/>
                <w:szCs w:val="18"/>
                <w:color w:val="auto"/>
              </w:rPr>
              <w:t>49.55</w:t>
            </w:r>
          </w:p>
        </w:tc>
      </w:tr>
      <w:tr>
        <w:trPr>
          <w:trHeight w:val="216"/>
        </w:trPr>
        <w:tc>
          <w:tcPr>
            <w:tcW w:w="8620" w:type="dxa"/>
            <w:vAlign w:val="bottom"/>
            <w:gridSpan w:val="2"/>
            <w:shd w:val="clear" w:color="auto" w:fill="CFF0FC"/>
          </w:tcPr>
          <w:p>
            <w:pPr>
              <w:ind w:left="140"/>
              <w:spacing w:after="0"/>
              <w:rPr>
                <w:sz w:val="20"/>
                <w:szCs w:val="20"/>
                <w:color w:val="auto"/>
              </w:rPr>
            </w:pPr>
            <w:r>
              <w:rPr>
                <w:rFonts w:ascii="Arial" w:cs="Arial" w:eastAsia="Arial" w:hAnsi="Arial"/>
                <w:sz w:val="18"/>
                <w:szCs w:val="18"/>
                <w:color w:val="auto"/>
              </w:rPr>
              <w:t>Vested</w:t>
            </w:r>
          </w:p>
        </w:tc>
        <w:tc>
          <w:tcPr>
            <w:tcW w:w="64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(474)</w:t>
            </w:r>
          </w:p>
        </w:tc>
        <w:tc>
          <w:tcPr>
            <w:tcW w:w="34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1820" w:type="dxa"/>
            <w:vAlign w:val="bottom"/>
            <w:shd w:val="clear" w:color="auto" w:fill="CFF0FC"/>
          </w:tcPr>
          <w:p>
            <w:pPr>
              <w:jc w:val="right"/>
              <w:ind w:right="37"/>
              <w:spacing w:after="0"/>
              <w:rPr>
                <w:sz w:val="20"/>
                <w:szCs w:val="20"/>
                <w:color w:val="auto"/>
              </w:rPr>
            </w:pPr>
            <w:r>
              <w:rPr>
                <w:rFonts w:ascii="Arial" w:cs="Arial" w:eastAsia="Arial" w:hAnsi="Arial"/>
                <w:sz w:val="18"/>
                <w:szCs w:val="18"/>
                <w:color w:val="auto"/>
              </w:rPr>
              <w:t>42.80</w:t>
            </w:r>
          </w:p>
        </w:tc>
      </w:tr>
      <w:tr>
        <w:trPr>
          <w:trHeight w:val="216"/>
        </w:trPr>
        <w:tc>
          <w:tcPr>
            <w:tcW w:w="7180" w:type="dxa"/>
            <w:vAlign w:val="bottom"/>
          </w:tcPr>
          <w:p>
            <w:pPr>
              <w:ind w:left="140"/>
              <w:spacing w:after="0"/>
              <w:rPr>
                <w:sz w:val="20"/>
                <w:szCs w:val="20"/>
                <w:color w:val="auto"/>
              </w:rPr>
            </w:pPr>
            <w:r>
              <w:rPr>
                <w:rFonts w:ascii="Arial" w:cs="Arial" w:eastAsia="Arial" w:hAnsi="Arial"/>
                <w:sz w:val="18"/>
                <w:szCs w:val="18"/>
                <w:color w:val="auto"/>
              </w:rPr>
              <w:t>Forfeited/canceled</w:t>
            </w:r>
          </w:p>
        </w:tc>
        <w:tc>
          <w:tcPr>
            <w:tcW w:w="1440" w:type="dxa"/>
            <w:vAlign w:val="bottom"/>
          </w:tcPr>
          <w:p>
            <w:pPr>
              <w:spacing w:after="0"/>
              <w:rPr>
                <w:sz w:val="18"/>
                <w:szCs w:val="18"/>
                <w:color w:val="auto"/>
              </w:rPr>
            </w:pPr>
          </w:p>
        </w:tc>
        <w:tc>
          <w:tcPr>
            <w:tcW w:w="640" w:type="dxa"/>
            <w:vAlign w:val="bottom"/>
            <w:gridSpan w:val="2"/>
          </w:tcPr>
          <w:p>
            <w:pPr>
              <w:jc w:val="right"/>
              <w:ind w:right="120"/>
              <w:spacing w:after="0"/>
              <w:rPr>
                <w:sz w:val="20"/>
                <w:szCs w:val="20"/>
                <w:color w:val="auto"/>
              </w:rPr>
            </w:pPr>
            <w:r>
              <w:rPr>
                <w:rFonts w:ascii="Arial" w:cs="Arial" w:eastAsia="Arial" w:hAnsi="Arial"/>
                <w:sz w:val="18"/>
                <w:szCs w:val="18"/>
                <w:color w:val="auto"/>
              </w:rPr>
              <w:t>(133)</w:t>
            </w:r>
          </w:p>
        </w:tc>
        <w:tc>
          <w:tcPr>
            <w:tcW w:w="3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820" w:type="dxa"/>
            <w:vAlign w:val="bottom"/>
          </w:tcPr>
          <w:p>
            <w:pPr>
              <w:jc w:val="right"/>
              <w:ind w:right="37"/>
              <w:spacing w:after="0"/>
              <w:rPr>
                <w:sz w:val="20"/>
                <w:szCs w:val="20"/>
                <w:color w:val="auto"/>
              </w:rPr>
            </w:pPr>
            <w:r>
              <w:rPr>
                <w:rFonts w:ascii="Arial" w:cs="Arial" w:eastAsia="Arial" w:hAnsi="Arial"/>
                <w:sz w:val="18"/>
                <w:szCs w:val="18"/>
                <w:color w:val="auto"/>
              </w:rPr>
              <w:t>46.08</w:t>
            </w:r>
          </w:p>
        </w:tc>
      </w:tr>
      <w:tr>
        <w:trPr>
          <w:trHeight w:val="210"/>
        </w:trPr>
        <w:tc>
          <w:tcPr>
            <w:tcW w:w="718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Nonvested at December 31, 2019</w:t>
            </w:r>
          </w:p>
        </w:tc>
        <w:tc>
          <w:tcPr>
            <w:tcW w:w="1440" w:type="dxa"/>
            <w:vAlign w:val="bottom"/>
            <w:tcBorders>
              <w:top w:val="single" w:sz="8" w:color="auto"/>
              <w:bottom w:val="single" w:sz="8" w:color="auto"/>
            </w:tcBorders>
            <w:shd w:val="clear" w:color="auto" w:fill="CFF0FC"/>
          </w:tcPr>
          <w:p>
            <w:pPr>
              <w:spacing w:after="0"/>
              <w:rPr>
                <w:sz w:val="18"/>
                <w:szCs w:val="18"/>
                <w:color w:val="auto"/>
              </w:rPr>
            </w:pPr>
          </w:p>
        </w:tc>
        <w:tc>
          <w:tcPr>
            <w:tcW w:w="4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7"/>
              </w:rPr>
              <w:t>1,654</w:t>
            </w:r>
          </w:p>
        </w:tc>
        <w:tc>
          <w:tcPr>
            <w:tcW w:w="180" w:type="dxa"/>
            <w:vAlign w:val="bottom"/>
            <w:tcBorders>
              <w:top w:val="single" w:sz="8" w:color="CFF0FC"/>
              <w:bottom w:val="single" w:sz="8" w:color="CFF0FC"/>
            </w:tcBorders>
            <w:shd w:val="clear" w:color="auto" w:fill="CFF0FC"/>
          </w:tcPr>
          <w:p>
            <w:pPr>
              <w:spacing w:after="0"/>
              <w:rPr>
                <w:sz w:val="18"/>
                <w:szCs w:val="18"/>
                <w:color w:val="auto"/>
              </w:rPr>
            </w:pPr>
          </w:p>
        </w:tc>
        <w:tc>
          <w:tcPr>
            <w:tcW w:w="340" w:type="dxa"/>
            <w:vAlign w:val="bottom"/>
            <w:tcBorders>
              <w:top w:val="single" w:sz="8" w:color="CFF0FC"/>
              <w:bottom w:val="single" w:sz="8" w:color="CFF0FC"/>
            </w:tcBorders>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1820" w:type="dxa"/>
            <w:vAlign w:val="bottom"/>
            <w:tcBorders>
              <w:top w:val="single" w:sz="8" w:color="CFF0FC"/>
              <w:bottom w:val="single" w:sz="8" w:color="CFF0FC"/>
            </w:tcBorders>
            <w:shd w:val="clear" w:color="auto" w:fill="CFF0FC"/>
          </w:tcPr>
          <w:p>
            <w:pPr>
              <w:jc w:val="right"/>
              <w:ind w:right="37"/>
              <w:spacing w:after="0"/>
              <w:rPr>
                <w:sz w:val="20"/>
                <w:szCs w:val="20"/>
                <w:color w:val="auto"/>
              </w:rPr>
            </w:pPr>
            <w:r>
              <w:rPr>
                <w:rFonts w:ascii="Arial" w:cs="Arial" w:eastAsia="Arial" w:hAnsi="Arial"/>
                <w:sz w:val="18"/>
                <w:szCs w:val="18"/>
                <w:color w:val="auto"/>
              </w:rPr>
              <w:t>46.05</w:t>
            </w:r>
          </w:p>
        </w:tc>
      </w:tr>
      <w:tr>
        <w:trPr>
          <w:trHeight w:val="20"/>
        </w:trPr>
        <w:tc>
          <w:tcPr>
            <w:tcW w:w="7180" w:type="dxa"/>
            <w:vAlign w:val="bottom"/>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31" w:lineRule="exact"/>
        <w:rPr>
          <w:sz w:val="20"/>
          <w:szCs w:val="20"/>
          <w:color w:val="auto"/>
        </w:rPr>
      </w:pPr>
    </w:p>
    <w:p>
      <w:pPr>
        <w:ind w:right="540" w:firstLine="518"/>
        <w:spacing w:after="0"/>
        <w:rPr>
          <w:sz w:val="20"/>
          <w:szCs w:val="20"/>
          <w:color w:val="auto"/>
        </w:rPr>
      </w:pPr>
      <w:r>
        <w:rPr>
          <w:rFonts w:ascii="Arial" w:cs="Arial" w:eastAsia="Arial" w:hAnsi="Arial"/>
          <w:sz w:val="18"/>
          <w:szCs w:val="18"/>
          <w:color w:val="auto"/>
        </w:rPr>
        <w:t>At December 31, 2019, the intrinsic value of nonvested restricted stock units was $85.3 million. At December 31, 2019, total unrecognized compensation cost related to nonvested restricted stock units was $65.0 million and was expected to be recognized over a weighted-average period of 2.9 years.</w:t>
      </w:r>
    </w:p>
    <w:p>
      <w:pPr>
        <w:spacing w:after="0" w:line="289"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Employee Stock Purchase Plan</w:t>
      </w:r>
    </w:p>
    <w:p>
      <w:pPr>
        <w:spacing w:after="0" w:line="126" w:lineRule="exact"/>
        <w:rPr>
          <w:sz w:val="20"/>
          <w:szCs w:val="20"/>
          <w:color w:val="auto"/>
        </w:rPr>
      </w:pPr>
    </w:p>
    <w:p>
      <w:pPr>
        <w:ind w:right="80" w:firstLine="518"/>
        <w:spacing w:after="0" w:line="237" w:lineRule="auto"/>
        <w:rPr>
          <w:sz w:val="20"/>
          <w:szCs w:val="20"/>
          <w:color w:val="auto"/>
        </w:rPr>
      </w:pPr>
      <w:r>
        <w:rPr>
          <w:rFonts w:ascii="Arial" w:cs="Arial" w:eastAsia="Arial" w:hAnsi="Arial"/>
          <w:sz w:val="18"/>
          <w:szCs w:val="18"/>
          <w:color w:val="auto"/>
        </w:rPr>
        <w:t>Under the Company’s 2018 Employee Stock Purchase Plan (“ESPP”) eligible employees are granted the right to purchase shares at the lower of 85% of the fair value of the stock at the time of grant or 85% of the fair value at the time of exercise. The right to purchase shares is granted twice yearly for six month offering periods in May and November and exercisable on or about the succeeding November and May, respectively, of each year. Under the ESPP, 1.3 million shares remained available for issuance, at December 31, 2019. The Company recognized stock-based compensation expense related to the ESPP of $2.1 million and $0.2 million for the years ended December 31, 2019 and 2018, respectively.</w:t>
      </w:r>
    </w:p>
    <w:p>
      <w:pPr>
        <w:spacing w:after="0" w:line="205" w:lineRule="exact"/>
        <w:rPr>
          <w:sz w:val="20"/>
          <w:szCs w:val="20"/>
          <w:color w:val="auto"/>
        </w:rPr>
      </w:pPr>
    </w:p>
    <w:p>
      <w:pPr>
        <w:ind w:right="80" w:firstLine="518"/>
        <w:spacing w:after="0" w:line="246" w:lineRule="auto"/>
        <w:rPr>
          <w:sz w:val="20"/>
          <w:szCs w:val="20"/>
          <w:color w:val="auto"/>
        </w:rPr>
      </w:pPr>
      <w:r>
        <w:rPr>
          <w:rFonts w:ascii="Arial" w:cs="Arial" w:eastAsia="Arial" w:hAnsi="Arial"/>
          <w:sz w:val="18"/>
          <w:szCs w:val="18"/>
          <w:color w:val="auto"/>
        </w:rPr>
        <w:t>The fair value of ESPP shares granted was estimated using the Black-Scholes option pricing model with the following weighted-average assumptions:</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71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3420" w:type="dxa"/>
            <w:vAlign w:val="bottom"/>
            <w:gridSpan w:val="4"/>
          </w:tcPr>
          <w:p>
            <w:pPr>
              <w:ind w:left="340"/>
              <w:spacing w:after="0"/>
              <w:rPr>
                <w:sz w:val="20"/>
                <w:szCs w:val="20"/>
                <w:color w:val="auto"/>
              </w:rPr>
            </w:pPr>
            <w:r>
              <w:rPr>
                <w:rFonts w:ascii="Arial" w:cs="Arial" w:eastAsia="Arial" w:hAnsi="Arial"/>
                <w:sz w:val="14"/>
                <w:szCs w:val="14"/>
                <w:b w:val="1"/>
                <w:bCs w:val="1"/>
                <w:color w:val="auto"/>
              </w:rPr>
              <w:t>Year Ended December 31,</w:t>
            </w:r>
          </w:p>
        </w:tc>
      </w:tr>
      <w:tr>
        <w:trPr>
          <w:trHeight w:val="210"/>
        </w:trPr>
        <w:tc>
          <w:tcPr>
            <w:tcW w:w="7160" w:type="dxa"/>
            <w:vAlign w:val="bottom"/>
            <w:tcBorders>
              <w:bottom w:val="single" w:sz="8" w:color="CFF0FC"/>
            </w:tcBorders>
          </w:tcPr>
          <w:p>
            <w:pPr>
              <w:spacing w:after="0"/>
              <w:rPr>
                <w:sz w:val="18"/>
                <w:szCs w:val="18"/>
                <w:color w:val="auto"/>
              </w:rPr>
            </w:pPr>
          </w:p>
        </w:tc>
        <w:tc>
          <w:tcPr>
            <w:tcW w:w="840" w:type="dxa"/>
            <w:vAlign w:val="bottom"/>
            <w:tcBorders>
              <w:top w:val="single" w:sz="8" w:color="auto"/>
              <w:bottom w:val="single" w:sz="8" w:color="auto"/>
            </w:tcBorders>
          </w:tcPr>
          <w:p>
            <w:pPr>
              <w:spacing w:after="0"/>
              <w:rPr>
                <w:sz w:val="18"/>
                <w:szCs w:val="18"/>
                <w:color w:val="auto"/>
              </w:rPr>
            </w:pPr>
          </w:p>
        </w:tc>
        <w:tc>
          <w:tcPr>
            <w:tcW w:w="1200" w:type="dxa"/>
            <w:vAlign w:val="bottom"/>
            <w:tcBorders>
              <w:top w:val="single" w:sz="8" w:color="auto"/>
              <w:bottom w:val="single" w:sz="8" w:color="auto"/>
            </w:tcBorders>
          </w:tcPr>
          <w:p>
            <w:pPr>
              <w:jc w:val="right"/>
              <w:ind w:right="779"/>
              <w:spacing w:after="0"/>
              <w:rPr>
                <w:sz w:val="20"/>
                <w:szCs w:val="20"/>
                <w:color w:val="auto"/>
              </w:rPr>
            </w:pPr>
            <w:r>
              <w:rPr>
                <w:rFonts w:ascii="Arial" w:cs="Arial" w:eastAsia="Arial" w:hAnsi="Arial"/>
                <w:sz w:val="14"/>
                <w:szCs w:val="14"/>
                <w:b w:val="1"/>
                <w:bCs w:val="1"/>
                <w:color w:val="auto"/>
              </w:rPr>
              <w:t>2019</w:t>
            </w:r>
          </w:p>
        </w:tc>
        <w:tc>
          <w:tcPr>
            <w:tcW w:w="180" w:type="dxa"/>
            <w:vAlign w:val="bottom"/>
            <w:tcBorders>
              <w:top w:val="single" w:sz="8" w:color="auto"/>
              <w:bottom w:val="single" w:sz="8" w:color="CFF0FC"/>
            </w:tcBorders>
          </w:tcPr>
          <w:p>
            <w:pPr>
              <w:spacing w:after="0"/>
              <w:rPr>
                <w:sz w:val="18"/>
                <w:szCs w:val="18"/>
                <w:color w:val="auto"/>
              </w:rPr>
            </w:pPr>
          </w:p>
        </w:tc>
        <w:tc>
          <w:tcPr>
            <w:tcW w:w="192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CFF0FC"/>
            </w:tcBorders>
          </w:tcPr>
          <w:p>
            <w:pPr>
              <w:spacing w:after="0"/>
              <w:rPr>
                <w:sz w:val="18"/>
                <w:szCs w:val="18"/>
                <w:color w:val="auto"/>
              </w:rPr>
            </w:pPr>
          </w:p>
        </w:tc>
      </w:tr>
      <w:tr>
        <w:trPr>
          <w:trHeight w:val="210"/>
        </w:trPr>
        <w:tc>
          <w:tcPr>
            <w:tcW w:w="7160" w:type="dxa"/>
            <w:vAlign w:val="bottom"/>
            <w:shd w:val="clear" w:color="auto" w:fill="CFF0FC"/>
          </w:tcPr>
          <w:p>
            <w:pPr>
              <w:spacing w:after="0"/>
              <w:rPr>
                <w:sz w:val="20"/>
                <w:szCs w:val="20"/>
                <w:color w:val="auto"/>
              </w:rPr>
            </w:pPr>
            <w:r>
              <w:rPr>
                <w:rFonts w:ascii="Arial" w:cs="Arial" w:eastAsia="Arial" w:hAnsi="Arial"/>
                <w:sz w:val="18"/>
                <w:szCs w:val="18"/>
                <w:color w:val="auto"/>
              </w:rPr>
              <w:t>Risk-free interest rate</w:t>
            </w: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w:t>
            </w:r>
          </w:p>
        </w:tc>
        <w:tc>
          <w:tcPr>
            <w:tcW w:w="1200" w:type="dxa"/>
            <w:vAlign w:val="bottom"/>
            <w:shd w:val="clear" w:color="auto" w:fill="CFF0FC"/>
          </w:tcPr>
          <w:p>
            <w:pPr>
              <w:ind w:left="40"/>
              <w:spacing w:after="0"/>
              <w:rPr>
                <w:sz w:val="20"/>
                <w:szCs w:val="20"/>
                <w:color w:val="auto"/>
              </w:rPr>
            </w:pPr>
            <w:r>
              <w:rPr>
                <w:rFonts w:ascii="Arial" w:cs="Arial" w:eastAsia="Arial" w:hAnsi="Arial"/>
                <w:sz w:val="18"/>
                <w:szCs w:val="18"/>
                <w:color w:val="auto"/>
              </w:rPr>
              <w:t>- 2.4 %</w:t>
            </w:r>
          </w:p>
        </w:tc>
        <w:tc>
          <w:tcPr>
            <w:tcW w:w="180" w:type="dxa"/>
            <w:vAlign w:val="bottom"/>
            <w:shd w:val="clear" w:color="auto" w:fill="CFF0FC"/>
          </w:tcPr>
          <w:p>
            <w:pPr>
              <w:spacing w:after="0"/>
              <w:rPr>
                <w:sz w:val="18"/>
                <w:szCs w:val="18"/>
                <w:color w:val="auto"/>
              </w:rPr>
            </w:pPr>
          </w:p>
        </w:tc>
        <w:tc>
          <w:tcPr>
            <w:tcW w:w="1920" w:type="dxa"/>
            <w:vAlign w:val="bottom"/>
            <w:shd w:val="clear" w:color="auto" w:fill="CFF0FC"/>
          </w:tcPr>
          <w:p>
            <w:pPr>
              <w:jc w:val="center"/>
              <w:spacing w:after="0"/>
              <w:rPr>
                <w:sz w:val="20"/>
                <w:szCs w:val="20"/>
                <w:color w:val="auto"/>
              </w:rPr>
            </w:pPr>
            <w:r>
              <w:rPr>
                <w:rFonts w:ascii="Arial" w:cs="Arial" w:eastAsia="Arial" w:hAnsi="Arial"/>
                <w:sz w:val="18"/>
                <w:szCs w:val="18"/>
                <w:color w:val="auto"/>
              </w:rPr>
              <w:t>2.6%</w:t>
            </w:r>
          </w:p>
        </w:tc>
        <w:tc>
          <w:tcPr>
            <w:tcW w:w="120" w:type="dxa"/>
            <w:vAlign w:val="bottom"/>
            <w:shd w:val="clear" w:color="auto" w:fill="CFF0FC"/>
          </w:tcPr>
          <w:p>
            <w:pPr>
              <w:spacing w:after="0"/>
              <w:rPr>
                <w:sz w:val="18"/>
                <w:szCs w:val="18"/>
                <w:color w:val="auto"/>
              </w:rPr>
            </w:pPr>
          </w:p>
        </w:tc>
      </w:tr>
      <w:tr>
        <w:trPr>
          <w:trHeight w:val="216"/>
        </w:trPr>
        <w:tc>
          <w:tcPr>
            <w:tcW w:w="7160" w:type="dxa"/>
            <w:vAlign w:val="bottom"/>
          </w:tcPr>
          <w:p>
            <w:pPr>
              <w:spacing w:after="0"/>
              <w:rPr>
                <w:sz w:val="20"/>
                <w:szCs w:val="20"/>
                <w:color w:val="auto"/>
              </w:rPr>
            </w:pPr>
            <w:r>
              <w:rPr>
                <w:rFonts w:ascii="Arial" w:cs="Arial" w:eastAsia="Arial" w:hAnsi="Arial"/>
                <w:sz w:val="18"/>
                <w:szCs w:val="18"/>
                <w:color w:val="auto"/>
              </w:rPr>
              <w:t>Expected term (in years)</w:t>
            </w:r>
          </w:p>
        </w:tc>
        <w:tc>
          <w:tcPr>
            <w:tcW w:w="2040" w:type="dxa"/>
            <w:vAlign w:val="bottom"/>
            <w:gridSpan w:val="2"/>
          </w:tcPr>
          <w:p>
            <w:pPr>
              <w:jc w:val="right"/>
              <w:ind w:right="699"/>
              <w:spacing w:after="0"/>
              <w:rPr>
                <w:sz w:val="20"/>
                <w:szCs w:val="20"/>
                <w:color w:val="auto"/>
              </w:rPr>
            </w:pPr>
            <w:r>
              <w:rPr>
                <w:rFonts w:ascii="Arial" w:cs="Arial" w:eastAsia="Arial" w:hAnsi="Arial"/>
                <w:sz w:val="18"/>
                <w:szCs w:val="18"/>
                <w:color w:val="auto"/>
              </w:rPr>
              <w:t>0.5 - 1</w:t>
            </w:r>
          </w:p>
        </w:tc>
        <w:tc>
          <w:tcPr>
            <w:tcW w:w="180" w:type="dxa"/>
            <w:vAlign w:val="bottom"/>
          </w:tcPr>
          <w:p>
            <w:pPr>
              <w:spacing w:after="0"/>
              <w:rPr>
                <w:sz w:val="18"/>
                <w:szCs w:val="18"/>
                <w:color w:val="auto"/>
              </w:rPr>
            </w:pPr>
          </w:p>
        </w:tc>
        <w:tc>
          <w:tcPr>
            <w:tcW w:w="1920" w:type="dxa"/>
            <w:vAlign w:val="bottom"/>
          </w:tcPr>
          <w:p>
            <w:pPr>
              <w:jc w:val="right"/>
              <w:ind w:right="694"/>
              <w:spacing w:after="0"/>
              <w:rPr>
                <w:sz w:val="20"/>
                <w:szCs w:val="20"/>
                <w:color w:val="auto"/>
              </w:rPr>
            </w:pPr>
            <w:r>
              <w:rPr>
                <w:rFonts w:ascii="Arial" w:cs="Arial" w:eastAsia="Arial" w:hAnsi="Arial"/>
                <w:sz w:val="18"/>
                <w:szCs w:val="18"/>
                <w:color w:val="auto"/>
              </w:rPr>
              <w:t>0.7</w:t>
            </w:r>
          </w:p>
        </w:tc>
        <w:tc>
          <w:tcPr>
            <w:tcW w:w="120" w:type="dxa"/>
            <w:vAlign w:val="bottom"/>
          </w:tcPr>
          <w:p>
            <w:pPr>
              <w:spacing w:after="0"/>
              <w:rPr>
                <w:sz w:val="18"/>
                <w:szCs w:val="18"/>
                <w:color w:val="auto"/>
              </w:rPr>
            </w:pPr>
          </w:p>
        </w:tc>
      </w:tr>
      <w:tr>
        <w:trPr>
          <w:trHeight w:val="216"/>
        </w:trPr>
        <w:tc>
          <w:tcPr>
            <w:tcW w:w="7160" w:type="dxa"/>
            <w:vAlign w:val="bottom"/>
            <w:shd w:val="clear" w:color="auto" w:fill="CFF0FC"/>
          </w:tcPr>
          <w:p>
            <w:pPr>
              <w:spacing w:after="0"/>
              <w:rPr>
                <w:sz w:val="20"/>
                <w:szCs w:val="20"/>
                <w:color w:val="auto"/>
              </w:rPr>
            </w:pPr>
            <w:r>
              <w:rPr>
                <w:rFonts w:ascii="Arial" w:cs="Arial" w:eastAsia="Arial" w:hAnsi="Arial"/>
                <w:sz w:val="18"/>
                <w:szCs w:val="18"/>
                <w:color w:val="auto"/>
              </w:rPr>
              <w:t>Volatility</w:t>
            </w: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39.3</w:t>
            </w:r>
          </w:p>
        </w:tc>
        <w:tc>
          <w:tcPr>
            <w:tcW w:w="1200" w:type="dxa"/>
            <w:vAlign w:val="bottom"/>
            <w:shd w:val="clear" w:color="auto" w:fill="CFF0FC"/>
          </w:tcPr>
          <w:p>
            <w:pPr>
              <w:ind w:left="40"/>
              <w:spacing w:after="0"/>
              <w:rPr>
                <w:sz w:val="20"/>
                <w:szCs w:val="20"/>
                <w:color w:val="auto"/>
              </w:rPr>
            </w:pPr>
            <w:r>
              <w:rPr>
                <w:rFonts w:ascii="Arial" w:cs="Arial" w:eastAsia="Arial" w:hAnsi="Arial"/>
                <w:sz w:val="18"/>
                <w:szCs w:val="18"/>
                <w:color w:val="auto"/>
              </w:rPr>
              <w:t>- 54.3 %</w:t>
            </w:r>
          </w:p>
        </w:tc>
        <w:tc>
          <w:tcPr>
            <w:tcW w:w="180" w:type="dxa"/>
            <w:vAlign w:val="bottom"/>
            <w:shd w:val="clear" w:color="auto" w:fill="CFF0FC"/>
          </w:tcPr>
          <w:p>
            <w:pPr>
              <w:spacing w:after="0"/>
              <w:rPr>
                <w:sz w:val="18"/>
                <w:szCs w:val="18"/>
                <w:color w:val="auto"/>
              </w:rPr>
            </w:pPr>
          </w:p>
        </w:tc>
        <w:tc>
          <w:tcPr>
            <w:tcW w:w="192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7"/>
              </w:rPr>
              <w:t>42.9%</w:t>
            </w:r>
          </w:p>
        </w:tc>
        <w:tc>
          <w:tcPr>
            <w:tcW w:w="120" w:type="dxa"/>
            <w:vAlign w:val="bottom"/>
            <w:shd w:val="clear" w:color="auto" w:fill="CFF0FC"/>
          </w:tcPr>
          <w:p>
            <w:pPr>
              <w:spacing w:after="0"/>
              <w:rPr>
                <w:sz w:val="18"/>
                <w:szCs w:val="18"/>
                <w:color w:val="auto"/>
              </w:rPr>
            </w:pPr>
          </w:p>
        </w:tc>
      </w:tr>
    </w:tbl>
    <w:p>
      <w:pPr>
        <w:spacing w:after="0" w:line="200" w:lineRule="exact"/>
        <w:rPr>
          <w:sz w:val="20"/>
          <w:szCs w:val="20"/>
          <w:color w:val="auto"/>
        </w:rPr>
      </w:pPr>
    </w:p>
    <w:p>
      <w:pPr>
        <w:spacing w:after="0" w:line="231" w:lineRule="exact"/>
        <w:rPr>
          <w:sz w:val="20"/>
          <w:szCs w:val="20"/>
          <w:color w:val="auto"/>
        </w:rPr>
      </w:pPr>
    </w:p>
    <w:p>
      <w:pPr>
        <w:ind w:right="600" w:firstLine="518"/>
        <w:spacing w:after="0" w:line="246" w:lineRule="auto"/>
        <w:rPr>
          <w:sz w:val="20"/>
          <w:szCs w:val="20"/>
          <w:color w:val="auto"/>
        </w:rPr>
      </w:pPr>
      <w:r>
        <w:rPr>
          <w:rFonts w:ascii="Arial" w:cs="Arial" w:eastAsia="Arial" w:hAnsi="Arial"/>
          <w:sz w:val="18"/>
          <w:szCs w:val="18"/>
          <w:color w:val="auto"/>
        </w:rPr>
        <w:t>At December 31, 2019, total unrecognized compensation cost related to the 2018 ESPP was $2.3 million and was expected to be recognized over a weighted-average period of approximately one year.</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272020" cy="425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463" w:right="239" w:bottom="1440" w:gutter="0" w:footer="0" w:header="0"/>
        </w:sectPr>
      </w:pPr>
    </w:p>
    <w:bookmarkStart w:id="88" w:name="page89"/>
    <w:bookmarkEnd w:id="88"/>
    <w:p>
      <w:pPr>
        <w:ind w:left="520"/>
        <w:spacing w:after="0"/>
        <w:rPr>
          <w:sz w:val="20"/>
          <w:szCs w:val="20"/>
          <w:color w:val="auto"/>
        </w:rPr>
      </w:pPr>
      <w:r>
        <w:rPr>
          <w:rFonts w:ascii="Arial" w:cs="Arial" w:eastAsia="Arial" w:hAnsi="Arial"/>
          <w:sz w:val="18"/>
          <w:szCs w:val="18"/>
          <w:b w:val="1"/>
          <w:bCs w:val="1"/>
          <w:i w:val="1"/>
          <w:iCs w:val="1"/>
          <w:color w:val="auto"/>
        </w:rPr>
        <w:t>Stock-based compensation expense</w:t>
      </w:r>
    </w:p>
    <w:p>
      <w:pPr>
        <w:spacing w:after="0" w:line="126" w:lineRule="exact"/>
        <w:rPr>
          <w:sz w:val="20"/>
          <w:szCs w:val="20"/>
          <w:color w:val="auto"/>
        </w:rPr>
      </w:pPr>
    </w:p>
    <w:p>
      <w:pPr>
        <w:ind w:left="520"/>
        <w:spacing w:after="0"/>
        <w:rPr>
          <w:sz w:val="20"/>
          <w:szCs w:val="20"/>
          <w:color w:val="auto"/>
        </w:rPr>
      </w:pPr>
      <w:r>
        <w:rPr>
          <w:rFonts w:ascii="Arial" w:cs="Arial" w:eastAsia="Arial" w:hAnsi="Arial"/>
          <w:sz w:val="18"/>
          <w:szCs w:val="18"/>
          <w:color w:val="auto"/>
        </w:rPr>
        <w:t>Stock-based compensation expense recorded in the Company’s consolidated statements of operations was as follows (in thousands):</w:t>
      </w:r>
    </w:p>
    <w:p>
      <w:pPr>
        <w:spacing w:after="0" w:line="240"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4080" w:type="dxa"/>
            <w:vAlign w:val="bottom"/>
          </w:tcPr>
          <w:p>
            <w:pPr>
              <w:spacing w:after="0"/>
              <w:rPr>
                <w:sz w:val="15"/>
                <w:szCs w:val="15"/>
                <w:color w:val="auto"/>
              </w:rPr>
            </w:pPr>
          </w:p>
        </w:tc>
        <w:tc>
          <w:tcPr>
            <w:tcW w:w="1880" w:type="dxa"/>
            <w:vAlign w:val="bottom"/>
          </w:tcPr>
          <w:p>
            <w:pPr>
              <w:spacing w:after="0"/>
              <w:rPr>
                <w:sz w:val="15"/>
                <w:szCs w:val="15"/>
                <w:color w:val="auto"/>
              </w:rPr>
            </w:pPr>
          </w:p>
        </w:tc>
        <w:tc>
          <w:tcPr>
            <w:tcW w:w="98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spacing w:after="0"/>
              <w:rPr>
                <w:sz w:val="15"/>
                <w:szCs w:val="15"/>
                <w:color w:val="auto"/>
              </w:rPr>
            </w:pPr>
          </w:p>
        </w:tc>
        <w:tc>
          <w:tcPr>
            <w:tcW w:w="2080" w:type="dxa"/>
            <w:vAlign w:val="bottom"/>
            <w:tcBorders>
              <w:bottom w:val="single" w:sz="8" w:color="auto"/>
            </w:tcBorders>
            <w:gridSpan w:val="4"/>
          </w:tcPr>
          <w:p>
            <w:pPr>
              <w:ind w:left="200"/>
              <w:spacing w:after="0"/>
              <w:rPr>
                <w:sz w:val="20"/>
                <w:szCs w:val="20"/>
                <w:color w:val="auto"/>
              </w:rPr>
            </w:pPr>
            <w:r>
              <w:rPr>
                <w:rFonts w:ascii="Arial" w:cs="Arial" w:eastAsia="Arial" w:hAnsi="Arial"/>
                <w:sz w:val="14"/>
                <w:szCs w:val="14"/>
                <w:b w:val="1"/>
                <w:bCs w:val="1"/>
                <w:color w:val="auto"/>
              </w:rPr>
              <w:t>Year Ended December 31,</w:t>
            </w:r>
          </w:p>
        </w:tc>
        <w:tc>
          <w:tcPr>
            <w:tcW w:w="38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r>
      <w:tr>
        <w:trPr>
          <w:trHeight w:val="169"/>
        </w:trPr>
        <w:tc>
          <w:tcPr>
            <w:tcW w:w="4080" w:type="dxa"/>
            <w:vAlign w:val="bottom"/>
            <w:tcBorders>
              <w:bottom w:val="single" w:sz="8" w:color="CFF0FC"/>
            </w:tcBorders>
          </w:tcPr>
          <w:p>
            <w:pPr>
              <w:spacing w:after="0"/>
              <w:rPr>
                <w:sz w:val="14"/>
                <w:szCs w:val="14"/>
                <w:color w:val="auto"/>
              </w:rPr>
            </w:pPr>
          </w:p>
        </w:tc>
        <w:tc>
          <w:tcPr>
            <w:tcW w:w="1880" w:type="dxa"/>
            <w:vAlign w:val="bottom"/>
            <w:tcBorders>
              <w:bottom w:val="single" w:sz="8" w:color="CFF0FC"/>
            </w:tcBorders>
          </w:tcPr>
          <w:p>
            <w:pPr>
              <w:spacing w:after="0"/>
              <w:rPr>
                <w:sz w:val="14"/>
                <w:szCs w:val="14"/>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2019</w:t>
            </w:r>
          </w:p>
        </w:tc>
        <w:tc>
          <w:tcPr>
            <w:tcW w:w="600" w:type="dxa"/>
            <w:vAlign w:val="bottom"/>
            <w:tcBorders>
              <w:bottom w:val="single" w:sz="8" w:color="auto"/>
            </w:tcBorders>
          </w:tcPr>
          <w:p>
            <w:pPr>
              <w:spacing w:after="0"/>
              <w:rPr>
                <w:sz w:val="14"/>
                <w:szCs w:val="14"/>
                <w:color w:val="auto"/>
              </w:rPr>
            </w:pPr>
          </w:p>
        </w:tc>
        <w:tc>
          <w:tcPr>
            <w:tcW w:w="240" w:type="dxa"/>
            <w:vAlign w:val="bottom"/>
            <w:tcBorders>
              <w:bottom w:val="single" w:sz="8" w:color="CFF0FC"/>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tcPr>
          <w:p>
            <w:pPr>
              <w:jc w:val="right"/>
              <w:ind w:right="533"/>
              <w:spacing w:after="0"/>
              <w:rPr>
                <w:sz w:val="20"/>
                <w:szCs w:val="20"/>
                <w:color w:val="auto"/>
              </w:rPr>
            </w:pPr>
            <w:r>
              <w:rPr>
                <w:rFonts w:ascii="Arial" w:cs="Arial" w:eastAsia="Arial" w:hAnsi="Arial"/>
                <w:sz w:val="14"/>
                <w:szCs w:val="14"/>
                <w:b w:val="1"/>
                <w:bCs w:val="1"/>
                <w:color w:val="auto"/>
              </w:rPr>
              <w:t>2018</w:t>
            </w:r>
          </w:p>
        </w:tc>
        <w:tc>
          <w:tcPr>
            <w:tcW w:w="260" w:type="dxa"/>
            <w:vAlign w:val="bottom"/>
            <w:tcBorders>
              <w:bottom w:val="single" w:sz="8" w:color="CFF0FC"/>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1300" w:type="dxa"/>
            <w:vAlign w:val="bottom"/>
            <w:tcBorders>
              <w:bottom w:val="single" w:sz="8" w:color="auto"/>
            </w:tcBorders>
          </w:tcPr>
          <w:p>
            <w:pPr>
              <w:jc w:val="right"/>
              <w:ind w:right="593"/>
              <w:spacing w:after="0"/>
              <w:rPr>
                <w:sz w:val="20"/>
                <w:szCs w:val="20"/>
                <w:color w:val="auto"/>
              </w:rPr>
            </w:pPr>
            <w:r>
              <w:rPr>
                <w:rFonts w:ascii="Arial" w:cs="Arial" w:eastAsia="Arial" w:hAnsi="Arial"/>
                <w:sz w:val="14"/>
                <w:szCs w:val="14"/>
                <w:b w:val="1"/>
                <w:bCs w:val="1"/>
                <w:color w:val="auto"/>
              </w:rPr>
              <w:t>2017</w:t>
            </w:r>
          </w:p>
        </w:tc>
        <w:tc>
          <w:tcPr>
            <w:tcW w:w="120" w:type="dxa"/>
            <w:vAlign w:val="bottom"/>
            <w:tcBorders>
              <w:bottom w:val="single" w:sz="8" w:color="CFF0FC"/>
            </w:tcBorders>
          </w:tcPr>
          <w:p>
            <w:pPr>
              <w:spacing w:after="0"/>
              <w:rPr>
                <w:sz w:val="14"/>
                <w:szCs w:val="14"/>
                <w:color w:val="auto"/>
              </w:rPr>
            </w:pPr>
          </w:p>
        </w:tc>
      </w:tr>
      <w:tr>
        <w:trPr>
          <w:trHeight w:val="210"/>
        </w:trPr>
        <w:tc>
          <w:tcPr>
            <w:tcW w:w="4080" w:type="dxa"/>
            <w:vAlign w:val="bottom"/>
            <w:shd w:val="clear" w:color="auto" w:fill="CFF0FC"/>
          </w:tcPr>
          <w:p>
            <w:pPr>
              <w:spacing w:after="0"/>
              <w:rPr>
                <w:sz w:val="20"/>
                <w:szCs w:val="20"/>
                <w:color w:val="auto"/>
              </w:rPr>
            </w:pPr>
            <w:r>
              <w:rPr>
                <w:rFonts w:ascii="Arial" w:cs="Arial" w:eastAsia="Arial" w:hAnsi="Arial"/>
                <w:sz w:val="18"/>
                <w:szCs w:val="18"/>
                <w:color w:val="auto"/>
              </w:rPr>
              <w:t>Cost of revenues</w:t>
            </w:r>
          </w:p>
        </w:tc>
        <w:tc>
          <w:tcPr>
            <w:tcW w:w="2860" w:type="dxa"/>
            <w:vAlign w:val="bottom"/>
            <w:gridSpan w:val="2"/>
            <w:shd w:val="clear" w:color="auto" w:fill="CFF0FC"/>
          </w:tcPr>
          <w:p>
            <w:pPr>
              <w:jc w:val="right"/>
              <w:ind w:right="808"/>
              <w:spacing w:after="0"/>
              <w:rPr>
                <w:sz w:val="20"/>
                <w:szCs w:val="20"/>
                <w:color w:val="auto"/>
              </w:rPr>
            </w:pPr>
            <w:r>
              <w:rPr>
                <w:rFonts w:ascii="Arial" w:cs="Arial" w:eastAsia="Arial" w:hAnsi="Arial"/>
                <w:sz w:val="18"/>
                <w:szCs w:val="18"/>
                <w:color w:val="auto"/>
              </w:rPr>
              <w:t>$</w:t>
            </w: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4,814</w:t>
            </w:r>
          </w:p>
        </w:tc>
        <w:tc>
          <w:tcPr>
            <w:tcW w:w="60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3,265</w:t>
            </w:r>
          </w:p>
        </w:tc>
        <w:tc>
          <w:tcPr>
            <w:tcW w:w="260" w:type="dxa"/>
            <w:vAlign w:val="bottom"/>
            <w:shd w:val="clear" w:color="auto" w:fill="CFF0FC"/>
          </w:tcPr>
          <w:p>
            <w:pPr>
              <w:spacing w:after="0"/>
              <w:rPr>
                <w:sz w:val="18"/>
                <w:szCs w:val="18"/>
                <w:color w:val="auto"/>
              </w:rPr>
            </w:pPr>
          </w:p>
        </w:tc>
        <w:tc>
          <w:tcPr>
            <w:tcW w:w="380" w:type="dxa"/>
            <w:vAlign w:val="bottom"/>
            <w:shd w:val="clear" w:color="auto" w:fill="CFF0FC"/>
          </w:tcPr>
          <w:p>
            <w:pPr>
              <w:jc w:val="right"/>
              <w:ind w:right="190"/>
              <w:spacing w:after="0"/>
              <w:rPr>
                <w:sz w:val="20"/>
                <w:szCs w:val="20"/>
                <w:color w:val="auto"/>
              </w:rPr>
            </w:pPr>
            <w:r>
              <w:rPr>
                <w:rFonts w:ascii="Arial" w:cs="Arial" w:eastAsia="Arial" w:hAnsi="Arial"/>
                <w:sz w:val="18"/>
                <w:szCs w:val="18"/>
                <w:color w:val="auto"/>
                <w:w w:val="79"/>
              </w:rPr>
              <w:t>$</w:t>
            </w: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1,149</w:t>
            </w:r>
          </w:p>
        </w:tc>
        <w:tc>
          <w:tcPr>
            <w:tcW w:w="120" w:type="dxa"/>
            <w:vAlign w:val="bottom"/>
            <w:shd w:val="clear" w:color="auto" w:fill="CFF0FC"/>
          </w:tcPr>
          <w:p>
            <w:pPr>
              <w:spacing w:after="0"/>
              <w:rPr>
                <w:sz w:val="18"/>
                <w:szCs w:val="18"/>
                <w:color w:val="auto"/>
              </w:rPr>
            </w:pPr>
          </w:p>
        </w:tc>
      </w:tr>
      <w:tr>
        <w:trPr>
          <w:trHeight w:val="216"/>
        </w:trPr>
        <w:tc>
          <w:tcPr>
            <w:tcW w:w="4080" w:type="dxa"/>
            <w:vAlign w:val="bottom"/>
          </w:tcPr>
          <w:p>
            <w:pPr>
              <w:spacing w:after="0"/>
              <w:rPr>
                <w:sz w:val="20"/>
                <w:szCs w:val="20"/>
                <w:color w:val="auto"/>
              </w:rPr>
            </w:pPr>
            <w:r>
              <w:rPr>
                <w:rFonts w:ascii="Arial" w:cs="Arial" w:eastAsia="Arial" w:hAnsi="Arial"/>
                <w:sz w:val="18"/>
                <w:szCs w:val="18"/>
                <w:color w:val="auto"/>
              </w:rPr>
              <w:t>Sales and marketing</w:t>
            </w:r>
          </w:p>
        </w:tc>
        <w:tc>
          <w:tcPr>
            <w:tcW w:w="18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15,389</w:t>
            </w:r>
          </w:p>
        </w:tc>
        <w:tc>
          <w:tcPr>
            <w:tcW w:w="2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8,674</w:t>
            </w:r>
          </w:p>
        </w:tc>
        <w:tc>
          <w:tcPr>
            <w:tcW w:w="2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10,811</w:t>
            </w:r>
          </w:p>
        </w:tc>
        <w:tc>
          <w:tcPr>
            <w:tcW w:w="120" w:type="dxa"/>
            <w:vAlign w:val="bottom"/>
          </w:tcPr>
          <w:p>
            <w:pPr>
              <w:spacing w:after="0"/>
              <w:rPr>
                <w:sz w:val="18"/>
                <w:szCs w:val="18"/>
                <w:color w:val="auto"/>
              </w:rPr>
            </w:pPr>
          </w:p>
        </w:tc>
      </w:tr>
      <w:tr>
        <w:trPr>
          <w:trHeight w:val="216"/>
        </w:trPr>
        <w:tc>
          <w:tcPr>
            <w:tcW w:w="4080" w:type="dxa"/>
            <w:vAlign w:val="bottom"/>
            <w:shd w:val="clear" w:color="auto" w:fill="CFF0FC"/>
          </w:tcPr>
          <w:p>
            <w:pPr>
              <w:spacing w:after="0"/>
              <w:rPr>
                <w:sz w:val="20"/>
                <w:szCs w:val="20"/>
                <w:color w:val="auto"/>
              </w:rPr>
            </w:pPr>
            <w:r>
              <w:rPr>
                <w:rFonts w:ascii="Arial" w:cs="Arial" w:eastAsia="Arial" w:hAnsi="Arial"/>
                <w:sz w:val="18"/>
                <w:szCs w:val="18"/>
                <w:color w:val="auto"/>
              </w:rPr>
              <w:t>Research and development</w:t>
            </w:r>
          </w:p>
        </w:tc>
        <w:tc>
          <w:tcPr>
            <w:tcW w:w="188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4,729</w:t>
            </w:r>
          </w:p>
        </w:tc>
        <w:tc>
          <w:tcPr>
            <w:tcW w:w="24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2,570</w:t>
            </w:r>
          </w:p>
        </w:tc>
        <w:tc>
          <w:tcPr>
            <w:tcW w:w="26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767</w:t>
            </w:r>
          </w:p>
        </w:tc>
        <w:tc>
          <w:tcPr>
            <w:tcW w:w="120" w:type="dxa"/>
            <w:vAlign w:val="bottom"/>
            <w:shd w:val="clear" w:color="auto" w:fill="CFF0FC"/>
          </w:tcPr>
          <w:p>
            <w:pPr>
              <w:spacing w:after="0"/>
              <w:rPr>
                <w:sz w:val="18"/>
                <w:szCs w:val="18"/>
                <w:color w:val="auto"/>
              </w:rPr>
            </w:pPr>
          </w:p>
        </w:tc>
      </w:tr>
      <w:tr>
        <w:trPr>
          <w:trHeight w:val="216"/>
        </w:trPr>
        <w:tc>
          <w:tcPr>
            <w:tcW w:w="408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General and administrative</w:t>
            </w:r>
          </w:p>
        </w:tc>
        <w:tc>
          <w:tcPr>
            <w:tcW w:w="1880" w:type="dxa"/>
            <w:vAlign w:val="bottom"/>
            <w:tcBorders>
              <w:bottom w:val="single" w:sz="8" w:color="CFF0FC"/>
            </w:tcBorders>
          </w:tcPr>
          <w:p>
            <w:pPr>
              <w:spacing w:after="0"/>
              <w:rPr>
                <w:sz w:val="18"/>
                <w:szCs w:val="18"/>
                <w:color w:val="auto"/>
              </w:rPr>
            </w:pPr>
          </w:p>
        </w:tc>
        <w:tc>
          <w:tcPr>
            <w:tcW w:w="98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9,120</w:t>
            </w:r>
          </w:p>
        </w:tc>
        <w:tc>
          <w:tcPr>
            <w:tcW w:w="240" w:type="dxa"/>
            <w:vAlign w:val="bottom"/>
            <w:tcBorders>
              <w:bottom w:val="single" w:sz="8" w:color="CFF0FC"/>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6,386</w:t>
            </w:r>
          </w:p>
        </w:tc>
        <w:tc>
          <w:tcPr>
            <w:tcW w:w="260" w:type="dxa"/>
            <w:vAlign w:val="bottom"/>
            <w:tcBorders>
              <w:bottom w:val="single" w:sz="8" w:color="CFF0FC"/>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3,317</w:t>
            </w:r>
          </w:p>
        </w:tc>
        <w:tc>
          <w:tcPr>
            <w:tcW w:w="120" w:type="dxa"/>
            <w:vAlign w:val="bottom"/>
            <w:tcBorders>
              <w:bottom w:val="single" w:sz="8" w:color="CFF0FC"/>
            </w:tcBorders>
          </w:tcPr>
          <w:p>
            <w:pPr>
              <w:spacing w:after="0"/>
              <w:rPr>
                <w:sz w:val="18"/>
                <w:szCs w:val="18"/>
                <w:color w:val="auto"/>
              </w:rPr>
            </w:pPr>
          </w:p>
        </w:tc>
      </w:tr>
      <w:tr>
        <w:trPr>
          <w:trHeight w:val="210"/>
        </w:trPr>
        <w:tc>
          <w:tcPr>
            <w:tcW w:w="4080" w:type="dxa"/>
            <w:vAlign w:val="bottom"/>
            <w:shd w:val="clear" w:color="auto" w:fill="CFF0FC"/>
          </w:tcPr>
          <w:p>
            <w:pPr>
              <w:spacing w:after="0"/>
              <w:rPr>
                <w:sz w:val="18"/>
                <w:szCs w:val="18"/>
                <w:color w:val="auto"/>
              </w:rPr>
            </w:pPr>
          </w:p>
        </w:tc>
        <w:tc>
          <w:tcPr>
            <w:tcW w:w="2860" w:type="dxa"/>
            <w:vAlign w:val="bottom"/>
            <w:gridSpan w:val="2"/>
            <w:shd w:val="clear" w:color="auto" w:fill="CFF0FC"/>
          </w:tcPr>
          <w:p>
            <w:pPr>
              <w:jc w:val="right"/>
              <w:ind w:right="808"/>
              <w:spacing w:after="0"/>
              <w:rPr>
                <w:sz w:val="20"/>
                <w:szCs w:val="20"/>
                <w:color w:val="auto"/>
              </w:rPr>
            </w:pPr>
            <w:r>
              <w:rPr>
                <w:rFonts w:ascii="Arial" w:cs="Arial" w:eastAsia="Arial" w:hAnsi="Arial"/>
                <w:sz w:val="18"/>
                <w:szCs w:val="18"/>
                <w:color w:val="auto"/>
              </w:rPr>
              <w:t>$</w:t>
            </w: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34,052</w:t>
            </w:r>
          </w:p>
        </w:tc>
        <w:tc>
          <w:tcPr>
            <w:tcW w:w="60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20,895</w:t>
            </w:r>
          </w:p>
        </w:tc>
        <w:tc>
          <w:tcPr>
            <w:tcW w:w="260" w:type="dxa"/>
            <w:vAlign w:val="bottom"/>
            <w:shd w:val="clear" w:color="auto" w:fill="CFF0FC"/>
          </w:tcPr>
          <w:p>
            <w:pPr>
              <w:spacing w:after="0"/>
              <w:rPr>
                <w:sz w:val="18"/>
                <w:szCs w:val="18"/>
                <w:color w:val="auto"/>
              </w:rPr>
            </w:pPr>
          </w:p>
        </w:tc>
        <w:tc>
          <w:tcPr>
            <w:tcW w:w="380" w:type="dxa"/>
            <w:vAlign w:val="bottom"/>
            <w:shd w:val="clear" w:color="auto" w:fill="CFF0FC"/>
          </w:tcPr>
          <w:p>
            <w:pPr>
              <w:jc w:val="right"/>
              <w:ind w:right="190"/>
              <w:spacing w:after="0"/>
              <w:rPr>
                <w:sz w:val="20"/>
                <w:szCs w:val="20"/>
                <w:color w:val="auto"/>
              </w:rPr>
            </w:pPr>
            <w:r>
              <w:rPr>
                <w:rFonts w:ascii="Arial" w:cs="Arial" w:eastAsia="Arial" w:hAnsi="Arial"/>
                <w:sz w:val="18"/>
                <w:szCs w:val="18"/>
                <w:color w:val="auto"/>
                <w:w w:val="79"/>
              </w:rPr>
              <w:t>$</w:t>
            </w: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16,044</w:t>
            </w:r>
          </w:p>
        </w:tc>
        <w:tc>
          <w:tcPr>
            <w:tcW w:w="120" w:type="dxa"/>
            <w:vAlign w:val="bottom"/>
            <w:shd w:val="clear" w:color="auto" w:fill="CFF0FC"/>
          </w:tcPr>
          <w:p>
            <w:pPr>
              <w:spacing w:after="0"/>
              <w:rPr>
                <w:sz w:val="18"/>
                <w:szCs w:val="18"/>
                <w:color w:val="auto"/>
              </w:rPr>
            </w:pPr>
          </w:p>
        </w:tc>
      </w:tr>
      <w:tr>
        <w:trPr>
          <w:trHeight w:val="20"/>
        </w:trPr>
        <w:tc>
          <w:tcPr>
            <w:tcW w:w="4080" w:type="dxa"/>
            <w:vAlign w:val="bottom"/>
            <w:tcBorders>
              <w:top w:val="single" w:sz="8" w:color="CFF0FC"/>
            </w:tcBorders>
          </w:tcPr>
          <w:p>
            <w:pPr>
              <w:spacing w:after="0" w:line="20" w:lineRule="exact"/>
              <w:rPr>
                <w:sz w:val="1"/>
                <w:szCs w:val="1"/>
                <w:color w:val="auto"/>
              </w:rPr>
            </w:pPr>
          </w:p>
        </w:tc>
        <w:tc>
          <w:tcPr>
            <w:tcW w:w="1880" w:type="dxa"/>
            <w:vAlign w:val="bottom"/>
            <w:tcBorders>
              <w:top w:val="single" w:sz="8" w:color="CFF0FC"/>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FF0FC"/>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FF0FC"/>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r>
    </w:tbl>
    <w:p>
      <w:pPr>
        <w:spacing w:after="0" w:line="242" w:lineRule="exact"/>
        <w:rPr>
          <w:sz w:val="20"/>
          <w:szCs w:val="20"/>
          <w:color w:val="auto"/>
        </w:rPr>
      </w:pPr>
    </w:p>
    <w:p>
      <w:pPr>
        <w:ind w:right="440" w:firstLine="518"/>
        <w:spacing w:after="0" w:line="246" w:lineRule="auto"/>
        <w:rPr>
          <w:sz w:val="20"/>
          <w:szCs w:val="20"/>
          <w:color w:val="auto"/>
        </w:rPr>
      </w:pPr>
      <w:r>
        <w:rPr>
          <w:rFonts w:ascii="Arial" w:cs="Arial" w:eastAsia="Arial" w:hAnsi="Arial"/>
          <w:sz w:val="18"/>
          <w:szCs w:val="18"/>
          <w:color w:val="auto"/>
        </w:rPr>
        <w:t>Stock-based compensation capitalized as an asset was $0.5 million, $0.4 million, and $0.1 million in the years ended December 31, 2019, 2018, and 2017, respectively.</w:t>
      </w:r>
    </w:p>
    <w:p>
      <w:pPr>
        <w:spacing w:after="0" w:line="264" w:lineRule="exact"/>
        <w:rPr>
          <w:sz w:val="20"/>
          <w:szCs w:val="20"/>
          <w:color w:val="auto"/>
        </w:rPr>
      </w:pPr>
    </w:p>
    <w:p>
      <w:pPr>
        <w:jc w:val="both"/>
        <w:ind w:right="180" w:firstLine="518"/>
        <w:spacing w:after="0"/>
        <w:rPr>
          <w:sz w:val="20"/>
          <w:szCs w:val="20"/>
          <w:color w:val="auto"/>
        </w:rPr>
      </w:pPr>
      <w:r>
        <w:rPr>
          <w:rFonts w:ascii="Arial" w:cs="Arial" w:eastAsia="Arial" w:hAnsi="Arial"/>
          <w:sz w:val="18"/>
          <w:szCs w:val="18"/>
          <w:color w:val="auto"/>
        </w:rPr>
        <w:t>The Company recorded $0.1 million and $0.2 million of foreign tax benefits attributable to equity awards for the years ended December 31, 2019 and 2018, respectively. For the year ended December 31, 2017, no additional tax benefit attributable to equity awards was recorded due to the full valuation allowance provided on the Company’s U.S. net deferred tax assets.</w:t>
      </w:r>
    </w:p>
    <w:p>
      <w:pPr>
        <w:spacing w:after="0" w:line="257" w:lineRule="exact"/>
        <w:rPr>
          <w:sz w:val="20"/>
          <w:szCs w:val="20"/>
          <w:color w:val="auto"/>
        </w:rPr>
      </w:pPr>
    </w:p>
    <w:p>
      <w:pPr>
        <w:ind w:right="400" w:firstLine="518"/>
        <w:spacing w:after="0"/>
        <w:rPr>
          <w:sz w:val="20"/>
          <w:szCs w:val="20"/>
          <w:color w:val="auto"/>
        </w:rPr>
      </w:pPr>
      <w:r>
        <w:rPr>
          <w:rFonts w:ascii="Arial" w:cs="Arial" w:eastAsia="Arial" w:hAnsi="Arial"/>
          <w:sz w:val="18"/>
          <w:szCs w:val="18"/>
          <w:color w:val="auto"/>
        </w:rPr>
        <w:t>On July 21, 2017, the Company modified the vesting terms of options to purchase 219,000 shares of common stock to a time-based vesting schedule, for eight employees. Prior to the modification, the options vested solely upon a change in control of the Company. The Company recorded $6.6 million of stock-based compensation in the year ended December 31, 2017 related to the modification.</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Note 16—Defined Contribution Plan</w:t>
      </w:r>
    </w:p>
    <w:p>
      <w:pPr>
        <w:spacing w:after="0" w:line="126" w:lineRule="exact"/>
        <w:rPr>
          <w:sz w:val="20"/>
          <w:szCs w:val="20"/>
          <w:color w:val="auto"/>
        </w:rPr>
      </w:pPr>
    </w:p>
    <w:p>
      <w:pPr>
        <w:ind w:right="20" w:firstLine="518"/>
        <w:spacing w:after="0" w:line="238" w:lineRule="auto"/>
        <w:rPr>
          <w:sz w:val="20"/>
          <w:szCs w:val="20"/>
          <w:color w:val="auto"/>
        </w:rPr>
      </w:pPr>
      <w:r>
        <w:rPr>
          <w:rFonts w:ascii="Arial" w:cs="Arial" w:eastAsia="Arial" w:hAnsi="Arial"/>
          <w:sz w:val="18"/>
          <w:szCs w:val="18"/>
          <w:color w:val="auto"/>
        </w:rPr>
        <w:t>The Company sponsors a defined contribution retirement plan (the “Plan”) that covers substantially all domestic employees. The Company makes matching contributions of 100% of each $1 of the employee’s contribution up to the first 3% of the employee’s bi-weekly compensation and 50% of each $1 of the employee’s contribution up to the next 2% of the employee’s bi-weekly compensation. Matching contributions to the Plan recorded in the Company’s consolidated statements of operations totaled $3.6 million, $2.9 million, and $2.2 million for the years ended December 31, 2019, 2018, and 2017, respectively.</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Note 17—Geographic Information</w:t>
      </w:r>
    </w:p>
    <w:p>
      <w:pPr>
        <w:spacing w:after="0" w:line="139" w:lineRule="exact"/>
        <w:rPr>
          <w:sz w:val="20"/>
          <w:szCs w:val="20"/>
          <w:color w:val="auto"/>
        </w:rPr>
      </w:pPr>
    </w:p>
    <w:p>
      <w:pPr>
        <w:ind w:right="160" w:firstLine="518"/>
        <w:spacing w:after="0" w:line="246" w:lineRule="auto"/>
        <w:rPr>
          <w:sz w:val="20"/>
          <w:szCs w:val="20"/>
          <w:color w:val="auto"/>
        </w:rPr>
      </w:pPr>
      <w:r>
        <w:rPr>
          <w:rFonts w:ascii="Arial" w:cs="Arial" w:eastAsia="Arial" w:hAnsi="Arial"/>
          <w:sz w:val="18"/>
          <w:szCs w:val="18"/>
          <w:color w:val="auto"/>
        </w:rPr>
        <w:t>The following table sets forth the Company’s long-lived assets, which consist of property and equipment, net, and operating lease right-of-use assets by geographic region (in thousands):</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6600" w:type="dxa"/>
            <w:vAlign w:val="bottom"/>
          </w:tcPr>
          <w:p>
            <w:pPr>
              <w:spacing w:after="0"/>
              <w:rPr>
                <w:sz w:val="15"/>
                <w:szCs w:val="15"/>
                <w:color w:val="auto"/>
              </w:rPr>
            </w:pPr>
          </w:p>
        </w:tc>
        <w:tc>
          <w:tcPr>
            <w:tcW w:w="1360" w:type="dxa"/>
            <w:vAlign w:val="bottom"/>
            <w:tcBorders>
              <w:bottom w:val="single" w:sz="8" w:color="auto"/>
            </w:tcBorders>
          </w:tcPr>
          <w:p>
            <w:pPr>
              <w:spacing w:after="0"/>
              <w:rPr>
                <w:sz w:val="15"/>
                <w:szCs w:val="15"/>
                <w:color w:val="auto"/>
              </w:rPr>
            </w:pPr>
          </w:p>
        </w:tc>
        <w:tc>
          <w:tcPr>
            <w:tcW w:w="1980" w:type="dxa"/>
            <w:vAlign w:val="bottom"/>
            <w:tcBorders>
              <w:bottom w:val="single" w:sz="8" w:color="auto"/>
            </w:tcBorders>
            <w:gridSpan w:val="3"/>
          </w:tcPr>
          <w:p>
            <w:pPr>
              <w:jc w:val="right"/>
              <w:ind w:right="120"/>
              <w:spacing w:after="0"/>
              <w:rPr>
                <w:sz w:val="20"/>
                <w:szCs w:val="20"/>
                <w:color w:val="auto"/>
              </w:rPr>
            </w:pPr>
            <w:r>
              <w:rPr>
                <w:rFonts w:ascii="Arial" w:cs="Arial" w:eastAsia="Arial" w:hAnsi="Arial"/>
                <w:sz w:val="14"/>
                <w:szCs w:val="14"/>
                <w:b w:val="1"/>
                <w:bCs w:val="1"/>
                <w:color w:val="auto"/>
              </w:rPr>
              <w:t>Year Ended December 31,</w:t>
            </w:r>
          </w:p>
        </w:tc>
        <w:tc>
          <w:tcPr>
            <w:tcW w:w="138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r>
      <w:tr>
        <w:trPr>
          <w:trHeight w:val="210"/>
        </w:trPr>
        <w:tc>
          <w:tcPr>
            <w:tcW w:w="6600" w:type="dxa"/>
            <w:vAlign w:val="bottom"/>
            <w:tcBorders>
              <w:bottom w:val="single" w:sz="8" w:color="CFF0FC"/>
            </w:tcBorders>
          </w:tcPr>
          <w:p>
            <w:pPr>
              <w:spacing w:after="0"/>
              <w:rPr>
                <w:sz w:val="18"/>
                <w:szCs w:val="18"/>
                <w:color w:val="auto"/>
              </w:rPr>
            </w:pPr>
          </w:p>
        </w:tc>
        <w:tc>
          <w:tcPr>
            <w:tcW w:w="1360" w:type="dxa"/>
            <w:vAlign w:val="bottom"/>
            <w:tcBorders>
              <w:bottom w:val="single" w:sz="8" w:color="auto"/>
            </w:tcBorders>
          </w:tcPr>
          <w:p>
            <w:pPr>
              <w:jc w:val="right"/>
              <w:ind w:right="36"/>
              <w:spacing w:after="0"/>
              <w:rPr>
                <w:sz w:val="20"/>
                <w:szCs w:val="20"/>
                <w:color w:val="auto"/>
              </w:rPr>
            </w:pPr>
            <w:r>
              <w:rPr>
                <w:rFonts w:ascii="Arial" w:cs="Arial" w:eastAsia="Arial" w:hAnsi="Arial"/>
                <w:sz w:val="14"/>
                <w:szCs w:val="14"/>
                <w:b w:val="1"/>
                <w:bCs w:val="1"/>
                <w:color w:val="auto"/>
              </w:rPr>
              <w:t>2019</w:t>
            </w:r>
          </w:p>
        </w:tc>
        <w:tc>
          <w:tcPr>
            <w:tcW w:w="820" w:type="dxa"/>
            <w:vAlign w:val="bottom"/>
            <w:tcBorders>
              <w:bottom w:val="single" w:sz="8" w:color="auto"/>
            </w:tcBorders>
          </w:tcPr>
          <w:p>
            <w:pPr>
              <w:spacing w:after="0"/>
              <w:rPr>
                <w:sz w:val="18"/>
                <w:szCs w:val="18"/>
                <w:color w:val="auto"/>
              </w:rPr>
            </w:pPr>
          </w:p>
        </w:tc>
        <w:tc>
          <w:tcPr>
            <w:tcW w:w="340" w:type="dxa"/>
            <w:vAlign w:val="bottom"/>
            <w:tcBorders>
              <w:bottom w:val="single" w:sz="8" w:color="CFF0FC"/>
            </w:tcBorders>
          </w:tcPr>
          <w:p>
            <w:pPr>
              <w:spacing w:after="0"/>
              <w:rPr>
                <w:sz w:val="18"/>
                <w:szCs w:val="18"/>
                <w:color w:val="auto"/>
              </w:rPr>
            </w:pPr>
          </w:p>
        </w:tc>
        <w:tc>
          <w:tcPr>
            <w:tcW w:w="82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ind w:right="854"/>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FF0FC"/>
            </w:tcBorders>
          </w:tcPr>
          <w:p>
            <w:pPr>
              <w:spacing w:after="0"/>
              <w:rPr>
                <w:sz w:val="18"/>
                <w:szCs w:val="18"/>
                <w:color w:val="auto"/>
              </w:rPr>
            </w:pPr>
          </w:p>
        </w:tc>
      </w:tr>
      <w:tr>
        <w:trPr>
          <w:trHeight w:val="210"/>
        </w:trPr>
        <w:tc>
          <w:tcPr>
            <w:tcW w:w="6600" w:type="dxa"/>
            <w:vAlign w:val="bottom"/>
            <w:shd w:val="clear" w:color="auto" w:fill="CFF0FC"/>
          </w:tcPr>
          <w:p>
            <w:pPr>
              <w:spacing w:after="0"/>
              <w:rPr>
                <w:sz w:val="20"/>
                <w:szCs w:val="20"/>
                <w:color w:val="auto"/>
              </w:rPr>
            </w:pPr>
            <w:r>
              <w:rPr>
                <w:rFonts w:ascii="Arial" w:cs="Arial" w:eastAsia="Arial" w:hAnsi="Arial"/>
                <w:sz w:val="18"/>
                <w:szCs w:val="18"/>
                <w:color w:val="auto"/>
              </w:rPr>
              <w:t>United States</w:t>
            </w:r>
          </w:p>
        </w:tc>
        <w:tc>
          <w:tcPr>
            <w:tcW w:w="1360" w:type="dxa"/>
            <w:vAlign w:val="bottom"/>
            <w:shd w:val="clear" w:color="auto" w:fill="CFF0FC"/>
          </w:tcPr>
          <w:p>
            <w:pPr>
              <w:jc w:val="right"/>
              <w:ind w:right="1176"/>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20,848</w:t>
            </w:r>
          </w:p>
        </w:tc>
        <w:tc>
          <w:tcPr>
            <w:tcW w:w="1160" w:type="dxa"/>
            <w:vAlign w:val="bottom"/>
            <w:gridSpan w:val="2"/>
            <w:shd w:val="clear" w:color="auto" w:fill="CFF0FC"/>
          </w:tcPr>
          <w:p>
            <w:pPr>
              <w:jc w:val="right"/>
              <w:ind w:right="720"/>
              <w:spacing w:after="0"/>
              <w:rPr>
                <w:sz w:val="20"/>
                <w:szCs w:val="20"/>
                <w:color w:val="auto"/>
              </w:rPr>
            </w:pPr>
            <w:r>
              <w:rPr>
                <w:rFonts w:ascii="Arial" w:cs="Arial" w:eastAsia="Arial" w:hAnsi="Arial"/>
                <w:sz w:val="18"/>
                <w:szCs w:val="18"/>
                <w:color w:val="auto"/>
              </w:rPr>
              <w:t>$</w:t>
            </w: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12,407</w:t>
            </w:r>
          </w:p>
        </w:tc>
        <w:tc>
          <w:tcPr>
            <w:tcW w:w="100" w:type="dxa"/>
            <w:vAlign w:val="bottom"/>
            <w:shd w:val="clear" w:color="auto" w:fill="CFF0FC"/>
          </w:tcPr>
          <w:p>
            <w:pPr>
              <w:spacing w:after="0"/>
              <w:rPr>
                <w:sz w:val="18"/>
                <w:szCs w:val="18"/>
                <w:color w:val="auto"/>
              </w:rPr>
            </w:pPr>
          </w:p>
        </w:tc>
      </w:tr>
      <w:tr>
        <w:trPr>
          <w:trHeight w:val="216"/>
        </w:trPr>
        <w:tc>
          <w:tcPr>
            <w:tcW w:w="660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International</w:t>
            </w:r>
          </w:p>
        </w:tc>
        <w:tc>
          <w:tcPr>
            <w:tcW w:w="136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4,725</w:t>
            </w:r>
          </w:p>
        </w:tc>
        <w:tc>
          <w:tcPr>
            <w:tcW w:w="340" w:type="dxa"/>
            <w:vAlign w:val="bottom"/>
            <w:tcBorders>
              <w:bottom w:val="single" w:sz="8" w:color="CFF0FC"/>
            </w:tcBorders>
          </w:tcPr>
          <w:p>
            <w:pPr>
              <w:spacing w:after="0"/>
              <w:rPr>
                <w:sz w:val="18"/>
                <w:szCs w:val="18"/>
                <w:color w:val="auto"/>
              </w:rPr>
            </w:pPr>
          </w:p>
        </w:tc>
        <w:tc>
          <w:tcPr>
            <w:tcW w:w="82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1,129</w:t>
            </w:r>
          </w:p>
        </w:tc>
        <w:tc>
          <w:tcPr>
            <w:tcW w:w="100" w:type="dxa"/>
            <w:vAlign w:val="bottom"/>
            <w:tcBorders>
              <w:bottom w:val="single" w:sz="8" w:color="CFF0FC"/>
            </w:tcBorders>
          </w:tcPr>
          <w:p>
            <w:pPr>
              <w:spacing w:after="0"/>
              <w:rPr>
                <w:sz w:val="18"/>
                <w:szCs w:val="18"/>
                <w:color w:val="auto"/>
              </w:rPr>
            </w:pPr>
          </w:p>
        </w:tc>
      </w:tr>
      <w:tr>
        <w:trPr>
          <w:trHeight w:val="210"/>
        </w:trPr>
        <w:tc>
          <w:tcPr>
            <w:tcW w:w="6600" w:type="dxa"/>
            <w:vAlign w:val="bottom"/>
            <w:shd w:val="clear" w:color="auto" w:fill="CFF0FC"/>
          </w:tcPr>
          <w:p>
            <w:pPr>
              <w:spacing w:after="0"/>
              <w:rPr>
                <w:sz w:val="18"/>
                <w:szCs w:val="18"/>
                <w:color w:val="auto"/>
              </w:rPr>
            </w:pPr>
          </w:p>
        </w:tc>
        <w:tc>
          <w:tcPr>
            <w:tcW w:w="1360" w:type="dxa"/>
            <w:vAlign w:val="bottom"/>
            <w:shd w:val="clear" w:color="auto" w:fill="CFF0FC"/>
          </w:tcPr>
          <w:p>
            <w:pPr>
              <w:jc w:val="right"/>
              <w:ind w:right="1176"/>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25,573</w:t>
            </w:r>
          </w:p>
        </w:tc>
        <w:tc>
          <w:tcPr>
            <w:tcW w:w="1160" w:type="dxa"/>
            <w:vAlign w:val="bottom"/>
            <w:gridSpan w:val="2"/>
            <w:shd w:val="clear" w:color="auto" w:fill="CFF0FC"/>
          </w:tcPr>
          <w:p>
            <w:pPr>
              <w:jc w:val="right"/>
              <w:ind w:right="720"/>
              <w:spacing w:after="0"/>
              <w:rPr>
                <w:sz w:val="20"/>
                <w:szCs w:val="20"/>
                <w:color w:val="auto"/>
              </w:rPr>
            </w:pPr>
            <w:r>
              <w:rPr>
                <w:rFonts w:ascii="Arial" w:cs="Arial" w:eastAsia="Arial" w:hAnsi="Arial"/>
                <w:sz w:val="18"/>
                <w:szCs w:val="18"/>
                <w:color w:val="auto"/>
              </w:rPr>
              <w:t>$</w:t>
            </w: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13,536</w:t>
            </w:r>
          </w:p>
        </w:tc>
        <w:tc>
          <w:tcPr>
            <w:tcW w:w="100" w:type="dxa"/>
            <w:vAlign w:val="bottom"/>
            <w:shd w:val="clear" w:color="auto" w:fill="CFF0FC"/>
          </w:tcPr>
          <w:p>
            <w:pPr>
              <w:spacing w:after="0"/>
              <w:rPr>
                <w:sz w:val="18"/>
                <w:szCs w:val="18"/>
                <w:color w:val="auto"/>
              </w:rPr>
            </w:pPr>
          </w:p>
        </w:tc>
      </w:tr>
      <w:tr>
        <w:trPr>
          <w:trHeight w:val="20"/>
        </w:trPr>
        <w:tc>
          <w:tcPr>
            <w:tcW w:w="6600" w:type="dxa"/>
            <w:vAlign w:val="bottom"/>
            <w:tcBorders>
              <w:top w:val="single" w:sz="8" w:color="CFF0FC"/>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CFF0FC"/>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r>
    </w:tbl>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Note 18—Subsequent Events</w:t>
      </w:r>
    </w:p>
    <w:p>
      <w:pPr>
        <w:spacing w:after="0" w:line="261" w:lineRule="exact"/>
        <w:rPr>
          <w:sz w:val="20"/>
          <w:szCs w:val="20"/>
          <w:color w:val="auto"/>
        </w:rPr>
      </w:pPr>
    </w:p>
    <w:p>
      <w:pPr>
        <w:ind w:firstLine="588"/>
        <w:spacing w:after="0" w:line="239" w:lineRule="auto"/>
        <w:rPr>
          <w:sz w:val="20"/>
          <w:szCs w:val="20"/>
          <w:color w:val="auto"/>
        </w:rPr>
      </w:pPr>
      <w:r>
        <w:rPr>
          <w:rFonts w:ascii="Arial" w:cs="Arial" w:eastAsia="Arial" w:hAnsi="Arial"/>
          <w:sz w:val="18"/>
          <w:szCs w:val="18"/>
          <w:color w:val="auto"/>
        </w:rPr>
        <w:t>On February 19, 2020, the Compensation Committee of the Board of Directors of BlackLine, Inc. approved restricted stock unit grants to employees totaling 0.1 million shares. Each restricted stock unit entitles the recipient to receive one share of common stock upon vesting of the award. The vast majority of the restricted stock units will vest as to one-fourth of the total number of units awarded on the first anniversary of February 20, 2020 and quarterly thereafter for 12 consecutive quarters.</w:t>
      </w: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272020" cy="425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657" w:right="239" w:bottom="1440" w:gutter="0" w:footer="0" w:header="0"/>
        </w:sectPr>
      </w:pPr>
    </w:p>
    <w:bookmarkStart w:id="89" w:name="page90"/>
    <w:bookmarkEnd w:id="89"/>
    <w:p>
      <w:pPr>
        <w:spacing w:after="0"/>
        <w:rPr>
          <w:sz w:val="20"/>
          <w:szCs w:val="20"/>
          <w:color w:val="auto"/>
        </w:rPr>
      </w:pPr>
      <w:r>
        <w:rPr>
          <w:rFonts w:ascii="Arial" w:cs="Arial" w:eastAsia="Arial" w:hAnsi="Arial"/>
          <w:sz w:val="18"/>
          <w:szCs w:val="18"/>
          <w:b w:val="1"/>
          <w:bCs w:val="1"/>
          <w:i w:val="1"/>
          <w:iCs w:val="1"/>
          <w:color w:val="auto"/>
        </w:rPr>
        <w:t>Note 19—Unaudited Quarterly Data</w:t>
      </w:r>
    </w:p>
    <w:p>
      <w:pPr>
        <w:spacing w:after="0" w:line="126" w:lineRule="exact"/>
        <w:rPr>
          <w:sz w:val="20"/>
          <w:szCs w:val="20"/>
          <w:color w:val="auto"/>
        </w:rPr>
      </w:pPr>
    </w:p>
    <w:p>
      <w:pPr>
        <w:ind w:right="80" w:firstLine="518"/>
        <w:spacing w:after="0" w:line="237" w:lineRule="auto"/>
        <w:rPr>
          <w:sz w:val="20"/>
          <w:szCs w:val="20"/>
          <w:color w:val="auto"/>
        </w:rPr>
      </w:pPr>
      <w:r>
        <w:rPr>
          <w:rFonts w:ascii="Arial" w:cs="Arial" w:eastAsia="Arial" w:hAnsi="Arial"/>
          <w:sz w:val="18"/>
          <w:szCs w:val="18"/>
          <w:color w:val="auto"/>
        </w:rPr>
        <w:t>The following table sets forth unaudited quarterly consolidated statements of operations data for each of the quarters in the years ended December 31, 2019 and 2018. The Company has prepared the unaudited quarterly consolidated statements of operations data on a basis consistent with the audited annual consolidated financial statements. In the opinion of management, the financial information in this table reflects all adjustments, consisting of normal and recurring adjustments, necessary for the fair statement of this data. The amounts below reflect the revisions as discussed in Note 2, “Significant Accounting Policies”, and the 2019 amounts will be revised for interim periods in future filings and were not material to the previously-issued financial statements.</w:t>
      </w:r>
    </w:p>
    <w:p>
      <w:pPr>
        <w:spacing w:after="0" w:line="274"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276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2040" w:type="dxa"/>
            <w:vAlign w:val="bottom"/>
            <w:tcBorders>
              <w:bottom w:val="single" w:sz="8" w:color="auto"/>
            </w:tcBorders>
            <w:gridSpan w:val="6"/>
          </w:tcPr>
          <w:p>
            <w:pPr>
              <w:jc w:val="right"/>
              <w:ind w:right="680"/>
              <w:spacing w:after="0"/>
              <w:rPr>
                <w:sz w:val="20"/>
                <w:szCs w:val="20"/>
                <w:color w:val="auto"/>
              </w:rPr>
            </w:pPr>
            <w:r>
              <w:rPr>
                <w:rFonts w:ascii="Arial" w:cs="Arial" w:eastAsia="Arial" w:hAnsi="Arial"/>
                <w:sz w:val="14"/>
                <w:szCs w:val="14"/>
                <w:b w:val="1"/>
                <w:bCs w:val="1"/>
                <w:color w:val="auto"/>
              </w:rPr>
              <w:t>Quarter Ended</w:t>
            </w:r>
          </w:p>
        </w:tc>
        <w:tc>
          <w:tcPr>
            <w:tcW w:w="8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spacing w:after="0"/>
              <w:rPr>
                <w:sz w:val="15"/>
                <w:szCs w:val="15"/>
                <w:color w:val="auto"/>
              </w:rPr>
            </w:pPr>
          </w:p>
        </w:tc>
        <w:tc>
          <w:tcPr>
            <w:tcW w:w="80" w:type="dxa"/>
            <w:vAlign w:val="bottom"/>
          </w:tcPr>
          <w:p>
            <w:pPr>
              <w:spacing w:after="0"/>
              <w:rPr>
                <w:sz w:val="15"/>
                <w:szCs w:val="15"/>
                <w:color w:val="auto"/>
              </w:rPr>
            </w:pPr>
          </w:p>
        </w:tc>
      </w:tr>
      <w:tr>
        <w:trPr>
          <w:trHeight w:val="210"/>
        </w:trPr>
        <w:tc>
          <w:tcPr>
            <w:tcW w:w="276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2019</w:t>
            </w:r>
          </w:p>
        </w:tc>
        <w:tc>
          <w:tcPr>
            <w:tcW w:w="76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gridSpan w:val="4"/>
          </w:tcPr>
          <w:p>
            <w:pPr>
              <w:jc w:val="right"/>
              <w:ind w:right="120"/>
              <w:spacing w:after="0"/>
              <w:rPr>
                <w:sz w:val="20"/>
                <w:szCs w:val="20"/>
                <w:color w:val="auto"/>
              </w:rPr>
            </w:pPr>
            <w:r>
              <w:rPr>
                <w:rFonts w:ascii="Arial" w:cs="Arial" w:eastAsia="Arial" w:hAnsi="Arial"/>
                <w:sz w:val="14"/>
                <w:szCs w:val="14"/>
                <w:b w:val="1"/>
                <w:bCs w:val="1"/>
                <w:color w:val="auto"/>
              </w:rPr>
              <w:t>2018</w:t>
            </w:r>
          </w:p>
        </w:tc>
        <w:tc>
          <w:tcPr>
            <w:tcW w:w="76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r>
      <w:tr>
        <w:trPr>
          <w:trHeight w:val="156"/>
        </w:trPr>
        <w:tc>
          <w:tcPr>
            <w:tcW w:w="2760" w:type="dxa"/>
            <w:vAlign w:val="bottom"/>
          </w:tcPr>
          <w:p>
            <w:pPr>
              <w:spacing w:after="0"/>
              <w:rPr>
                <w:sz w:val="13"/>
                <w:szCs w:val="13"/>
                <w:color w:val="auto"/>
              </w:rPr>
            </w:pPr>
          </w:p>
        </w:tc>
        <w:tc>
          <w:tcPr>
            <w:tcW w:w="1120" w:type="dxa"/>
            <w:vAlign w:val="bottom"/>
            <w:gridSpan w:val="3"/>
          </w:tcPr>
          <w:p>
            <w:pPr>
              <w:jc w:val="right"/>
              <w:ind w:right="320"/>
              <w:spacing w:after="0" w:line="156" w:lineRule="exact"/>
              <w:rPr>
                <w:sz w:val="20"/>
                <w:szCs w:val="20"/>
                <w:color w:val="auto"/>
              </w:rPr>
            </w:pPr>
            <w:r>
              <w:rPr>
                <w:rFonts w:ascii="Arial" w:cs="Arial" w:eastAsia="Arial" w:hAnsi="Arial"/>
                <w:sz w:val="14"/>
                <w:szCs w:val="14"/>
                <w:b w:val="1"/>
                <w:bCs w:val="1"/>
                <w:color w:val="auto"/>
              </w:rPr>
              <w:t>December</w:t>
            </w:r>
          </w:p>
        </w:tc>
        <w:tc>
          <w:tcPr>
            <w:tcW w:w="1100" w:type="dxa"/>
            <w:vAlign w:val="bottom"/>
            <w:gridSpan w:val="3"/>
          </w:tcPr>
          <w:p>
            <w:pPr>
              <w:jc w:val="right"/>
              <w:ind w:right="300"/>
              <w:spacing w:after="0" w:line="156" w:lineRule="exact"/>
              <w:rPr>
                <w:sz w:val="20"/>
                <w:szCs w:val="20"/>
                <w:color w:val="auto"/>
              </w:rPr>
            </w:pPr>
            <w:r>
              <w:rPr>
                <w:rFonts w:ascii="Arial" w:cs="Arial" w:eastAsia="Arial" w:hAnsi="Arial"/>
                <w:sz w:val="14"/>
                <w:szCs w:val="14"/>
                <w:b w:val="1"/>
                <w:bCs w:val="1"/>
                <w:color w:val="auto"/>
              </w:rPr>
              <w:t>September</w:t>
            </w:r>
          </w:p>
        </w:tc>
        <w:tc>
          <w:tcPr>
            <w:tcW w:w="1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20" w:type="dxa"/>
            <w:vAlign w:val="bottom"/>
            <w:gridSpan w:val="3"/>
          </w:tcPr>
          <w:p>
            <w:pPr>
              <w:jc w:val="right"/>
              <w:ind w:right="240"/>
              <w:spacing w:after="0" w:line="156" w:lineRule="exact"/>
              <w:rPr>
                <w:sz w:val="20"/>
                <w:szCs w:val="20"/>
                <w:color w:val="auto"/>
              </w:rPr>
            </w:pPr>
            <w:r>
              <w:rPr>
                <w:rFonts w:ascii="Arial" w:cs="Arial" w:eastAsia="Arial" w:hAnsi="Arial"/>
                <w:sz w:val="14"/>
                <w:szCs w:val="14"/>
                <w:b w:val="1"/>
                <w:bCs w:val="1"/>
                <w:color w:val="auto"/>
              </w:rPr>
              <w:t>December</w:t>
            </w:r>
          </w:p>
        </w:tc>
        <w:tc>
          <w:tcPr>
            <w:tcW w:w="80" w:type="dxa"/>
            <w:vAlign w:val="bottom"/>
          </w:tcPr>
          <w:p>
            <w:pPr>
              <w:spacing w:after="0"/>
              <w:rPr>
                <w:sz w:val="13"/>
                <w:szCs w:val="13"/>
                <w:color w:val="auto"/>
              </w:rPr>
            </w:pPr>
          </w:p>
        </w:tc>
        <w:tc>
          <w:tcPr>
            <w:tcW w:w="1020" w:type="dxa"/>
            <w:vAlign w:val="bottom"/>
            <w:gridSpan w:val="3"/>
          </w:tcPr>
          <w:p>
            <w:pPr>
              <w:jc w:val="right"/>
              <w:ind w:right="200"/>
              <w:spacing w:after="0" w:line="156" w:lineRule="exact"/>
              <w:rPr>
                <w:sz w:val="20"/>
                <w:szCs w:val="20"/>
                <w:color w:val="auto"/>
              </w:rPr>
            </w:pPr>
            <w:r>
              <w:rPr>
                <w:rFonts w:ascii="Arial" w:cs="Arial" w:eastAsia="Arial" w:hAnsi="Arial"/>
                <w:sz w:val="14"/>
                <w:szCs w:val="14"/>
                <w:b w:val="1"/>
                <w:bCs w:val="1"/>
                <w:color w:val="auto"/>
              </w:rPr>
              <w:t>September</w:t>
            </w: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80" w:type="dxa"/>
            <w:vAlign w:val="bottom"/>
          </w:tcPr>
          <w:p>
            <w:pPr>
              <w:spacing w:after="0"/>
              <w:rPr>
                <w:sz w:val="13"/>
                <w:szCs w:val="13"/>
                <w:color w:val="auto"/>
              </w:rPr>
            </w:pPr>
          </w:p>
        </w:tc>
      </w:tr>
      <w:tr>
        <w:trPr>
          <w:trHeight w:val="175"/>
        </w:trPr>
        <w:tc>
          <w:tcPr>
            <w:tcW w:w="2760" w:type="dxa"/>
            <w:vAlign w:val="bottom"/>
            <w:tcBorders>
              <w:bottom w:val="single" w:sz="8" w:color="CFF0FC"/>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jc w:val="right"/>
              <w:ind w:right="272"/>
              <w:spacing w:after="0"/>
              <w:rPr>
                <w:sz w:val="20"/>
                <w:szCs w:val="20"/>
                <w:color w:val="auto"/>
              </w:rPr>
            </w:pPr>
            <w:r>
              <w:rPr>
                <w:rFonts w:ascii="Arial" w:cs="Arial" w:eastAsia="Arial" w:hAnsi="Arial"/>
                <w:sz w:val="14"/>
                <w:szCs w:val="14"/>
                <w:b w:val="1"/>
                <w:bCs w:val="1"/>
                <w:color w:val="auto"/>
              </w:rPr>
              <w:t>31,</w:t>
            </w:r>
          </w:p>
        </w:tc>
        <w:tc>
          <w:tcPr>
            <w:tcW w:w="220" w:type="dxa"/>
            <w:vAlign w:val="bottom"/>
            <w:tcBorders>
              <w:bottom w:val="single" w:sz="8" w:color="CFF0FC"/>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jc w:val="right"/>
              <w:ind w:right="274"/>
              <w:spacing w:after="0"/>
              <w:rPr>
                <w:sz w:val="20"/>
                <w:szCs w:val="20"/>
                <w:color w:val="auto"/>
              </w:rPr>
            </w:pPr>
            <w:r>
              <w:rPr>
                <w:rFonts w:ascii="Arial" w:cs="Arial" w:eastAsia="Arial" w:hAnsi="Arial"/>
                <w:sz w:val="14"/>
                <w:szCs w:val="14"/>
                <w:b w:val="1"/>
                <w:bCs w:val="1"/>
                <w:color w:val="auto"/>
              </w:rPr>
              <w:t>30,</w:t>
            </w:r>
          </w:p>
        </w:tc>
        <w:tc>
          <w:tcPr>
            <w:tcW w:w="220" w:type="dxa"/>
            <w:vAlign w:val="bottom"/>
            <w:tcBorders>
              <w:bottom w:val="single" w:sz="8" w:color="CFF0FC"/>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right"/>
              <w:ind w:right="72"/>
              <w:spacing w:after="0"/>
              <w:rPr>
                <w:sz w:val="20"/>
                <w:szCs w:val="20"/>
                <w:color w:val="auto"/>
              </w:rPr>
            </w:pPr>
            <w:r>
              <w:rPr>
                <w:rFonts w:ascii="Arial" w:cs="Arial" w:eastAsia="Arial" w:hAnsi="Arial"/>
                <w:sz w:val="14"/>
                <w:szCs w:val="14"/>
                <w:b w:val="1"/>
                <w:bCs w:val="1"/>
                <w:color w:val="auto"/>
              </w:rPr>
              <w:t>June 30,</w:t>
            </w:r>
          </w:p>
        </w:tc>
        <w:tc>
          <w:tcPr>
            <w:tcW w:w="220" w:type="dxa"/>
            <w:vAlign w:val="bottom"/>
            <w:tcBorders>
              <w:bottom w:val="single" w:sz="8" w:color="CFF0FC"/>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right"/>
              <w:ind w:right="34"/>
              <w:spacing w:after="0"/>
              <w:rPr>
                <w:sz w:val="20"/>
                <w:szCs w:val="20"/>
                <w:color w:val="auto"/>
              </w:rPr>
            </w:pPr>
            <w:r>
              <w:rPr>
                <w:rFonts w:ascii="Arial" w:cs="Arial" w:eastAsia="Arial" w:hAnsi="Arial"/>
                <w:sz w:val="14"/>
                <w:szCs w:val="14"/>
                <w:b w:val="1"/>
                <w:bCs w:val="1"/>
                <w:color w:val="auto"/>
              </w:rPr>
              <w:t>March 31,</w:t>
            </w:r>
          </w:p>
        </w:tc>
        <w:tc>
          <w:tcPr>
            <w:tcW w:w="140" w:type="dxa"/>
            <w:vAlign w:val="bottom"/>
            <w:tcBorders>
              <w:bottom w:val="single" w:sz="8" w:color="CFF0FC"/>
            </w:tcBorders>
          </w:tcPr>
          <w:p>
            <w:pPr>
              <w:spacing w:after="0"/>
              <w:rPr>
                <w:sz w:val="15"/>
                <w:szCs w:val="15"/>
                <w:color w:val="auto"/>
              </w:rPr>
            </w:pPr>
          </w:p>
        </w:tc>
        <w:tc>
          <w:tcPr>
            <w:tcW w:w="80" w:type="dxa"/>
            <w:vAlign w:val="bottom"/>
            <w:tcBorders>
              <w:bottom w:val="single" w:sz="8" w:color="CFF0FC"/>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jc w:val="right"/>
              <w:ind w:right="252"/>
              <w:spacing w:after="0"/>
              <w:rPr>
                <w:sz w:val="20"/>
                <w:szCs w:val="20"/>
                <w:color w:val="auto"/>
              </w:rPr>
            </w:pPr>
            <w:r>
              <w:rPr>
                <w:rFonts w:ascii="Arial" w:cs="Arial" w:eastAsia="Arial" w:hAnsi="Arial"/>
                <w:sz w:val="14"/>
                <w:szCs w:val="14"/>
                <w:b w:val="1"/>
                <w:bCs w:val="1"/>
                <w:color w:val="auto"/>
              </w:rPr>
              <w:t>31,</w:t>
            </w:r>
          </w:p>
        </w:tc>
        <w:tc>
          <w:tcPr>
            <w:tcW w:w="140" w:type="dxa"/>
            <w:vAlign w:val="bottom"/>
            <w:tcBorders>
              <w:bottom w:val="single" w:sz="8" w:color="CFF0FC"/>
            </w:tcBorders>
          </w:tcPr>
          <w:p>
            <w:pPr>
              <w:spacing w:after="0"/>
              <w:rPr>
                <w:sz w:val="15"/>
                <w:szCs w:val="15"/>
                <w:color w:val="auto"/>
              </w:rPr>
            </w:pPr>
          </w:p>
        </w:tc>
        <w:tc>
          <w:tcPr>
            <w:tcW w:w="80" w:type="dxa"/>
            <w:vAlign w:val="bottom"/>
            <w:tcBorders>
              <w:bottom w:val="single" w:sz="8" w:color="CFF0FC"/>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jc w:val="right"/>
              <w:ind w:right="274"/>
              <w:spacing w:after="0"/>
              <w:rPr>
                <w:sz w:val="20"/>
                <w:szCs w:val="20"/>
                <w:color w:val="auto"/>
              </w:rPr>
            </w:pPr>
            <w:r>
              <w:rPr>
                <w:rFonts w:ascii="Arial" w:cs="Arial" w:eastAsia="Arial" w:hAnsi="Arial"/>
                <w:sz w:val="14"/>
                <w:szCs w:val="14"/>
                <w:b w:val="1"/>
                <w:bCs w:val="1"/>
                <w:color w:val="auto"/>
              </w:rPr>
              <w:t>30,</w:t>
            </w:r>
          </w:p>
        </w:tc>
        <w:tc>
          <w:tcPr>
            <w:tcW w:w="120" w:type="dxa"/>
            <w:vAlign w:val="bottom"/>
            <w:tcBorders>
              <w:bottom w:val="single" w:sz="8" w:color="CFF0FC"/>
            </w:tcBorders>
          </w:tcPr>
          <w:p>
            <w:pPr>
              <w:spacing w:after="0"/>
              <w:rPr>
                <w:sz w:val="15"/>
                <w:szCs w:val="15"/>
                <w:color w:val="auto"/>
              </w:rPr>
            </w:pPr>
          </w:p>
        </w:tc>
        <w:tc>
          <w:tcPr>
            <w:tcW w:w="80" w:type="dxa"/>
            <w:vAlign w:val="bottom"/>
            <w:tcBorders>
              <w:bottom w:val="single" w:sz="8" w:color="CFF0FC"/>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right"/>
              <w:ind w:right="72"/>
              <w:spacing w:after="0"/>
              <w:rPr>
                <w:sz w:val="20"/>
                <w:szCs w:val="20"/>
                <w:color w:val="auto"/>
              </w:rPr>
            </w:pPr>
            <w:r>
              <w:rPr>
                <w:rFonts w:ascii="Arial" w:cs="Arial" w:eastAsia="Arial" w:hAnsi="Arial"/>
                <w:sz w:val="14"/>
                <w:szCs w:val="14"/>
                <w:b w:val="1"/>
                <w:bCs w:val="1"/>
                <w:color w:val="auto"/>
              </w:rPr>
              <w:t>June 30,</w:t>
            </w:r>
          </w:p>
        </w:tc>
        <w:tc>
          <w:tcPr>
            <w:tcW w:w="220" w:type="dxa"/>
            <w:vAlign w:val="bottom"/>
            <w:tcBorders>
              <w:bottom w:val="single" w:sz="8" w:color="CFF0FC"/>
            </w:tcBorders>
          </w:tcPr>
          <w:p>
            <w:pPr>
              <w:spacing w:after="0"/>
              <w:rPr>
                <w:sz w:val="15"/>
                <w:szCs w:val="15"/>
                <w:color w:val="auto"/>
              </w:rPr>
            </w:pPr>
          </w:p>
        </w:tc>
        <w:tc>
          <w:tcPr>
            <w:tcW w:w="82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March 31,</w:t>
            </w:r>
          </w:p>
        </w:tc>
        <w:tc>
          <w:tcPr>
            <w:tcW w:w="80" w:type="dxa"/>
            <w:vAlign w:val="bottom"/>
            <w:tcBorders>
              <w:bottom w:val="single" w:sz="8" w:color="CFF0FC"/>
            </w:tcBorders>
          </w:tcPr>
          <w:p>
            <w:pPr>
              <w:spacing w:after="0"/>
              <w:rPr>
                <w:sz w:val="15"/>
                <w:szCs w:val="15"/>
                <w:color w:val="auto"/>
              </w:rPr>
            </w:pPr>
          </w:p>
        </w:tc>
      </w:tr>
      <w:tr>
        <w:trPr>
          <w:trHeight w:val="210"/>
        </w:trPr>
        <w:tc>
          <w:tcPr>
            <w:tcW w:w="2760" w:type="dxa"/>
            <w:vAlign w:val="bottom"/>
            <w:shd w:val="clear" w:color="auto" w:fill="CFF0FC"/>
          </w:tcPr>
          <w:p>
            <w:pPr>
              <w:spacing w:after="0"/>
              <w:rPr>
                <w:sz w:val="20"/>
                <w:szCs w:val="20"/>
                <w:color w:val="auto"/>
              </w:rPr>
            </w:pPr>
            <w:r>
              <w:rPr>
                <w:rFonts w:ascii="Arial" w:cs="Arial" w:eastAsia="Arial" w:hAnsi="Arial"/>
                <w:sz w:val="18"/>
                <w:szCs w:val="18"/>
                <w:color w:val="auto"/>
              </w:rPr>
              <w:t>Revenues</w:t>
            </w:r>
          </w:p>
        </w:tc>
        <w:tc>
          <w:tcPr>
            <w:tcW w:w="22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w w:val="79"/>
              </w:rPr>
              <w:t>$</w:t>
            </w: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80,258</w:t>
            </w:r>
          </w:p>
        </w:tc>
        <w:tc>
          <w:tcPr>
            <w:tcW w:w="220" w:type="dxa"/>
            <w:vAlign w:val="bottom"/>
            <w:shd w:val="clear" w:color="auto" w:fill="CFF0FC"/>
          </w:tcPr>
          <w:p>
            <w:pPr>
              <w:spacing w:after="0"/>
              <w:rPr>
                <w:sz w:val="18"/>
                <w:szCs w:val="18"/>
                <w:color w:val="auto"/>
              </w:rPr>
            </w:pPr>
          </w:p>
        </w:tc>
        <w:tc>
          <w:tcPr>
            <w:tcW w:w="200" w:type="dxa"/>
            <w:vAlign w:val="bottom"/>
            <w:shd w:val="clear" w:color="auto" w:fill="CFF0FC"/>
          </w:tcPr>
          <w:p>
            <w:pPr>
              <w:jc w:val="right"/>
              <w:ind w:right="12"/>
              <w:spacing w:after="0"/>
              <w:rPr>
                <w:sz w:val="20"/>
                <w:szCs w:val="20"/>
                <w:color w:val="auto"/>
              </w:rPr>
            </w:pPr>
            <w:r>
              <w:rPr>
                <w:rFonts w:ascii="Arial" w:cs="Arial" w:eastAsia="Arial" w:hAnsi="Arial"/>
                <w:sz w:val="18"/>
                <w:szCs w:val="18"/>
                <w:color w:val="auto"/>
                <w:w w:val="79"/>
              </w:rPr>
              <w:t>$</w:t>
            </w: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74,925</w:t>
            </w:r>
          </w:p>
        </w:tc>
        <w:tc>
          <w:tcPr>
            <w:tcW w:w="220" w:type="dxa"/>
            <w:vAlign w:val="bottom"/>
            <w:shd w:val="clear" w:color="auto" w:fill="CFF0FC"/>
          </w:tcPr>
          <w:p>
            <w:pPr>
              <w:spacing w:after="0"/>
              <w:rPr>
                <w:sz w:val="18"/>
                <w:szCs w:val="18"/>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69,664</w:t>
            </w:r>
          </w:p>
        </w:tc>
        <w:tc>
          <w:tcPr>
            <w:tcW w:w="220" w:type="dxa"/>
            <w:vAlign w:val="bottom"/>
            <w:shd w:val="clear" w:color="auto" w:fill="CFF0FC"/>
          </w:tcPr>
          <w:p>
            <w:pPr>
              <w:spacing w:after="0"/>
              <w:rPr>
                <w:sz w:val="18"/>
                <w:szCs w:val="18"/>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64,129</w:t>
            </w:r>
          </w:p>
        </w:tc>
        <w:tc>
          <w:tcPr>
            <w:tcW w:w="140" w:type="dxa"/>
            <w:vAlign w:val="bottom"/>
            <w:shd w:val="clear" w:color="auto" w:fill="CFF0FC"/>
          </w:tcPr>
          <w:p>
            <w:pPr>
              <w:spacing w:after="0"/>
              <w:rPr>
                <w:sz w:val="18"/>
                <w:szCs w:val="18"/>
                <w:color w:val="auto"/>
              </w:rPr>
            </w:pPr>
          </w:p>
        </w:tc>
        <w:tc>
          <w:tcPr>
            <w:tcW w:w="280" w:type="dxa"/>
            <w:vAlign w:val="bottom"/>
            <w:gridSpan w:val="2"/>
            <w:shd w:val="clear" w:color="auto" w:fill="CFF0FC"/>
          </w:tcPr>
          <w:p>
            <w:pPr>
              <w:jc w:val="right"/>
              <w:ind w:right="28"/>
              <w:spacing w:after="0"/>
              <w:rPr>
                <w:sz w:val="20"/>
                <w:szCs w:val="20"/>
                <w:color w:val="auto"/>
              </w:rPr>
            </w:pPr>
            <w:r>
              <w:rPr>
                <w:rFonts w:ascii="Arial" w:cs="Arial" w:eastAsia="Arial" w:hAnsi="Arial"/>
                <w:sz w:val="18"/>
                <w:szCs w:val="18"/>
                <w:color w:val="auto"/>
              </w:rPr>
              <w:t>$</w:t>
            </w: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62,316</w:t>
            </w:r>
          </w:p>
        </w:tc>
        <w:tc>
          <w:tcPr>
            <w:tcW w:w="140" w:type="dxa"/>
            <w:vAlign w:val="bottom"/>
            <w:shd w:val="clear" w:color="auto" w:fill="CFF0FC"/>
          </w:tcPr>
          <w:p>
            <w:pPr>
              <w:spacing w:after="0"/>
              <w:rPr>
                <w:sz w:val="18"/>
                <w:szCs w:val="18"/>
                <w:color w:val="auto"/>
              </w:rPr>
            </w:pPr>
          </w:p>
        </w:tc>
        <w:tc>
          <w:tcPr>
            <w:tcW w:w="300" w:type="dxa"/>
            <w:vAlign w:val="bottom"/>
            <w:gridSpan w:val="2"/>
            <w:shd w:val="clear" w:color="auto" w:fill="CFF0FC"/>
          </w:tcPr>
          <w:p>
            <w:pPr>
              <w:jc w:val="right"/>
              <w:ind w:right="48"/>
              <w:spacing w:after="0"/>
              <w:rPr>
                <w:sz w:val="20"/>
                <w:szCs w:val="20"/>
                <w:color w:val="auto"/>
              </w:rPr>
            </w:pPr>
            <w:r>
              <w:rPr>
                <w:rFonts w:ascii="Arial" w:cs="Arial" w:eastAsia="Arial" w:hAnsi="Arial"/>
                <w:sz w:val="18"/>
                <w:szCs w:val="18"/>
                <w:color w:val="auto"/>
              </w:rPr>
              <w:t>$</w:t>
            </w: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58,734</w:t>
            </w:r>
          </w:p>
        </w:tc>
        <w:tc>
          <w:tcPr>
            <w:tcW w:w="120" w:type="dxa"/>
            <w:vAlign w:val="bottom"/>
            <w:shd w:val="clear" w:color="auto" w:fill="CFF0FC"/>
          </w:tcPr>
          <w:p>
            <w:pPr>
              <w:spacing w:after="0"/>
              <w:rPr>
                <w:sz w:val="18"/>
                <w:szCs w:val="18"/>
                <w:color w:val="auto"/>
              </w:rPr>
            </w:pPr>
          </w:p>
        </w:tc>
        <w:tc>
          <w:tcPr>
            <w:tcW w:w="22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w:t>
            </w: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55,454</w:t>
            </w:r>
          </w:p>
        </w:tc>
        <w:tc>
          <w:tcPr>
            <w:tcW w:w="220" w:type="dxa"/>
            <w:vAlign w:val="bottom"/>
            <w:shd w:val="clear" w:color="auto" w:fill="CFF0FC"/>
          </w:tcPr>
          <w:p>
            <w:pPr>
              <w:spacing w:after="0"/>
              <w:rPr>
                <w:sz w:val="18"/>
                <w:szCs w:val="18"/>
                <w:color w:val="auto"/>
              </w:rPr>
            </w:pP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51,284</w:t>
            </w:r>
          </w:p>
        </w:tc>
        <w:tc>
          <w:tcPr>
            <w:tcW w:w="80" w:type="dxa"/>
            <w:vAlign w:val="bottom"/>
            <w:shd w:val="clear" w:color="auto" w:fill="CFF0FC"/>
          </w:tcPr>
          <w:p>
            <w:pPr>
              <w:spacing w:after="0"/>
              <w:rPr>
                <w:sz w:val="18"/>
                <w:szCs w:val="18"/>
                <w:color w:val="auto"/>
              </w:rPr>
            </w:pPr>
          </w:p>
        </w:tc>
      </w:tr>
      <w:tr>
        <w:trPr>
          <w:trHeight w:val="216"/>
        </w:trPr>
        <w:tc>
          <w:tcPr>
            <w:tcW w:w="2760" w:type="dxa"/>
            <w:vAlign w:val="bottom"/>
          </w:tcPr>
          <w:p>
            <w:pPr>
              <w:spacing w:after="0"/>
              <w:rPr>
                <w:sz w:val="20"/>
                <w:szCs w:val="20"/>
                <w:color w:val="auto"/>
              </w:rPr>
            </w:pPr>
            <w:r>
              <w:rPr>
                <w:rFonts w:ascii="Arial" w:cs="Arial" w:eastAsia="Arial" w:hAnsi="Arial"/>
                <w:sz w:val="18"/>
                <w:szCs w:val="18"/>
                <w:color w:val="auto"/>
              </w:rPr>
              <w:t>Gross profit</w:t>
            </w:r>
          </w:p>
        </w:tc>
        <w:tc>
          <w:tcPr>
            <w:tcW w:w="220" w:type="dxa"/>
            <w:vAlign w:val="bottom"/>
          </w:tcPr>
          <w:p>
            <w:pPr>
              <w:jc w:val="right"/>
              <w:ind w:right="32"/>
              <w:spacing w:after="0"/>
              <w:rPr>
                <w:sz w:val="20"/>
                <w:szCs w:val="20"/>
                <w:color w:val="auto"/>
              </w:rPr>
            </w:pPr>
            <w:r>
              <w:rPr>
                <w:rFonts w:ascii="Arial" w:cs="Arial" w:eastAsia="Arial" w:hAnsi="Arial"/>
                <w:sz w:val="18"/>
                <w:szCs w:val="18"/>
                <w:color w:val="auto"/>
                <w:w w:val="79"/>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65,137</w:t>
            </w:r>
          </w:p>
        </w:tc>
        <w:tc>
          <w:tcPr>
            <w:tcW w:w="220" w:type="dxa"/>
            <w:vAlign w:val="bottom"/>
          </w:tcPr>
          <w:p>
            <w:pPr>
              <w:spacing w:after="0"/>
              <w:rPr>
                <w:sz w:val="18"/>
                <w:szCs w:val="18"/>
                <w:color w:val="auto"/>
              </w:rPr>
            </w:pPr>
          </w:p>
        </w:tc>
        <w:tc>
          <w:tcPr>
            <w:tcW w:w="200" w:type="dxa"/>
            <w:vAlign w:val="bottom"/>
          </w:tcPr>
          <w:p>
            <w:pPr>
              <w:jc w:val="right"/>
              <w:ind w:right="12"/>
              <w:spacing w:after="0"/>
              <w:rPr>
                <w:sz w:val="20"/>
                <w:szCs w:val="20"/>
                <w:color w:val="auto"/>
              </w:rPr>
            </w:pPr>
            <w:r>
              <w:rPr>
                <w:rFonts w:ascii="Arial" w:cs="Arial" w:eastAsia="Arial" w:hAnsi="Arial"/>
                <w:sz w:val="18"/>
                <w:szCs w:val="18"/>
                <w:color w:val="auto"/>
                <w:w w:val="79"/>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59,633</w:t>
            </w:r>
          </w:p>
        </w:tc>
        <w:tc>
          <w:tcPr>
            <w:tcW w:w="22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54,720</w:t>
            </w:r>
          </w:p>
        </w:tc>
        <w:tc>
          <w:tcPr>
            <w:tcW w:w="22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50,511</w:t>
            </w:r>
          </w:p>
        </w:tc>
        <w:tc>
          <w:tcPr>
            <w:tcW w:w="140" w:type="dxa"/>
            <w:vAlign w:val="bottom"/>
          </w:tcPr>
          <w:p>
            <w:pPr>
              <w:spacing w:after="0"/>
              <w:rPr>
                <w:sz w:val="18"/>
                <w:szCs w:val="18"/>
                <w:color w:val="auto"/>
              </w:rPr>
            </w:pPr>
          </w:p>
        </w:tc>
        <w:tc>
          <w:tcPr>
            <w:tcW w:w="280" w:type="dxa"/>
            <w:vAlign w:val="bottom"/>
            <w:gridSpan w:val="2"/>
          </w:tcPr>
          <w:p>
            <w:pPr>
              <w:jc w:val="right"/>
              <w:ind w:right="28"/>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48,431</w:t>
            </w:r>
          </w:p>
        </w:tc>
        <w:tc>
          <w:tcPr>
            <w:tcW w:w="140" w:type="dxa"/>
            <w:vAlign w:val="bottom"/>
          </w:tcPr>
          <w:p>
            <w:pPr>
              <w:spacing w:after="0"/>
              <w:rPr>
                <w:sz w:val="18"/>
                <w:szCs w:val="18"/>
                <w:color w:val="auto"/>
              </w:rPr>
            </w:pPr>
          </w:p>
        </w:tc>
        <w:tc>
          <w:tcPr>
            <w:tcW w:w="300" w:type="dxa"/>
            <w:vAlign w:val="bottom"/>
            <w:gridSpan w:val="2"/>
          </w:tcPr>
          <w:p>
            <w:pPr>
              <w:jc w:val="right"/>
              <w:ind w:right="48"/>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45,217</w:t>
            </w:r>
          </w:p>
        </w:tc>
        <w:tc>
          <w:tcPr>
            <w:tcW w:w="120" w:type="dxa"/>
            <w:vAlign w:val="bottom"/>
          </w:tcPr>
          <w:p>
            <w:pPr>
              <w:spacing w:after="0"/>
              <w:rPr>
                <w:sz w:val="18"/>
                <w:szCs w:val="18"/>
                <w:color w:val="auto"/>
              </w:rPr>
            </w:pPr>
          </w:p>
        </w:tc>
        <w:tc>
          <w:tcPr>
            <w:tcW w:w="22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43,588</w:t>
            </w:r>
          </w:p>
        </w:tc>
        <w:tc>
          <w:tcPr>
            <w:tcW w:w="22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39,678</w:t>
            </w:r>
          </w:p>
        </w:tc>
        <w:tc>
          <w:tcPr>
            <w:tcW w:w="80" w:type="dxa"/>
            <w:vAlign w:val="bottom"/>
          </w:tcPr>
          <w:p>
            <w:pPr>
              <w:spacing w:after="0"/>
              <w:rPr>
                <w:sz w:val="18"/>
                <w:szCs w:val="18"/>
                <w:color w:val="auto"/>
              </w:rPr>
            </w:pPr>
          </w:p>
        </w:tc>
      </w:tr>
      <w:tr>
        <w:trPr>
          <w:trHeight w:val="216"/>
        </w:trPr>
        <w:tc>
          <w:tcPr>
            <w:tcW w:w="2760" w:type="dxa"/>
            <w:vAlign w:val="bottom"/>
            <w:shd w:val="clear" w:color="auto" w:fill="CFF0FC"/>
          </w:tcPr>
          <w:p>
            <w:pPr>
              <w:spacing w:after="0"/>
              <w:rPr>
                <w:sz w:val="20"/>
                <w:szCs w:val="20"/>
                <w:color w:val="auto"/>
              </w:rPr>
            </w:pPr>
            <w:r>
              <w:rPr>
                <w:rFonts w:ascii="Arial" w:cs="Arial" w:eastAsia="Arial" w:hAnsi="Arial"/>
                <w:sz w:val="18"/>
                <w:szCs w:val="18"/>
                <w:color w:val="auto"/>
              </w:rPr>
              <w:t>Net loss</w:t>
            </w:r>
          </w:p>
        </w:tc>
        <w:tc>
          <w:tcPr>
            <w:tcW w:w="22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w w:val="79"/>
              </w:rPr>
              <w:t>$</w:t>
            </w:r>
          </w:p>
        </w:tc>
        <w:tc>
          <w:tcPr>
            <w:tcW w:w="90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(8,712)</w:t>
            </w:r>
          </w:p>
        </w:tc>
        <w:tc>
          <w:tcPr>
            <w:tcW w:w="200" w:type="dxa"/>
            <w:vAlign w:val="bottom"/>
            <w:shd w:val="clear" w:color="auto" w:fill="CFF0FC"/>
          </w:tcPr>
          <w:p>
            <w:pPr>
              <w:jc w:val="right"/>
              <w:ind w:right="12"/>
              <w:spacing w:after="0"/>
              <w:rPr>
                <w:sz w:val="20"/>
                <w:szCs w:val="20"/>
                <w:color w:val="auto"/>
              </w:rPr>
            </w:pPr>
            <w:r>
              <w:rPr>
                <w:rFonts w:ascii="Arial" w:cs="Arial" w:eastAsia="Arial" w:hAnsi="Arial"/>
                <w:sz w:val="18"/>
                <w:szCs w:val="18"/>
                <w:color w:val="auto"/>
                <w:w w:val="79"/>
              </w:rPr>
              <w:t>$</w:t>
            </w:r>
          </w:p>
        </w:tc>
        <w:tc>
          <w:tcPr>
            <w:tcW w:w="90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(8,876)</w:t>
            </w:r>
          </w:p>
        </w:tc>
        <w:tc>
          <w:tcPr>
            <w:tcW w:w="1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(5,527)</w:t>
            </w:r>
          </w:p>
        </w:tc>
        <w:tc>
          <w:tcPr>
            <w:tcW w:w="1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(9,031)</w:t>
            </w:r>
          </w:p>
        </w:tc>
        <w:tc>
          <w:tcPr>
            <w:tcW w:w="280" w:type="dxa"/>
            <w:vAlign w:val="bottom"/>
            <w:gridSpan w:val="2"/>
            <w:shd w:val="clear" w:color="auto" w:fill="CFF0FC"/>
          </w:tcPr>
          <w:p>
            <w:pPr>
              <w:jc w:val="right"/>
              <w:ind w:right="28"/>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(8,205)</w:t>
            </w:r>
          </w:p>
        </w:tc>
        <w:tc>
          <w:tcPr>
            <w:tcW w:w="300" w:type="dxa"/>
            <w:vAlign w:val="bottom"/>
            <w:gridSpan w:val="2"/>
            <w:shd w:val="clear" w:color="auto" w:fill="CFF0FC"/>
          </w:tcPr>
          <w:p>
            <w:pPr>
              <w:jc w:val="right"/>
              <w:ind w:right="48"/>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(4,766)</w:t>
            </w:r>
          </w:p>
        </w:tc>
        <w:tc>
          <w:tcPr>
            <w:tcW w:w="22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(8,553)</w:t>
            </w: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(7,252)</w:t>
            </w:r>
          </w:p>
        </w:tc>
      </w:tr>
      <w:tr>
        <w:trPr>
          <w:trHeight w:val="215"/>
        </w:trPr>
        <w:tc>
          <w:tcPr>
            <w:tcW w:w="2760" w:type="dxa"/>
            <w:vAlign w:val="bottom"/>
          </w:tcPr>
          <w:p>
            <w:pPr>
              <w:spacing w:after="0"/>
              <w:rPr>
                <w:sz w:val="20"/>
                <w:szCs w:val="20"/>
                <w:color w:val="auto"/>
              </w:rPr>
            </w:pPr>
            <w:r>
              <w:rPr>
                <w:rFonts w:ascii="Arial" w:cs="Arial" w:eastAsia="Arial" w:hAnsi="Arial"/>
                <w:sz w:val="18"/>
                <w:szCs w:val="18"/>
                <w:color w:val="auto"/>
              </w:rPr>
              <w:t>Net loss attributable to non-</w:t>
            </w:r>
          </w:p>
        </w:tc>
        <w:tc>
          <w:tcPr>
            <w:tcW w:w="2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03"/>
        </w:trPr>
        <w:tc>
          <w:tcPr>
            <w:tcW w:w="2760" w:type="dxa"/>
            <w:vAlign w:val="bottom"/>
          </w:tcPr>
          <w:p>
            <w:pPr>
              <w:spacing w:after="0" w:line="203" w:lineRule="exact"/>
              <w:rPr>
                <w:sz w:val="20"/>
                <w:szCs w:val="20"/>
                <w:color w:val="auto"/>
              </w:rPr>
            </w:pPr>
            <w:r>
              <w:rPr>
                <w:rFonts w:ascii="Arial" w:cs="Arial" w:eastAsia="Arial" w:hAnsi="Arial"/>
                <w:sz w:val="18"/>
                <w:szCs w:val="18"/>
                <w:color w:val="auto"/>
              </w:rPr>
              <w:t>controlling interest</w:t>
            </w:r>
          </w:p>
        </w:tc>
        <w:tc>
          <w:tcPr>
            <w:tcW w:w="220" w:type="dxa"/>
            <w:vAlign w:val="bottom"/>
          </w:tcPr>
          <w:p>
            <w:pPr>
              <w:jc w:val="right"/>
              <w:ind w:right="32"/>
              <w:spacing w:after="0" w:line="203" w:lineRule="exact"/>
              <w:rPr>
                <w:sz w:val="20"/>
                <w:szCs w:val="20"/>
                <w:color w:val="auto"/>
              </w:rPr>
            </w:pPr>
            <w:r>
              <w:rPr>
                <w:rFonts w:ascii="Arial" w:cs="Arial" w:eastAsia="Arial" w:hAnsi="Arial"/>
                <w:sz w:val="18"/>
                <w:szCs w:val="18"/>
                <w:color w:val="auto"/>
                <w:w w:val="79"/>
              </w:rPr>
              <w:t>$</w:t>
            </w:r>
          </w:p>
        </w:tc>
        <w:tc>
          <w:tcPr>
            <w:tcW w:w="900" w:type="dxa"/>
            <w:vAlign w:val="bottom"/>
            <w:gridSpan w:val="2"/>
          </w:tcPr>
          <w:p>
            <w:pPr>
              <w:jc w:val="right"/>
              <w:ind w:right="160"/>
              <w:spacing w:after="0" w:line="203" w:lineRule="exact"/>
              <w:rPr>
                <w:sz w:val="20"/>
                <w:szCs w:val="20"/>
                <w:color w:val="auto"/>
              </w:rPr>
            </w:pPr>
            <w:r>
              <w:rPr>
                <w:rFonts w:ascii="Arial" w:cs="Arial" w:eastAsia="Arial" w:hAnsi="Arial"/>
                <w:sz w:val="18"/>
                <w:szCs w:val="18"/>
                <w:color w:val="auto"/>
              </w:rPr>
              <w:t>(466)</w:t>
            </w:r>
          </w:p>
        </w:tc>
        <w:tc>
          <w:tcPr>
            <w:tcW w:w="200" w:type="dxa"/>
            <w:vAlign w:val="bottom"/>
          </w:tcPr>
          <w:p>
            <w:pPr>
              <w:jc w:val="right"/>
              <w:ind w:right="12"/>
              <w:spacing w:after="0" w:line="203" w:lineRule="exact"/>
              <w:rPr>
                <w:sz w:val="20"/>
                <w:szCs w:val="20"/>
                <w:color w:val="auto"/>
              </w:rPr>
            </w:pPr>
            <w:r>
              <w:rPr>
                <w:rFonts w:ascii="Arial" w:cs="Arial" w:eastAsia="Arial" w:hAnsi="Arial"/>
                <w:sz w:val="18"/>
                <w:szCs w:val="18"/>
                <w:color w:val="auto"/>
                <w:w w:val="79"/>
              </w:rPr>
              <w:t>$</w:t>
            </w:r>
          </w:p>
        </w:tc>
        <w:tc>
          <w:tcPr>
            <w:tcW w:w="900" w:type="dxa"/>
            <w:vAlign w:val="bottom"/>
            <w:gridSpan w:val="2"/>
          </w:tcPr>
          <w:p>
            <w:pPr>
              <w:jc w:val="right"/>
              <w:ind w:right="160"/>
              <w:spacing w:after="0" w:line="203" w:lineRule="exact"/>
              <w:rPr>
                <w:sz w:val="20"/>
                <w:szCs w:val="20"/>
                <w:color w:val="auto"/>
              </w:rPr>
            </w:pPr>
            <w:r>
              <w:rPr>
                <w:rFonts w:ascii="Arial" w:cs="Arial" w:eastAsia="Arial" w:hAnsi="Arial"/>
                <w:sz w:val="18"/>
                <w:szCs w:val="18"/>
                <w:color w:val="auto"/>
              </w:rPr>
              <w:t>(509)</w:t>
            </w:r>
          </w:p>
        </w:tc>
        <w:tc>
          <w:tcPr>
            <w:tcW w:w="120" w:type="dxa"/>
            <w:vAlign w:val="bottom"/>
          </w:tcPr>
          <w:p>
            <w:pPr>
              <w:jc w:val="right"/>
              <w:spacing w:after="0" w:line="203" w:lineRule="exact"/>
              <w:rPr>
                <w:sz w:val="20"/>
                <w:szCs w:val="20"/>
                <w:color w:val="auto"/>
              </w:rPr>
            </w:pPr>
            <w:r>
              <w:rPr>
                <w:rFonts w:ascii="Arial" w:cs="Arial" w:eastAsia="Arial" w:hAnsi="Arial"/>
                <w:sz w:val="18"/>
                <w:szCs w:val="18"/>
                <w:color w:val="auto"/>
                <w:w w:val="79"/>
              </w:rPr>
              <w:t>$</w:t>
            </w:r>
          </w:p>
        </w:tc>
        <w:tc>
          <w:tcPr>
            <w:tcW w:w="980" w:type="dxa"/>
            <w:vAlign w:val="bottom"/>
            <w:gridSpan w:val="2"/>
          </w:tcPr>
          <w:p>
            <w:pPr>
              <w:jc w:val="right"/>
              <w:ind w:right="160"/>
              <w:spacing w:after="0" w:line="203" w:lineRule="exact"/>
              <w:rPr>
                <w:sz w:val="20"/>
                <w:szCs w:val="20"/>
                <w:color w:val="auto"/>
              </w:rPr>
            </w:pPr>
            <w:r>
              <w:rPr>
                <w:rFonts w:ascii="Arial" w:cs="Arial" w:eastAsia="Arial" w:hAnsi="Arial"/>
                <w:sz w:val="18"/>
                <w:szCs w:val="18"/>
                <w:color w:val="auto"/>
              </w:rPr>
              <w:t>(219)</w:t>
            </w:r>
          </w:p>
        </w:tc>
        <w:tc>
          <w:tcPr>
            <w:tcW w:w="100" w:type="dxa"/>
            <w:vAlign w:val="bottom"/>
          </w:tcPr>
          <w:p>
            <w:pPr>
              <w:jc w:val="right"/>
              <w:spacing w:after="0" w:line="203" w:lineRule="exact"/>
              <w:rPr>
                <w:sz w:val="20"/>
                <w:szCs w:val="20"/>
                <w:color w:val="auto"/>
              </w:rPr>
            </w:pPr>
            <w:r>
              <w:rPr>
                <w:rFonts w:ascii="Arial" w:cs="Arial" w:eastAsia="Arial" w:hAnsi="Arial"/>
                <w:sz w:val="18"/>
                <w:szCs w:val="18"/>
                <w:color w:val="auto"/>
                <w:w w:val="79"/>
              </w:rPr>
              <w:t>$</w:t>
            </w:r>
          </w:p>
        </w:tc>
        <w:tc>
          <w:tcPr>
            <w:tcW w:w="940" w:type="dxa"/>
            <w:vAlign w:val="bottom"/>
            <w:gridSpan w:val="2"/>
          </w:tcPr>
          <w:p>
            <w:pPr>
              <w:jc w:val="right"/>
              <w:ind w:right="80"/>
              <w:spacing w:after="0" w:line="203" w:lineRule="exact"/>
              <w:rPr>
                <w:sz w:val="20"/>
                <w:szCs w:val="20"/>
                <w:color w:val="auto"/>
              </w:rPr>
            </w:pPr>
            <w:r>
              <w:rPr>
                <w:rFonts w:ascii="Arial" w:cs="Arial" w:eastAsia="Arial" w:hAnsi="Arial"/>
                <w:sz w:val="18"/>
                <w:szCs w:val="18"/>
                <w:color w:val="auto"/>
              </w:rPr>
              <w:t>(250)</w:t>
            </w:r>
          </w:p>
        </w:tc>
        <w:tc>
          <w:tcPr>
            <w:tcW w:w="280" w:type="dxa"/>
            <w:vAlign w:val="bottom"/>
            <w:gridSpan w:val="2"/>
          </w:tcPr>
          <w:p>
            <w:pPr>
              <w:jc w:val="right"/>
              <w:ind w:right="28"/>
              <w:spacing w:after="0" w:line="203" w:lineRule="exact"/>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80"/>
              <w:spacing w:after="0" w:line="203" w:lineRule="exact"/>
              <w:rPr>
                <w:sz w:val="20"/>
                <w:szCs w:val="20"/>
                <w:color w:val="auto"/>
              </w:rPr>
            </w:pPr>
            <w:r>
              <w:rPr>
                <w:rFonts w:ascii="Arial" w:cs="Arial" w:eastAsia="Arial" w:hAnsi="Arial"/>
                <w:sz w:val="18"/>
                <w:szCs w:val="18"/>
                <w:color w:val="auto"/>
              </w:rPr>
              <w:t>(62)</w:t>
            </w:r>
          </w:p>
        </w:tc>
        <w:tc>
          <w:tcPr>
            <w:tcW w:w="300" w:type="dxa"/>
            <w:vAlign w:val="bottom"/>
            <w:gridSpan w:val="2"/>
          </w:tcPr>
          <w:p>
            <w:pPr>
              <w:jc w:val="right"/>
              <w:ind w:right="48"/>
              <w:spacing w:after="0" w:line="203" w:lineRule="exact"/>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140"/>
              <w:spacing w:after="0" w:line="203" w:lineRule="exact"/>
              <w:rPr>
                <w:sz w:val="20"/>
                <w:szCs w:val="20"/>
                <w:color w:val="auto"/>
              </w:rPr>
            </w:pPr>
            <w:r>
              <w:rPr>
                <w:rFonts w:ascii="Arial" w:cs="Arial" w:eastAsia="Arial" w:hAnsi="Arial"/>
                <w:sz w:val="18"/>
                <w:szCs w:val="18"/>
                <w:color w:val="auto"/>
              </w:rPr>
              <w:t>—</w:t>
            </w:r>
          </w:p>
        </w:tc>
        <w:tc>
          <w:tcPr>
            <w:tcW w:w="220" w:type="dxa"/>
            <w:vAlign w:val="bottom"/>
            <w:gridSpan w:val="2"/>
          </w:tcPr>
          <w:p>
            <w:pPr>
              <w:jc w:val="right"/>
              <w:ind w:right="40"/>
              <w:spacing w:after="0" w:line="203" w:lineRule="exact"/>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240"/>
              <w:spacing w:after="0" w:line="203" w:lineRule="exact"/>
              <w:rPr>
                <w:sz w:val="20"/>
                <w:szCs w:val="20"/>
                <w:color w:val="auto"/>
              </w:rPr>
            </w:pPr>
            <w:r>
              <w:rPr>
                <w:rFonts w:ascii="Arial" w:cs="Arial" w:eastAsia="Arial" w:hAnsi="Arial"/>
                <w:sz w:val="18"/>
                <w:szCs w:val="18"/>
                <w:color w:val="auto"/>
              </w:rPr>
              <w:t>—</w:t>
            </w:r>
          </w:p>
        </w:tc>
        <w:tc>
          <w:tcPr>
            <w:tcW w:w="180" w:type="dxa"/>
            <w:vAlign w:val="bottom"/>
          </w:tcPr>
          <w:p>
            <w:pPr>
              <w:jc w:val="right"/>
              <w:spacing w:after="0" w:line="203" w:lineRule="exact"/>
              <w:rPr>
                <w:sz w:val="20"/>
                <w:szCs w:val="20"/>
                <w:color w:val="auto"/>
              </w:rPr>
            </w:pPr>
            <w:r>
              <w:rPr>
                <w:rFonts w:ascii="Arial" w:cs="Arial" w:eastAsia="Arial" w:hAnsi="Arial"/>
                <w:sz w:val="18"/>
                <w:szCs w:val="18"/>
                <w:color w:val="auto"/>
                <w:w w:val="79"/>
              </w:rPr>
              <w:t>$</w:t>
            </w:r>
          </w:p>
        </w:tc>
        <w:tc>
          <w:tcPr>
            <w:tcW w:w="720" w:type="dxa"/>
            <w:vAlign w:val="bottom"/>
            <w:gridSpan w:val="2"/>
          </w:tcPr>
          <w:p>
            <w:pPr>
              <w:jc w:val="right"/>
              <w:ind w:right="100"/>
              <w:spacing w:after="0" w:line="203" w:lineRule="exact"/>
              <w:rPr>
                <w:sz w:val="20"/>
                <w:szCs w:val="20"/>
                <w:color w:val="auto"/>
              </w:rPr>
            </w:pPr>
            <w:r>
              <w:rPr>
                <w:rFonts w:ascii="Arial" w:cs="Arial" w:eastAsia="Arial" w:hAnsi="Arial"/>
                <w:sz w:val="18"/>
                <w:szCs w:val="18"/>
                <w:color w:val="auto"/>
              </w:rPr>
              <w:t>—</w:t>
            </w:r>
          </w:p>
        </w:tc>
      </w:tr>
      <w:tr>
        <w:trPr>
          <w:trHeight w:val="215"/>
        </w:trPr>
        <w:tc>
          <w:tcPr>
            <w:tcW w:w="2760" w:type="dxa"/>
            <w:vAlign w:val="bottom"/>
            <w:shd w:val="clear" w:color="auto" w:fill="CFF0FC"/>
          </w:tcPr>
          <w:p>
            <w:pPr>
              <w:spacing w:after="0"/>
              <w:rPr>
                <w:sz w:val="20"/>
                <w:szCs w:val="20"/>
                <w:color w:val="auto"/>
              </w:rPr>
            </w:pPr>
            <w:r>
              <w:rPr>
                <w:rFonts w:ascii="Arial" w:cs="Arial" w:eastAsia="Arial" w:hAnsi="Arial"/>
                <w:sz w:val="18"/>
                <w:szCs w:val="18"/>
                <w:color w:val="auto"/>
              </w:rPr>
              <w:t>Adjustment attributable to non-</w:t>
            </w:r>
          </w:p>
        </w:tc>
        <w:tc>
          <w:tcPr>
            <w:tcW w:w="22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6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r>
      <w:tr>
        <w:trPr>
          <w:trHeight w:val="203"/>
        </w:trPr>
        <w:tc>
          <w:tcPr>
            <w:tcW w:w="2760" w:type="dxa"/>
            <w:vAlign w:val="bottom"/>
            <w:shd w:val="clear" w:color="auto" w:fill="CFF0FC"/>
          </w:tcPr>
          <w:p>
            <w:pPr>
              <w:spacing w:after="0" w:line="203" w:lineRule="exact"/>
              <w:rPr>
                <w:sz w:val="20"/>
                <w:szCs w:val="20"/>
                <w:color w:val="auto"/>
              </w:rPr>
            </w:pPr>
            <w:r>
              <w:rPr>
                <w:rFonts w:ascii="Arial" w:cs="Arial" w:eastAsia="Arial" w:hAnsi="Arial"/>
                <w:sz w:val="18"/>
                <w:szCs w:val="18"/>
                <w:color w:val="auto"/>
              </w:rPr>
              <w:t>controlling interest</w:t>
            </w:r>
          </w:p>
        </w:tc>
        <w:tc>
          <w:tcPr>
            <w:tcW w:w="220" w:type="dxa"/>
            <w:vAlign w:val="bottom"/>
            <w:shd w:val="clear" w:color="auto" w:fill="CFF0FC"/>
          </w:tcPr>
          <w:p>
            <w:pPr>
              <w:jc w:val="right"/>
              <w:ind w:right="32"/>
              <w:spacing w:after="0" w:line="203" w:lineRule="exact"/>
              <w:rPr>
                <w:sz w:val="20"/>
                <w:szCs w:val="20"/>
                <w:color w:val="auto"/>
              </w:rPr>
            </w:pPr>
            <w:r>
              <w:rPr>
                <w:rFonts w:ascii="Arial" w:cs="Arial" w:eastAsia="Arial" w:hAnsi="Arial"/>
                <w:sz w:val="18"/>
                <w:szCs w:val="18"/>
                <w:color w:val="auto"/>
                <w:w w:val="79"/>
              </w:rPr>
              <w:t>$</w:t>
            </w:r>
          </w:p>
        </w:tc>
        <w:tc>
          <w:tcPr>
            <w:tcW w:w="680" w:type="dxa"/>
            <w:vAlign w:val="bottom"/>
            <w:shd w:val="clear" w:color="auto" w:fill="CFF0FC"/>
          </w:tcPr>
          <w:p>
            <w:pPr>
              <w:jc w:val="right"/>
              <w:spacing w:after="0" w:line="203" w:lineRule="exact"/>
              <w:rPr>
                <w:sz w:val="20"/>
                <w:szCs w:val="20"/>
                <w:color w:val="auto"/>
              </w:rPr>
            </w:pPr>
            <w:r>
              <w:rPr>
                <w:rFonts w:ascii="Arial" w:cs="Arial" w:eastAsia="Arial" w:hAnsi="Arial"/>
                <w:sz w:val="18"/>
                <w:szCs w:val="18"/>
                <w:color w:val="auto"/>
              </w:rPr>
              <w:t>940</w:t>
            </w:r>
          </w:p>
        </w:tc>
        <w:tc>
          <w:tcPr>
            <w:tcW w:w="220" w:type="dxa"/>
            <w:vAlign w:val="bottom"/>
            <w:shd w:val="clear" w:color="auto" w:fill="CFF0FC"/>
          </w:tcPr>
          <w:p>
            <w:pPr>
              <w:spacing w:after="0"/>
              <w:rPr>
                <w:sz w:val="17"/>
                <w:szCs w:val="17"/>
                <w:color w:val="auto"/>
              </w:rPr>
            </w:pPr>
          </w:p>
        </w:tc>
        <w:tc>
          <w:tcPr>
            <w:tcW w:w="200" w:type="dxa"/>
            <w:vAlign w:val="bottom"/>
            <w:shd w:val="clear" w:color="auto" w:fill="CFF0FC"/>
          </w:tcPr>
          <w:p>
            <w:pPr>
              <w:jc w:val="right"/>
              <w:ind w:right="12"/>
              <w:spacing w:after="0" w:line="203" w:lineRule="exact"/>
              <w:rPr>
                <w:sz w:val="20"/>
                <w:szCs w:val="20"/>
                <w:color w:val="auto"/>
              </w:rPr>
            </w:pPr>
            <w:r>
              <w:rPr>
                <w:rFonts w:ascii="Arial" w:cs="Arial" w:eastAsia="Arial" w:hAnsi="Arial"/>
                <w:sz w:val="18"/>
                <w:szCs w:val="18"/>
                <w:color w:val="auto"/>
                <w:w w:val="79"/>
              </w:rPr>
              <w:t>$</w:t>
            </w:r>
          </w:p>
        </w:tc>
        <w:tc>
          <w:tcPr>
            <w:tcW w:w="680" w:type="dxa"/>
            <w:vAlign w:val="bottom"/>
            <w:shd w:val="clear" w:color="auto" w:fill="CFF0FC"/>
          </w:tcPr>
          <w:p>
            <w:pPr>
              <w:jc w:val="right"/>
              <w:spacing w:after="0" w:line="203" w:lineRule="exact"/>
              <w:rPr>
                <w:sz w:val="20"/>
                <w:szCs w:val="20"/>
                <w:color w:val="auto"/>
              </w:rPr>
            </w:pPr>
            <w:r>
              <w:rPr>
                <w:rFonts w:ascii="Arial" w:cs="Arial" w:eastAsia="Arial" w:hAnsi="Arial"/>
                <w:sz w:val="18"/>
                <w:szCs w:val="18"/>
                <w:color w:val="auto"/>
              </w:rPr>
              <w:t>839</w:t>
            </w:r>
          </w:p>
        </w:tc>
        <w:tc>
          <w:tcPr>
            <w:tcW w:w="220" w:type="dxa"/>
            <w:vAlign w:val="bottom"/>
            <w:shd w:val="clear" w:color="auto" w:fill="CFF0FC"/>
          </w:tcPr>
          <w:p>
            <w:pPr>
              <w:spacing w:after="0"/>
              <w:rPr>
                <w:sz w:val="17"/>
                <w:szCs w:val="17"/>
                <w:color w:val="auto"/>
              </w:rPr>
            </w:pPr>
          </w:p>
        </w:tc>
        <w:tc>
          <w:tcPr>
            <w:tcW w:w="120" w:type="dxa"/>
            <w:vAlign w:val="bottom"/>
            <w:shd w:val="clear" w:color="auto" w:fill="CFF0FC"/>
          </w:tcPr>
          <w:p>
            <w:pPr>
              <w:jc w:val="right"/>
              <w:spacing w:after="0" w:line="203" w:lineRule="exact"/>
              <w:rPr>
                <w:sz w:val="20"/>
                <w:szCs w:val="20"/>
                <w:color w:val="auto"/>
              </w:rPr>
            </w:pPr>
            <w:r>
              <w:rPr>
                <w:rFonts w:ascii="Arial" w:cs="Arial" w:eastAsia="Arial" w:hAnsi="Arial"/>
                <w:sz w:val="18"/>
                <w:szCs w:val="18"/>
                <w:color w:val="auto"/>
                <w:w w:val="79"/>
              </w:rPr>
              <w:t>$</w:t>
            </w:r>
          </w:p>
        </w:tc>
        <w:tc>
          <w:tcPr>
            <w:tcW w:w="760" w:type="dxa"/>
            <w:vAlign w:val="bottom"/>
            <w:shd w:val="clear" w:color="auto" w:fill="CFF0FC"/>
          </w:tcPr>
          <w:p>
            <w:pPr>
              <w:jc w:val="right"/>
              <w:spacing w:after="0" w:line="203" w:lineRule="exact"/>
              <w:rPr>
                <w:sz w:val="20"/>
                <w:szCs w:val="20"/>
                <w:color w:val="auto"/>
              </w:rPr>
            </w:pPr>
            <w:r>
              <w:rPr>
                <w:rFonts w:ascii="Arial" w:cs="Arial" w:eastAsia="Arial" w:hAnsi="Arial"/>
                <w:sz w:val="18"/>
                <w:szCs w:val="18"/>
                <w:color w:val="auto"/>
              </w:rPr>
              <w:t>54</w:t>
            </w:r>
          </w:p>
        </w:tc>
        <w:tc>
          <w:tcPr>
            <w:tcW w:w="220" w:type="dxa"/>
            <w:vAlign w:val="bottom"/>
            <w:shd w:val="clear" w:color="auto" w:fill="CFF0FC"/>
          </w:tcPr>
          <w:p>
            <w:pPr>
              <w:spacing w:after="0"/>
              <w:rPr>
                <w:sz w:val="17"/>
                <w:szCs w:val="17"/>
                <w:color w:val="auto"/>
              </w:rPr>
            </w:pPr>
          </w:p>
        </w:tc>
        <w:tc>
          <w:tcPr>
            <w:tcW w:w="100" w:type="dxa"/>
            <w:vAlign w:val="bottom"/>
            <w:shd w:val="clear" w:color="auto" w:fill="CFF0FC"/>
          </w:tcPr>
          <w:p>
            <w:pPr>
              <w:jc w:val="right"/>
              <w:spacing w:after="0" w:line="203" w:lineRule="exact"/>
              <w:rPr>
                <w:sz w:val="20"/>
                <w:szCs w:val="20"/>
                <w:color w:val="auto"/>
              </w:rPr>
            </w:pPr>
            <w:r>
              <w:rPr>
                <w:rFonts w:ascii="Arial" w:cs="Arial" w:eastAsia="Arial" w:hAnsi="Arial"/>
                <w:sz w:val="18"/>
                <w:szCs w:val="18"/>
                <w:color w:val="auto"/>
                <w:w w:val="79"/>
              </w:rPr>
              <w:t>$</w:t>
            </w:r>
          </w:p>
        </w:tc>
        <w:tc>
          <w:tcPr>
            <w:tcW w:w="940" w:type="dxa"/>
            <w:vAlign w:val="bottom"/>
            <w:gridSpan w:val="2"/>
            <w:shd w:val="clear" w:color="auto" w:fill="CFF0FC"/>
          </w:tcPr>
          <w:p>
            <w:pPr>
              <w:jc w:val="right"/>
              <w:ind w:right="160"/>
              <w:spacing w:after="0" w:line="203" w:lineRule="exact"/>
              <w:rPr>
                <w:sz w:val="20"/>
                <w:szCs w:val="20"/>
                <w:color w:val="auto"/>
              </w:rPr>
            </w:pPr>
            <w:r>
              <w:rPr>
                <w:rFonts w:ascii="Arial" w:cs="Arial" w:eastAsia="Arial" w:hAnsi="Arial"/>
                <w:sz w:val="18"/>
                <w:szCs w:val="18"/>
                <w:color w:val="auto"/>
              </w:rPr>
              <w:t>—</w:t>
            </w:r>
          </w:p>
        </w:tc>
        <w:tc>
          <w:tcPr>
            <w:tcW w:w="280" w:type="dxa"/>
            <w:vAlign w:val="bottom"/>
            <w:gridSpan w:val="2"/>
            <w:shd w:val="clear" w:color="auto" w:fill="CFF0FC"/>
          </w:tcPr>
          <w:p>
            <w:pPr>
              <w:jc w:val="right"/>
              <w:ind w:right="28"/>
              <w:spacing w:after="0" w:line="203" w:lineRule="exact"/>
              <w:rPr>
                <w:sz w:val="20"/>
                <w:szCs w:val="20"/>
                <w:color w:val="auto"/>
              </w:rPr>
            </w:pPr>
            <w:r>
              <w:rPr>
                <w:rFonts w:ascii="Arial" w:cs="Arial" w:eastAsia="Arial" w:hAnsi="Arial"/>
                <w:sz w:val="18"/>
                <w:szCs w:val="18"/>
                <w:color w:val="auto"/>
              </w:rPr>
              <w:t>$</w:t>
            </w:r>
          </w:p>
        </w:tc>
        <w:tc>
          <w:tcPr>
            <w:tcW w:w="820" w:type="dxa"/>
            <w:vAlign w:val="bottom"/>
            <w:gridSpan w:val="2"/>
            <w:shd w:val="clear" w:color="auto" w:fill="CFF0FC"/>
          </w:tcPr>
          <w:p>
            <w:pPr>
              <w:jc w:val="right"/>
              <w:ind w:right="140"/>
              <w:spacing w:after="0" w:line="203" w:lineRule="exact"/>
              <w:rPr>
                <w:sz w:val="20"/>
                <w:szCs w:val="20"/>
                <w:color w:val="auto"/>
              </w:rPr>
            </w:pPr>
            <w:r>
              <w:rPr>
                <w:rFonts w:ascii="Arial" w:cs="Arial" w:eastAsia="Arial" w:hAnsi="Arial"/>
                <w:sz w:val="18"/>
                <w:szCs w:val="18"/>
                <w:color w:val="auto"/>
              </w:rPr>
              <w:t>—</w:t>
            </w:r>
          </w:p>
        </w:tc>
        <w:tc>
          <w:tcPr>
            <w:tcW w:w="300" w:type="dxa"/>
            <w:vAlign w:val="bottom"/>
            <w:gridSpan w:val="2"/>
            <w:shd w:val="clear" w:color="auto" w:fill="CFF0FC"/>
          </w:tcPr>
          <w:p>
            <w:pPr>
              <w:jc w:val="right"/>
              <w:ind w:right="48"/>
              <w:spacing w:after="0" w:line="203" w:lineRule="exact"/>
              <w:rPr>
                <w:sz w:val="20"/>
                <w:szCs w:val="20"/>
                <w:color w:val="auto"/>
              </w:rPr>
            </w:pPr>
            <w:r>
              <w:rPr>
                <w:rFonts w:ascii="Arial" w:cs="Arial" w:eastAsia="Arial" w:hAnsi="Arial"/>
                <w:sz w:val="18"/>
                <w:szCs w:val="18"/>
                <w:color w:val="auto"/>
              </w:rPr>
              <w:t>$</w:t>
            </w:r>
          </w:p>
        </w:tc>
        <w:tc>
          <w:tcPr>
            <w:tcW w:w="800" w:type="dxa"/>
            <w:vAlign w:val="bottom"/>
            <w:gridSpan w:val="2"/>
            <w:shd w:val="clear" w:color="auto" w:fill="CFF0FC"/>
          </w:tcPr>
          <w:p>
            <w:pPr>
              <w:jc w:val="right"/>
              <w:ind w:right="140"/>
              <w:spacing w:after="0" w:line="203" w:lineRule="exact"/>
              <w:rPr>
                <w:sz w:val="20"/>
                <w:szCs w:val="20"/>
                <w:color w:val="auto"/>
              </w:rPr>
            </w:pPr>
            <w:r>
              <w:rPr>
                <w:rFonts w:ascii="Arial" w:cs="Arial" w:eastAsia="Arial" w:hAnsi="Arial"/>
                <w:sz w:val="18"/>
                <w:szCs w:val="18"/>
                <w:color w:val="auto"/>
              </w:rPr>
              <w:t>—</w:t>
            </w:r>
          </w:p>
        </w:tc>
        <w:tc>
          <w:tcPr>
            <w:tcW w:w="220" w:type="dxa"/>
            <w:vAlign w:val="bottom"/>
            <w:gridSpan w:val="2"/>
            <w:shd w:val="clear" w:color="auto" w:fill="CFF0FC"/>
          </w:tcPr>
          <w:p>
            <w:pPr>
              <w:jc w:val="right"/>
              <w:ind w:right="40"/>
              <w:spacing w:after="0" w:line="203" w:lineRule="exact"/>
              <w:rPr>
                <w:sz w:val="20"/>
                <w:szCs w:val="20"/>
                <w:color w:val="auto"/>
              </w:rPr>
            </w:pPr>
            <w:r>
              <w:rPr>
                <w:rFonts w:ascii="Arial" w:cs="Arial" w:eastAsia="Arial" w:hAnsi="Arial"/>
                <w:sz w:val="18"/>
                <w:szCs w:val="18"/>
                <w:color w:val="auto"/>
              </w:rPr>
              <w:t>$</w:t>
            </w:r>
          </w:p>
        </w:tc>
        <w:tc>
          <w:tcPr>
            <w:tcW w:w="980" w:type="dxa"/>
            <w:vAlign w:val="bottom"/>
            <w:gridSpan w:val="2"/>
            <w:shd w:val="clear" w:color="auto" w:fill="CFF0FC"/>
          </w:tcPr>
          <w:p>
            <w:pPr>
              <w:jc w:val="right"/>
              <w:ind w:right="240"/>
              <w:spacing w:after="0" w:line="203" w:lineRule="exact"/>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jc w:val="right"/>
              <w:spacing w:after="0" w:line="203" w:lineRule="exact"/>
              <w:rPr>
                <w:sz w:val="20"/>
                <w:szCs w:val="20"/>
                <w:color w:val="auto"/>
              </w:rPr>
            </w:pPr>
            <w:r>
              <w:rPr>
                <w:rFonts w:ascii="Arial" w:cs="Arial" w:eastAsia="Arial" w:hAnsi="Arial"/>
                <w:sz w:val="18"/>
                <w:szCs w:val="18"/>
                <w:color w:val="auto"/>
                <w:w w:val="79"/>
              </w:rPr>
              <w:t>$</w:t>
            </w:r>
          </w:p>
        </w:tc>
        <w:tc>
          <w:tcPr>
            <w:tcW w:w="720" w:type="dxa"/>
            <w:vAlign w:val="bottom"/>
            <w:gridSpan w:val="2"/>
            <w:shd w:val="clear" w:color="auto" w:fill="CFF0FC"/>
          </w:tcPr>
          <w:p>
            <w:pPr>
              <w:jc w:val="right"/>
              <w:ind w:right="100"/>
              <w:spacing w:after="0" w:line="203" w:lineRule="exact"/>
              <w:rPr>
                <w:sz w:val="20"/>
                <w:szCs w:val="20"/>
                <w:color w:val="auto"/>
              </w:rPr>
            </w:pPr>
            <w:r>
              <w:rPr>
                <w:rFonts w:ascii="Arial" w:cs="Arial" w:eastAsia="Arial" w:hAnsi="Arial"/>
                <w:sz w:val="18"/>
                <w:szCs w:val="18"/>
                <w:color w:val="auto"/>
              </w:rPr>
              <w:t>—</w:t>
            </w:r>
          </w:p>
        </w:tc>
      </w:tr>
      <w:tr>
        <w:trPr>
          <w:trHeight w:val="215"/>
        </w:trPr>
        <w:tc>
          <w:tcPr>
            <w:tcW w:w="2760" w:type="dxa"/>
            <w:vAlign w:val="bottom"/>
          </w:tcPr>
          <w:p>
            <w:pPr>
              <w:spacing w:after="0"/>
              <w:rPr>
                <w:sz w:val="20"/>
                <w:szCs w:val="20"/>
                <w:color w:val="auto"/>
              </w:rPr>
            </w:pPr>
            <w:r>
              <w:rPr>
                <w:rFonts w:ascii="Arial" w:cs="Arial" w:eastAsia="Arial" w:hAnsi="Arial"/>
                <w:sz w:val="18"/>
                <w:szCs w:val="18"/>
                <w:color w:val="auto"/>
              </w:rPr>
              <w:t>Net loss attributable to BlackLine,</w:t>
            </w:r>
          </w:p>
        </w:tc>
        <w:tc>
          <w:tcPr>
            <w:tcW w:w="2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03"/>
        </w:trPr>
        <w:tc>
          <w:tcPr>
            <w:tcW w:w="2760" w:type="dxa"/>
            <w:vAlign w:val="bottom"/>
          </w:tcPr>
          <w:p>
            <w:pPr>
              <w:spacing w:after="0" w:line="203" w:lineRule="exact"/>
              <w:rPr>
                <w:sz w:val="20"/>
                <w:szCs w:val="20"/>
                <w:color w:val="auto"/>
              </w:rPr>
            </w:pPr>
            <w:r>
              <w:rPr>
                <w:rFonts w:ascii="Arial" w:cs="Arial" w:eastAsia="Arial" w:hAnsi="Arial"/>
                <w:sz w:val="18"/>
                <w:szCs w:val="18"/>
                <w:color w:val="auto"/>
              </w:rPr>
              <w:t>Inc.</w:t>
            </w:r>
          </w:p>
        </w:tc>
        <w:tc>
          <w:tcPr>
            <w:tcW w:w="220" w:type="dxa"/>
            <w:vAlign w:val="bottom"/>
          </w:tcPr>
          <w:p>
            <w:pPr>
              <w:jc w:val="right"/>
              <w:ind w:right="32"/>
              <w:spacing w:after="0" w:line="203" w:lineRule="exact"/>
              <w:rPr>
                <w:sz w:val="20"/>
                <w:szCs w:val="20"/>
                <w:color w:val="auto"/>
              </w:rPr>
            </w:pPr>
            <w:r>
              <w:rPr>
                <w:rFonts w:ascii="Arial" w:cs="Arial" w:eastAsia="Arial" w:hAnsi="Arial"/>
                <w:sz w:val="18"/>
                <w:szCs w:val="18"/>
                <w:color w:val="auto"/>
                <w:w w:val="79"/>
              </w:rPr>
              <w:t>$</w:t>
            </w:r>
          </w:p>
        </w:tc>
        <w:tc>
          <w:tcPr>
            <w:tcW w:w="900" w:type="dxa"/>
            <w:vAlign w:val="bottom"/>
            <w:gridSpan w:val="2"/>
          </w:tcPr>
          <w:p>
            <w:pPr>
              <w:jc w:val="right"/>
              <w:ind w:right="160"/>
              <w:spacing w:after="0" w:line="203" w:lineRule="exact"/>
              <w:rPr>
                <w:sz w:val="20"/>
                <w:szCs w:val="20"/>
                <w:color w:val="auto"/>
              </w:rPr>
            </w:pPr>
            <w:r>
              <w:rPr>
                <w:rFonts w:ascii="Arial" w:cs="Arial" w:eastAsia="Arial" w:hAnsi="Arial"/>
                <w:sz w:val="18"/>
                <w:szCs w:val="18"/>
                <w:color w:val="auto"/>
              </w:rPr>
              <w:t>(9,186)</w:t>
            </w:r>
          </w:p>
        </w:tc>
        <w:tc>
          <w:tcPr>
            <w:tcW w:w="200" w:type="dxa"/>
            <w:vAlign w:val="bottom"/>
          </w:tcPr>
          <w:p>
            <w:pPr>
              <w:jc w:val="right"/>
              <w:ind w:right="12"/>
              <w:spacing w:after="0" w:line="203" w:lineRule="exact"/>
              <w:rPr>
                <w:sz w:val="20"/>
                <w:szCs w:val="20"/>
                <w:color w:val="auto"/>
              </w:rPr>
            </w:pPr>
            <w:r>
              <w:rPr>
                <w:rFonts w:ascii="Arial" w:cs="Arial" w:eastAsia="Arial" w:hAnsi="Arial"/>
                <w:sz w:val="18"/>
                <w:szCs w:val="18"/>
                <w:color w:val="auto"/>
                <w:w w:val="79"/>
              </w:rPr>
              <w:t>$</w:t>
            </w:r>
          </w:p>
        </w:tc>
        <w:tc>
          <w:tcPr>
            <w:tcW w:w="900" w:type="dxa"/>
            <w:vAlign w:val="bottom"/>
            <w:gridSpan w:val="2"/>
          </w:tcPr>
          <w:p>
            <w:pPr>
              <w:jc w:val="right"/>
              <w:ind w:right="160"/>
              <w:spacing w:after="0" w:line="203" w:lineRule="exact"/>
              <w:rPr>
                <w:sz w:val="20"/>
                <w:szCs w:val="20"/>
                <w:color w:val="auto"/>
              </w:rPr>
            </w:pPr>
            <w:r>
              <w:rPr>
                <w:rFonts w:ascii="Arial" w:cs="Arial" w:eastAsia="Arial" w:hAnsi="Arial"/>
                <w:sz w:val="18"/>
                <w:szCs w:val="18"/>
                <w:color w:val="auto"/>
              </w:rPr>
              <w:t>(9,206)</w:t>
            </w:r>
          </w:p>
        </w:tc>
        <w:tc>
          <w:tcPr>
            <w:tcW w:w="120" w:type="dxa"/>
            <w:vAlign w:val="bottom"/>
          </w:tcPr>
          <w:p>
            <w:pPr>
              <w:jc w:val="right"/>
              <w:spacing w:after="0" w:line="203" w:lineRule="exact"/>
              <w:rPr>
                <w:sz w:val="20"/>
                <w:szCs w:val="20"/>
                <w:color w:val="auto"/>
              </w:rPr>
            </w:pPr>
            <w:r>
              <w:rPr>
                <w:rFonts w:ascii="Arial" w:cs="Arial" w:eastAsia="Arial" w:hAnsi="Arial"/>
                <w:sz w:val="18"/>
                <w:szCs w:val="18"/>
                <w:color w:val="auto"/>
                <w:w w:val="79"/>
              </w:rPr>
              <w:t>$</w:t>
            </w:r>
          </w:p>
        </w:tc>
        <w:tc>
          <w:tcPr>
            <w:tcW w:w="980" w:type="dxa"/>
            <w:vAlign w:val="bottom"/>
            <w:gridSpan w:val="2"/>
          </w:tcPr>
          <w:p>
            <w:pPr>
              <w:jc w:val="right"/>
              <w:ind w:right="160"/>
              <w:spacing w:after="0" w:line="203" w:lineRule="exact"/>
              <w:rPr>
                <w:sz w:val="20"/>
                <w:szCs w:val="20"/>
                <w:color w:val="auto"/>
              </w:rPr>
            </w:pPr>
            <w:r>
              <w:rPr>
                <w:rFonts w:ascii="Arial" w:cs="Arial" w:eastAsia="Arial" w:hAnsi="Arial"/>
                <w:sz w:val="18"/>
                <w:szCs w:val="18"/>
                <w:color w:val="auto"/>
              </w:rPr>
              <w:t>(5,362)</w:t>
            </w:r>
          </w:p>
        </w:tc>
        <w:tc>
          <w:tcPr>
            <w:tcW w:w="100" w:type="dxa"/>
            <w:vAlign w:val="bottom"/>
          </w:tcPr>
          <w:p>
            <w:pPr>
              <w:jc w:val="right"/>
              <w:spacing w:after="0" w:line="203" w:lineRule="exact"/>
              <w:rPr>
                <w:sz w:val="20"/>
                <w:szCs w:val="20"/>
                <w:color w:val="auto"/>
              </w:rPr>
            </w:pPr>
            <w:r>
              <w:rPr>
                <w:rFonts w:ascii="Arial" w:cs="Arial" w:eastAsia="Arial" w:hAnsi="Arial"/>
                <w:sz w:val="18"/>
                <w:szCs w:val="18"/>
                <w:color w:val="auto"/>
                <w:w w:val="79"/>
              </w:rPr>
              <w:t>$</w:t>
            </w:r>
          </w:p>
        </w:tc>
        <w:tc>
          <w:tcPr>
            <w:tcW w:w="940" w:type="dxa"/>
            <w:vAlign w:val="bottom"/>
            <w:gridSpan w:val="2"/>
          </w:tcPr>
          <w:p>
            <w:pPr>
              <w:jc w:val="right"/>
              <w:ind w:right="80"/>
              <w:spacing w:after="0" w:line="203" w:lineRule="exact"/>
              <w:rPr>
                <w:sz w:val="20"/>
                <w:szCs w:val="20"/>
                <w:color w:val="auto"/>
              </w:rPr>
            </w:pPr>
            <w:r>
              <w:rPr>
                <w:rFonts w:ascii="Arial" w:cs="Arial" w:eastAsia="Arial" w:hAnsi="Arial"/>
                <w:sz w:val="18"/>
                <w:szCs w:val="18"/>
                <w:color w:val="auto"/>
              </w:rPr>
              <w:t>(8,781)</w:t>
            </w:r>
          </w:p>
        </w:tc>
        <w:tc>
          <w:tcPr>
            <w:tcW w:w="280" w:type="dxa"/>
            <w:vAlign w:val="bottom"/>
            <w:gridSpan w:val="2"/>
          </w:tcPr>
          <w:p>
            <w:pPr>
              <w:jc w:val="right"/>
              <w:ind w:right="28"/>
              <w:spacing w:after="0" w:line="203" w:lineRule="exact"/>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80"/>
              <w:spacing w:after="0" w:line="203" w:lineRule="exact"/>
              <w:rPr>
                <w:sz w:val="20"/>
                <w:szCs w:val="20"/>
                <w:color w:val="auto"/>
              </w:rPr>
            </w:pPr>
            <w:r>
              <w:rPr>
                <w:rFonts w:ascii="Arial" w:cs="Arial" w:eastAsia="Arial" w:hAnsi="Arial"/>
                <w:sz w:val="18"/>
                <w:szCs w:val="18"/>
                <w:color w:val="auto"/>
              </w:rPr>
              <w:t>(8,143)</w:t>
            </w:r>
          </w:p>
        </w:tc>
        <w:tc>
          <w:tcPr>
            <w:tcW w:w="300" w:type="dxa"/>
            <w:vAlign w:val="bottom"/>
            <w:gridSpan w:val="2"/>
          </w:tcPr>
          <w:p>
            <w:pPr>
              <w:jc w:val="right"/>
              <w:ind w:right="48"/>
              <w:spacing w:after="0" w:line="203" w:lineRule="exact"/>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60"/>
              <w:spacing w:after="0" w:line="203" w:lineRule="exact"/>
              <w:rPr>
                <w:sz w:val="20"/>
                <w:szCs w:val="20"/>
                <w:color w:val="auto"/>
              </w:rPr>
            </w:pPr>
            <w:r>
              <w:rPr>
                <w:rFonts w:ascii="Arial" w:cs="Arial" w:eastAsia="Arial" w:hAnsi="Arial"/>
                <w:sz w:val="18"/>
                <w:szCs w:val="18"/>
                <w:color w:val="auto"/>
              </w:rPr>
              <w:t>(4,766)</w:t>
            </w:r>
          </w:p>
        </w:tc>
        <w:tc>
          <w:tcPr>
            <w:tcW w:w="220" w:type="dxa"/>
            <w:vAlign w:val="bottom"/>
            <w:gridSpan w:val="2"/>
          </w:tcPr>
          <w:p>
            <w:pPr>
              <w:jc w:val="right"/>
              <w:ind w:right="40"/>
              <w:spacing w:after="0" w:line="203" w:lineRule="exact"/>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160"/>
              <w:spacing w:after="0" w:line="203" w:lineRule="exact"/>
              <w:rPr>
                <w:sz w:val="20"/>
                <w:szCs w:val="20"/>
                <w:color w:val="auto"/>
              </w:rPr>
            </w:pPr>
            <w:r>
              <w:rPr>
                <w:rFonts w:ascii="Arial" w:cs="Arial" w:eastAsia="Arial" w:hAnsi="Arial"/>
                <w:sz w:val="18"/>
                <w:szCs w:val="18"/>
                <w:color w:val="auto"/>
              </w:rPr>
              <w:t>(8,553)</w:t>
            </w:r>
          </w:p>
        </w:tc>
        <w:tc>
          <w:tcPr>
            <w:tcW w:w="180" w:type="dxa"/>
            <w:vAlign w:val="bottom"/>
          </w:tcPr>
          <w:p>
            <w:pPr>
              <w:jc w:val="right"/>
              <w:spacing w:after="0" w:line="203" w:lineRule="exact"/>
              <w:rPr>
                <w:sz w:val="20"/>
                <w:szCs w:val="20"/>
                <w:color w:val="auto"/>
              </w:rPr>
            </w:pPr>
            <w:r>
              <w:rPr>
                <w:rFonts w:ascii="Arial" w:cs="Arial" w:eastAsia="Arial" w:hAnsi="Arial"/>
                <w:sz w:val="18"/>
                <w:szCs w:val="18"/>
                <w:color w:val="auto"/>
                <w:w w:val="79"/>
              </w:rPr>
              <w:t>$</w:t>
            </w:r>
          </w:p>
        </w:tc>
        <w:tc>
          <w:tcPr>
            <w:tcW w:w="720" w:type="dxa"/>
            <w:vAlign w:val="bottom"/>
            <w:gridSpan w:val="2"/>
          </w:tcPr>
          <w:p>
            <w:pPr>
              <w:jc w:val="right"/>
              <w:ind w:right="20"/>
              <w:spacing w:after="0" w:line="203" w:lineRule="exact"/>
              <w:rPr>
                <w:sz w:val="20"/>
                <w:szCs w:val="20"/>
                <w:color w:val="auto"/>
              </w:rPr>
            </w:pPr>
            <w:r>
              <w:rPr>
                <w:rFonts w:ascii="Arial" w:cs="Arial" w:eastAsia="Arial" w:hAnsi="Arial"/>
                <w:sz w:val="18"/>
                <w:szCs w:val="18"/>
                <w:color w:val="auto"/>
              </w:rPr>
              <w:t>(7,252)</w:t>
            </w:r>
          </w:p>
        </w:tc>
      </w:tr>
      <w:tr>
        <w:trPr>
          <w:trHeight w:val="215"/>
        </w:trPr>
        <w:tc>
          <w:tcPr>
            <w:tcW w:w="2760" w:type="dxa"/>
            <w:vAlign w:val="bottom"/>
            <w:shd w:val="clear" w:color="auto" w:fill="CFF0FC"/>
          </w:tcPr>
          <w:p>
            <w:pPr>
              <w:spacing w:after="0"/>
              <w:rPr>
                <w:sz w:val="20"/>
                <w:szCs w:val="20"/>
                <w:color w:val="auto"/>
              </w:rPr>
            </w:pPr>
            <w:r>
              <w:rPr>
                <w:rFonts w:ascii="Arial" w:cs="Arial" w:eastAsia="Arial" w:hAnsi="Arial"/>
                <w:sz w:val="18"/>
                <w:szCs w:val="18"/>
                <w:color w:val="auto"/>
              </w:rPr>
              <w:t>Basic net loss per share</w:t>
            </w:r>
          </w:p>
        </w:tc>
        <w:tc>
          <w:tcPr>
            <w:tcW w:w="22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6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r>
      <w:tr>
        <w:trPr>
          <w:trHeight w:val="203"/>
        </w:trPr>
        <w:tc>
          <w:tcPr>
            <w:tcW w:w="2760" w:type="dxa"/>
            <w:vAlign w:val="bottom"/>
            <w:shd w:val="clear" w:color="auto" w:fill="CFF0FC"/>
          </w:tcPr>
          <w:p>
            <w:pPr>
              <w:spacing w:after="0" w:line="203" w:lineRule="exact"/>
              <w:rPr>
                <w:sz w:val="20"/>
                <w:szCs w:val="20"/>
                <w:color w:val="auto"/>
              </w:rPr>
            </w:pPr>
            <w:r>
              <w:rPr>
                <w:rFonts w:ascii="Arial" w:cs="Arial" w:eastAsia="Arial" w:hAnsi="Arial"/>
                <w:sz w:val="18"/>
                <w:szCs w:val="18"/>
                <w:color w:val="auto"/>
              </w:rPr>
              <w:t>attributable to BlackLine, Inc.</w:t>
            </w:r>
          </w:p>
        </w:tc>
        <w:tc>
          <w:tcPr>
            <w:tcW w:w="220" w:type="dxa"/>
            <w:vAlign w:val="bottom"/>
            <w:shd w:val="clear" w:color="auto" w:fill="CFF0FC"/>
          </w:tcPr>
          <w:p>
            <w:pPr>
              <w:jc w:val="right"/>
              <w:ind w:right="32"/>
              <w:spacing w:after="0" w:line="203" w:lineRule="exact"/>
              <w:rPr>
                <w:sz w:val="20"/>
                <w:szCs w:val="20"/>
                <w:color w:val="auto"/>
              </w:rPr>
            </w:pPr>
            <w:r>
              <w:rPr>
                <w:rFonts w:ascii="Arial" w:cs="Arial" w:eastAsia="Arial" w:hAnsi="Arial"/>
                <w:sz w:val="18"/>
                <w:szCs w:val="18"/>
                <w:color w:val="auto"/>
                <w:w w:val="79"/>
              </w:rPr>
              <w:t>$</w:t>
            </w:r>
          </w:p>
        </w:tc>
        <w:tc>
          <w:tcPr>
            <w:tcW w:w="900" w:type="dxa"/>
            <w:vAlign w:val="bottom"/>
            <w:gridSpan w:val="2"/>
            <w:shd w:val="clear" w:color="auto" w:fill="CFF0FC"/>
          </w:tcPr>
          <w:p>
            <w:pPr>
              <w:jc w:val="right"/>
              <w:ind w:right="160"/>
              <w:spacing w:after="0" w:line="203" w:lineRule="exact"/>
              <w:rPr>
                <w:sz w:val="20"/>
                <w:szCs w:val="20"/>
                <w:color w:val="auto"/>
              </w:rPr>
            </w:pPr>
            <w:r>
              <w:rPr>
                <w:rFonts w:ascii="Arial" w:cs="Arial" w:eastAsia="Arial" w:hAnsi="Arial"/>
                <w:sz w:val="18"/>
                <w:szCs w:val="18"/>
                <w:color w:val="auto"/>
              </w:rPr>
              <w:t>(0.16)</w:t>
            </w:r>
          </w:p>
        </w:tc>
        <w:tc>
          <w:tcPr>
            <w:tcW w:w="200" w:type="dxa"/>
            <w:vAlign w:val="bottom"/>
            <w:shd w:val="clear" w:color="auto" w:fill="CFF0FC"/>
          </w:tcPr>
          <w:p>
            <w:pPr>
              <w:jc w:val="right"/>
              <w:ind w:right="12"/>
              <w:spacing w:after="0" w:line="203" w:lineRule="exact"/>
              <w:rPr>
                <w:sz w:val="20"/>
                <w:szCs w:val="20"/>
                <w:color w:val="auto"/>
              </w:rPr>
            </w:pPr>
            <w:r>
              <w:rPr>
                <w:rFonts w:ascii="Arial" w:cs="Arial" w:eastAsia="Arial" w:hAnsi="Arial"/>
                <w:sz w:val="18"/>
                <w:szCs w:val="18"/>
                <w:color w:val="auto"/>
                <w:w w:val="79"/>
              </w:rPr>
              <w:t>$</w:t>
            </w:r>
          </w:p>
        </w:tc>
        <w:tc>
          <w:tcPr>
            <w:tcW w:w="900" w:type="dxa"/>
            <w:vAlign w:val="bottom"/>
            <w:gridSpan w:val="2"/>
            <w:shd w:val="clear" w:color="auto" w:fill="CFF0FC"/>
          </w:tcPr>
          <w:p>
            <w:pPr>
              <w:jc w:val="right"/>
              <w:ind w:right="160"/>
              <w:spacing w:after="0" w:line="203" w:lineRule="exact"/>
              <w:rPr>
                <w:sz w:val="20"/>
                <w:szCs w:val="20"/>
                <w:color w:val="auto"/>
              </w:rPr>
            </w:pPr>
            <w:r>
              <w:rPr>
                <w:rFonts w:ascii="Arial" w:cs="Arial" w:eastAsia="Arial" w:hAnsi="Arial"/>
                <w:sz w:val="18"/>
                <w:szCs w:val="18"/>
                <w:color w:val="auto"/>
              </w:rPr>
              <w:t>(0.17)</w:t>
            </w:r>
          </w:p>
        </w:tc>
        <w:tc>
          <w:tcPr>
            <w:tcW w:w="120" w:type="dxa"/>
            <w:vAlign w:val="bottom"/>
            <w:shd w:val="clear" w:color="auto" w:fill="CFF0FC"/>
          </w:tcPr>
          <w:p>
            <w:pPr>
              <w:jc w:val="right"/>
              <w:spacing w:after="0" w:line="203" w:lineRule="exact"/>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FF0FC"/>
          </w:tcPr>
          <w:p>
            <w:pPr>
              <w:jc w:val="right"/>
              <w:ind w:right="160"/>
              <w:spacing w:after="0" w:line="203" w:lineRule="exact"/>
              <w:rPr>
                <w:sz w:val="20"/>
                <w:szCs w:val="20"/>
                <w:color w:val="auto"/>
              </w:rPr>
            </w:pPr>
            <w:r>
              <w:rPr>
                <w:rFonts w:ascii="Arial" w:cs="Arial" w:eastAsia="Arial" w:hAnsi="Arial"/>
                <w:sz w:val="18"/>
                <w:szCs w:val="18"/>
                <w:color w:val="auto"/>
              </w:rPr>
              <w:t>(0.10)</w:t>
            </w:r>
          </w:p>
        </w:tc>
        <w:tc>
          <w:tcPr>
            <w:tcW w:w="100" w:type="dxa"/>
            <w:vAlign w:val="bottom"/>
            <w:shd w:val="clear" w:color="auto" w:fill="CFF0FC"/>
          </w:tcPr>
          <w:p>
            <w:pPr>
              <w:jc w:val="right"/>
              <w:spacing w:after="0" w:line="203" w:lineRule="exact"/>
              <w:rPr>
                <w:sz w:val="20"/>
                <w:szCs w:val="20"/>
                <w:color w:val="auto"/>
              </w:rPr>
            </w:pPr>
            <w:r>
              <w:rPr>
                <w:rFonts w:ascii="Arial" w:cs="Arial" w:eastAsia="Arial" w:hAnsi="Arial"/>
                <w:sz w:val="18"/>
                <w:szCs w:val="18"/>
                <w:color w:val="auto"/>
                <w:w w:val="79"/>
              </w:rPr>
              <w:t>$</w:t>
            </w:r>
          </w:p>
        </w:tc>
        <w:tc>
          <w:tcPr>
            <w:tcW w:w="940" w:type="dxa"/>
            <w:vAlign w:val="bottom"/>
            <w:gridSpan w:val="2"/>
            <w:shd w:val="clear" w:color="auto" w:fill="CFF0FC"/>
          </w:tcPr>
          <w:p>
            <w:pPr>
              <w:jc w:val="right"/>
              <w:ind w:right="80"/>
              <w:spacing w:after="0" w:line="203" w:lineRule="exact"/>
              <w:rPr>
                <w:sz w:val="20"/>
                <w:szCs w:val="20"/>
                <w:color w:val="auto"/>
              </w:rPr>
            </w:pPr>
            <w:r>
              <w:rPr>
                <w:rFonts w:ascii="Arial" w:cs="Arial" w:eastAsia="Arial" w:hAnsi="Arial"/>
                <w:sz w:val="18"/>
                <w:szCs w:val="18"/>
                <w:color w:val="auto"/>
              </w:rPr>
              <w:t>(0.16)</w:t>
            </w:r>
          </w:p>
        </w:tc>
        <w:tc>
          <w:tcPr>
            <w:tcW w:w="280" w:type="dxa"/>
            <w:vAlign w:val="bottom"/>
            <w:gridSpan w:val="2"/>
            <w:shd w:val="clear" w:color="auto" w:fill="CFF0FC"/>
          </w:tcPr>
          <w:p>
            <w:pPr>
              <w:jc w:val="right"/>
              <w:ind w:right="28"/>
              <w:spacing w:after="0" w:line="203" w:lineRule="exact"/>
              <w:rPr>
                <w:sz w:val="20"/>
                <w:szCs w:val="20"/>
                <w:color w:val="auto"/>
              </w:rPr>
            </w:pPr>
            <w:r>
              <w:rPr>
                <w:rFonts w:ascii="Arial" w:cs="Arial" w:eastAsia="Arial" w:hAnsi="Arial"/>
                <w:sz w:val="18"/>
                <w:szCs w:val="18"/>
                <w:color w:val="auto"/>
              </w:rPr>
              <w:t>$</w:t>
            </w:r>
          </w:p>
        </w:tc>
        <w:tc>
          <w:tcPr>
            <w:tcW w:w="820" w:type="dxa"/>
            <w:vAlign w:val="bottom"/>
            <w:gridSpan w:val="2"/>
            <w:shd w:val="clear" w:color="auto" w:fill="CFF0FC"/>
          </w:tcPr>
          <w:p>
            <w:pPr>
              <w:jc w:val="right"/>
              <w:ind w:right="80"/>
              <w:spacing w:after="0" w:line="203" w:lineRule="exact"/>
              <w:rPr>
                <w:sz w:val="20"/>
                <w:szCs w:val="20"/>
                <w:color w:val="auto"/>
              </w:rPr>
            </w:pPr>
            <w:r>
              <w:rPr>
                <w:rFonts w:ascii="Arial" w:cs="Arial" w:eastAsia="Arial" w:hAnsi="Arial"/>
                <w:sz w:val="18"/>
                <w:szCs w:val="18"/>
                <w:color w:val="auto"/>
              </w:rPr>
              <w:t>(0.15)</w:t>
            </w:r>
          </w:p>
        </w:tc>
        <w:tc>
          <w:tcPr>
            <w:tcW w:w="300" w:type="dxa"/>
            <w:vAlign w:val="bottom"/>
            <w:gridSpan w:val="2"/>
            <w:shd w:val="clear" w:color="auto" w:fill="CFF0FC"/>
          </w:tcPr>
          <w:p>
            <w:pPr>
              <w:jc w:val="right"/>
              <w:ind w:right="48"/>
              <w:spacing w:after="0" w:line="203" w:lineRule="exact"/>
              <w:rPr>
                <w:sz w:val="20"/>
                <w:szCs w:val="20"/>
                <w:color w:val="auto"/>
              </w:rPr>
            </w:pPr>
            <w:r>
              <w:rPr>
                <w:rFonts w:ascii="Arial" w:cs="Arial" w:eastAsia="Arial" w:hAnsi="Arial"/>
                <w:sz w:val="18"/>
                <w:szCs w:val="18"/>
                <w:color w:val="auto"/>
              </w:rPr>
              <w:t>$</w:t>
            </w:r>
          </w:p>
        </w:tc>
        <w:tc>
          <w:tcPr>
            <w:tcW w:w="800" w:type="dxa"/>
            <w:vAlign w:val="bottom"/>
            <w:gridSpan w:val="2"/>
            <w:shd w:val="clear" w:color="auto" w:fill="CFF0FC"/>
          </w:tcPr>
          <w:p>
            <w:pPr>
              <w:jc w:val="right"/>
              <w:ind w:right="60"/>
              <w:spacing w:after="0" w:line="203" w:lineRule="exact"/>
              <w:rPr>
                <w:sz w:val="20"/>
                <w:szCs w:val="20"/>
                <w:color w:val="auto"/>
              </w:rPr>
            </w:pPr>
            <w:r>
              <w:rPr>
                <w:rFonts w:ascii="Arial" w:cs="Arial" w:eastAsia="Arial" w:hAnsi="Arial"/>
                <w:sz w:val="18"/>
                <w:szCs w:val="18"/>
                <w:color w:val="auto"/>
              </w:rPr>
              <w:t>(0.09)</w:t>
            </w:r>
          </w:p>
        </w:tc>
        <w:tc>
          <w:tcPr>
            <w:tcW w:w="220" w:type="dxa"/>
            <w:vAlign w:val="bottom"/>
            <w:gridSpan w:val="2"/>
            <w:shd w:val="clear" w:color="auto" w:fill="CFF0FC"/>
          </w:tcPr>
          <w:p>
            <w:pPr>
              <w:jc w:val="right"/>
              <w:ind w:right="40"/>
              <w:spacing w:after="0" w:line="203" w:lineRule="exact"/>
              <w:rPr>
                <w:sz w:val="20"/>
                <w:szCs w:val="20"/>
                <w:color w:val="auto"/>
              </w:rPr>
            </w:pPr>
            <w:r>
              <w:rPr>
                <w:rFonts w:ascii="Arial" w:cs="Arial" w:eastAsia="Arial" w:hAnsi="Arial"/>
                <w:sz w:val="18"/>
                <w:szCs w:val="18"/>
                <w:color w:val="auto"/>
              </w:rPr>
              <w:t>$</w:t>
            </w:r>
          </w:p>
        </w:tc>
        <w:tc>
          <w:tcPr>
            <w:tcW w:w="980" w:type="dxa"/>
            <w:vAlign w:val="bottom"/>
            <w:gridSpan w:val="2"/>
            <w:shd w:val="clear" w:color="auto" w:fill="CFF0FC"/>
          </w:tcPr>
          <w:p>
            <w:pPr>
              <w:jc w:val="right"/>
              <w:ind w:right="160"/>
              <w:spacing w:after="0" w:line="203" w:lineRule="exact"/>
              <w:rPr>
                <w:sz w:val="20"/>
                <w:szCs w:val="20"/>
                <w:color w:val="auto"/>
              </w:rPr>
            </w:pPr>
            <w:r>
              <w:rPr>
                <w:rFonts w:ascii="Arial" w:cs="Arial" w:eastAsia="Arial" w:hAnsi="Arial"/>
                <w:sz w:val="18"/>
                <w:szCs w:val="18"/>
                <w:color w:val="auto"/>
              </w:rPr>
              <w:t>(0.16)</w:t>
            </w:r>
          </w:p>
        </w:tc>
        <w:tc>
          <w:tcPr>
            <w:tcW w:w="180" w:type="dxa"/>
            <w:vAlign w:val="bottom"/>
            <w:shd w:val="clear" w:color="auto" w:fill="CFF0FC"/>
          </w:tcPr>
          <w:p>
            <w:pPr>
              <w:jc w:val="right"/>
              <w:spacing w:after="0" w:line="203" w:lineRule="exact"/>
              <w:rPr>
                <w:sz w:val="20"/>
                <w:szCs w:val="20"/>
                <w:color w:val="auto"/>
              </w:rPr>
            </w:pPr>
            <w:r>
              <w:rPr>
                <w:rFonts w:ascii="Arial" w:cs="Arial" w:eastAsia="Arial" w:hAnsi="Arial"/>
                <w:sz w:val="18"/>
                <w:szCs w:val="18"/>
                <w:color w:val="auto"/>
                <w:w w:val="79"/>
              </w:rPr>
              <w:t>$</w:t>
            </w:r>
          </w:p>
        </w:tc>
        <w:tc>
          <w:tcPr>
            <w:tcW w:w="720" w:type="dxa"/>
            <w:vAlign w:val="bottom"/>
            <w:gridSpan w:val="2"/>
            <w:shd w:val="clear" w:color="auto" w:fill="CFF0FC"/>
          </w:tcPr>
          <w:p>
            <w:pPr>
              <w:jc w:val="right"/>
              <w:ind w:right="20"/>
              <w:spacing w:after="0" w:line="203" w:lineRule="exact"/>
              <w:rPr>
                <w:sz w:val="20"/>
                <w:szCs w:val="20"/>
                <w:color w:val="auto"/>
              </w:rPr>
            </w:pPr>
            <w:r>
              <w:rPr>
                <w:rFonts w:ascii="Arial" w:cs="Arial" w:eastAsia="Arial" w:hAnsi="Arial"/>
                <w:sz w:val="18"/>
                <w:szCs w:val="18"/>
                <w:color w:val="auto"/>
              </w:rPr>
              <w:t>(0.14)</w:t>
            </w:r>
          </w:p>
        </w:tc>
      </w:tr>
      <w:tr>
        <w:trPr>
          <w:trHeight w:val="215"/>
        </w:trPr>
        <w:tc>
          <w:tcPr>
            <w:tcW w:w="2760" w:type="dxa"/>
            <w:vAlign w:val="bottom"/>
          </w:tcPr>
          <w:p>
            <w:pPr>
              <w:spacing w:after="0"/>
              <w:rPr>
                <w:sz w:val="20"/>
                <w:szCs w:val="20"/>
                <w:color w:val="auto"/>
              </w:rPr>
            </w:pPr>
            <w:r>
              <w:rPr>
                <w:rFonts w:ascii="Arial" w:cs="Arial" w:eastAsia="Arial" w:hAnsi="Arial"/>
                <w:sz w:val="18"/>
                <w:szCs w:val="18"/>
                <w:color w:val="auto"/>
              </w:rPr>
              <w:t>Diluted net loss per share</w:t>
            </w:r>
          </w:p>
        </w:tc>
        <w:tc>
          <w:tcPr>
            <w:tcW w:w="2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7"/>
        </w:trPr>
        <w:tc>
          <w:tcPr>
            <w:tcW w:w="2760" w:type="dxa"/>
            <w:vAlign w:val="bottom"/>
          </w:tcPr>
          <w:p>
            <w:pPr>
              <w:spacing w:after="0"/>
              <w:rPr>
                <w:sz w:val="20"/>
                <w:szCs w:val="20"/>
                <w:color w:val="auto"/>
              </w:rPr>
            </w:pPr>
            <w:r>
              <w:rPr>
                <w:rFonts w:ascii="Arial" w:cs="Arial" w:eastAsia="Arial" w:hAnsi="Arial"/>
                <w:sz w:val="18"/>
                <w:szCs w:val="18"/>
                <w:color w:val="auto"/>
              </w:rPr>
              <w:t>attributable to BlackLine, Inc.</w:t>
            </w:r>
          </w:p>
        </w:tc>
        <w:tc>
          <w:tcPr>
            <w:tcW w:w="220" w:type="dxa"/>
            <w:vAlign w:val="bottom"/>
          </w:tcPr>
          <w:p>
            <w:pPr>
              <w:jc w:val="right"/>
              <w:ind w:right="32"/>
              <w:spacing w:after="0"/>
              <w:rPr>
                <w:sz w:val="20"/>
                <w:szCs w:val="20"/>
                <w:color w:val="auto"/>
              </w:rPr>
            </w:pPr>
            <w:r>
              <w:rPr>
                <w:rFonts w:ascii="Arial" w:cs="Arial" w:eastAsia="Arial" w:hAnsi="Arial"/>
                <w:sz w:val="18"/>
                <w:szCs w:val="18"/>
                <w:color w:val="auto"/>
                <w:w w:val="79"/>
              </w:rPr>
              <w:t>$</w:t>
            </w:r>
          </w:p>
        </w:tc>
        <w:tc>
          <w:tcPr>
            <w:tcW w:w="900" w:type="dxa"/>
            <w:vAlign w:val="bottom"/>
            <w:gridSpan w:val="2"/>
          </w:tcPr>
          <w:p>
            <w:pPr>
              <w:jc w:val="right"/>
              <w:ind w:right="160"/>
              <w:spacing w:after="0"/>
              <w:rPr>
                <w:sz w:val="20"/>
                <w:szCs w:val="20"/>
                <w:color w:val="auto"/>
              </w:rPr>
            </w:pPr>
            <w:r>
              <w:rPr>
                <w:rFonts w:ascii="Arial" w:cs="Arial" w:eastAsia="Arial" w:hAnsi="Arial"/>
                <w:sz w:val="18"/>
                <w:szCs w:val="18"/>
                <w:color w:val="auto"/>
              </w:rPr>
              <w:t>(0.16)</w:t>
            </w:r>
          </w:p>
        </w:tc>
        <w:tc>
          <w:tcPr>
            <w:tcW w:w="200" w:type="dxa"/>
            <w:vAlign w:val="bottom"/>
          </w:tcPr>
          <w:p>
            <w:pPr>
              <w:jc w:val="right"/>
              <w:ind w:right="12"/>
              <w:spacing w:after="0"/>
              <w:rPr>
                <w:sz w:val="20"/>
                <w:szCs w:val="20"/>
                <w:color w:val="auto"/>
              </w:rPr>
            </w:pPr>
            <w:r>
              <w:rPr>
                <w:rFonts w:ascii="Arial" w:cs="Arial" w:eastAsia="Arial" w:hAnsi="Arial"/>
                <w:sz w:val="18"/>
                <w:szCs w:val="18"/>
                <w:color w:val="auto"/>
                <w:w w:val="79"/>
              </w:rPr>
              <w:t>$</w:t>
            </w:r>
          </w:p>
        </w:tc>
        <w:tc>
          <w:tcPr>
            <w:tcW w:w="900" w:type="dxa"/>
            <w:vAlign w:val="bottom"/>
            <w:gridSpan w:val="2"/>
          </w:tcPr>
          <w:p>
            <w:pPr>
              <w:jc w:val="right"/>
              <w:ind w:right="160"/>
              <w:spacing w:after="0"/>
              <w:rPr>
                <w:sz w:val="20"/>
                <w:szCs w:val="20"/>
                <w:color w:val="auto"/>
              </w:rPr>
            </w:pPr>
            <w:r>
              <w:rPr>
                <w:rFonts w:ascii="Arial" w:cs="Arial" w:eastAsia="Arial" w:hAnsi="Arial"/>
                <w:sz w:val="18"/>
                <w:szCs w:val="18"/>
                <w:color w:val="auto"/>
              </w:rPr>
              <w:t>(0.17)</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gridSpan w:val="2"/>
          </w:tcPr>
          <w:p>
            <w:pPr>
              <w:jc w:val="right"/>
              <w:ind w:right="160"/>
              <w:spacing w:after="0"/>
              <w:rPr>
                <w:sz w:val="20"/>
                <w:szCs w:val="20"/>
                <w:color w:val="auto"/>
              </w:rPr>
            </w:pPr>
            <w:r>
              <w:rPr>
                <w:rFonts w:ascii="Arial" w:cs="Arial" w:eastAsia="Arial" w:hAnsi="Arial"/>
                <w:sz w:val="18"/>
                <w:szCs w:val="18"/>
                <w:color w:val="auto"/>
              </w:rPr>
              <w:t>(0.10)</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gridSpan w:val="2"/>
          </w:tcPr>
          <w:p>
            <w:pPr>
              <w:jc w:val="right"/>
              <w:ind w:right="80"/>
              <w:spacing w:after="0"/>
              <w:rPr>
                <w:sz w:val="20"/>
                <w:szCs w:val="20"/>
                <w:color w:val="auto"/>
              </w:rPr>
            </w:pPr>
            <w:r>
              <w:rPr>
                <w:rFonts w:ascii="Arial" w:cs="Arial" w:eastAsia="Arial" w:hAnsi="Arial"/>
                <w:sz w:val="18"/>
                <w:szCs w:val="18"/>
                <w:color w:val="auto"/>
              </w:rPr>
              <w:t>(0.16)</w:t>
            </w:r>
          </w:p>
        </w:tc>
        <w:tc>
          <w:tcPr>
            <w:tcW w:w="280" w:type="dxa"/>
            <w:vAlign w:val="bottom"/>
            <w:gridSpan w:val="2"/>
          </w:tcPr>
          <w:p>
            <w:pPr>
              <w:jc w:val="right"/>
              <w:ind w:right="28"/>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80"/>
              <w:spacing w:after="0"/>
              <w:rPr>
                <w:sz w:val="20"/>
                <w:szCs w:val="20"/>
                <w:color w:val="auto"/>
              </w:rPr>
            </w:pPr>
            <w:r>
              <w:rPr>
                <w:rFonts w:ascii="Arial" w:cs="Arial" w:eastAsia="Arial" w:hAnsi="Arial"/>
                <w:sz w:val="18"/>
                <w:szCs w:val="18"/>
                <w:color w:val="auto"/>
              </w:rPr>
              <w:t>(0.15)</w:t>
            </w:r>
          </w:p>
        </w:tc>
        <w:tc>
          <w:tcPr>
            <w:tcW w:w="300" w:type="dxa"/>
            <w:vAlign w:val="bottom"/>
            <w:gridSpan w:val="2"/>
          </w:tcPr>
          <w:p>
            <w:pPr>
              <w:jc w:val="right"/>
              <w:ind w:right="48"/>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60"/>
              <w:spacing w:after="0"/>
              <w:rPr>
                <w:sz w:val="20"/>
                <w:szCs w:val="20"/>
                <w:color w:val="auto"/>
              </w:rPr>
            </w:pPr>
            <w:r>
              <w:rPr>
                <w:rFonts w:ascii="Arial" w:cs="Arial" w:eastAsia="Arial" w:hAnsi="Arial"/>
                <w:sz w:val="18"/>
                <w:szCs w:val="18"/>
                <w:color w:val="auto"/>
              </w:rPr>
              <w:t>(0.09)</w:t>
            </w:r>
          </w:p>
        </w:tc>
        <w:tc>
          <w:tcPr>
            <w:tcW w:w="22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160"/>
              <w:spacing w:after="0"/>
              <w:rPr>
                <w:sz w:val="20"/>
                <w:szCs w:val="20"/>
                <w:color w:val="auto"/>
              </w:rPr>
            </w:pPr>
            <w:r>
              <w:rPr>
                <w:rFonts w:ascii="Arial" w:cs="Arial" w:eastAsia="Arial" w:hAnsi="Arial"/>
                <w:sz w:val="18"/>
                <w:szCs w:val="18"/>
                <w:color w:val="auto"/>
              </w:rPr>
              <w:t>(0.16)</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gridSpan w:val="2"/>
          </w:tcPr>
          <w:p>
            <w:pPr>
              <w:jc w:val="right"/>
              <w:ind w:right="20"/>
              <w:spacing w:after="0"/>
              <w:rPr>
                <w:sz w:val="20"/>
                <w:szCs w:val="20"/>
                <w:color w:val="auto"/>
              </w:rPr>
            </w:pPr>
            <w:r>
              <w:rPr>
                <w:rFonts w:ascii="Arial" w:cs="Arial" w:eastAsia="Arial" w:hAnsi="Arial"/>
                <w:sz w:val="18"/>
                <w:szCs w:val="18"/>
                <w:color w:val="auto"/>
              </w:rPr>
              <w:t>(0.14)</w:t>
            </w:r>
          </w:p>
        </w:tc>
      </w:tr>
    </w:tbl>
    <w:p>
      <w:pPr>
        <w:spacing w:after="0" w:line="229" w:lineRule="exact"/>
        <w:rPr>
          <w:sz w:val="20"/>
          <w:szCs w:val="20"/>
          <w:color w:val="auto"/>
        </w:rPr>
      </w:pPr>
    </w:p>
    <w:p>
      <w:pPr>
        <w:ind w:firstLine="518"/>
        <w:spacing w:after="0" w:line="239" w:lineRule="auto"/>
        <w:rPr>
          <w:sz w:val="20"/>
          <w:szCs w:val="20"/>
          <w:color w:val="auto"/>
        </w:rPr>
      </w:pPr>
      <w:r>
        <w:rPr>
          <w:rFonts w:ascii="Arial" w:cs="Arial" w:eastAsia="Arial" w:hAnsi="Arial"/>
          <w:sz w:val="18"/>
          <w:szCs w:val="18"/>
          <w:color w:val="auto"/>
        </w:rPr>
        <w:t>The tables below reflect the impact of the revisions on the unaudited quarterly data as discussed in Note 2, “Significant Accounting Policies.” The revision of the unaudited quarterly financial statements for the quarter ended March 31, 2019, the quarter and six months ended June 30, 2019, and the quarter and nine months ended September 30, 2019 will be effected in connection with the Company’s 2020 Form 10-Q filings.</w:t>
      </w:r>
    </w:p>
    <w:p>
      <w:pPr>
        <w:spacing w:after="0" w:line="271"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528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720" w:type="dxa"/>
            <w:vAlign w:val="bottom"/>
            <w:tcBorders>
              <w:bottom w:val="single" w:sz="8" w:color="auto"/>
            </w:tcBorders>
          </w:tcPr>
          <w:p>
            <w:pPr>
              <w:spacing w:after="0"/>
              <w:rPr>
                <w:sz w:val="15"/>
                <w:szCs w:val="15"/>
                <w:color w:val="auto"/>
              </w:rPr>
            </w:pPr>
          </w:p>
        </w:tc>
        <w:tc>
          <w:tcPr>
            <w:tcW w:w="218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rPr>
              <w:t>Quarter Ended March 31, 2018</w:t>
            </w:r>
          </w:p>
        </w:tc>
        <w:tc>
          <w:tcPr>
            <w:tcW w:w="380" w:type="dxa"/>
            <w:vAlign w:val="bottom"/>
            <w:tcBorders>
              <w:bottom w:val="single" w:sz="8" w:color="auto"/>
            </w:tcBorders>
          </w:tcPr>
          <w:p>
            <w:pPr>
              <w:spacing w:after="0"/>
              <w:rPr>
                <w:sz w:val="15"/>
                <w:szCs w:val="15"/>
                <w:color w:val="auto"/>
              </w:rPr>
            </w:pPr>
          </w:p>
        </w:tc>
        <w:tc>
          <w:tcPr>
            <w:tcW w:w="154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r>
      <w:tr>
        <w:trPr>
          <w:trHeight w:val="210"/>
        </w:trPr>
        <w:tc>
          <w:tcPr>
            <w:tcW w:w="5280" w:type="dxa"/>
            <w:vAlign w:val="bottom"/>
          </w:tcPr>
          <w:p>
            <w:pPr>
              <w:spacing w:after="0"/>
              <w:rPr>
                <w:sz w:val="18"/>
                <w:szCs w:val="18"/>
                <w:color w:val="auto"/>
              </w:rPr>
            </w:pPr>
          </w:p>
        </w:tc>
        <w:tc>
          <w:tcPr>
            <w:tcW w:w="1940" w:type="dxa"/>
            <w:vAlign w:val="bottom"/>
            <w:gridSpan w:val="2"/>
          </w:tcPr>
          <w:p>
            <w:pPr>
              <w:jc w:val="right"/>
              <w:ind w:right="135"/>
              <w:spacing w:after="0"/>
              <w:rPr>
                <w:sz w:val="20"/>
                <w:szCs w:val="20"/>
                <w:color w:val="auto"/>
              </w:rPr>
            </w:pPr>
            <w:r>
              <w:rPr>
                <w:rFonts w:ascii="Arial" w:cs="Arial" w:eastAsia="Arial" w:hAnsi="Arial"/>
                <w:sz w:val="14"/>
                <w:szCs w:val="14"/>
                <w:b w:val="1"/>
                <w:bCs w:val="1"/>
                <w:color w:val="auto"/>
              </w:rPr>
              <w:t>As Previously Reported</w:t>
            </w:r>
          </w:p>
        </w:tc>
        <w:tc>
          <w:tcPr>
            <w:tcW w:w="440" w:type="dxa"/>
            <w:vAlign w:val="bottom"/>
          </w:tcPr>
          <w:p>
            <w:pPr>
              <w:spacing w:after="0"/>
              <w:rPr>
                <w:sz w:val="18"/>
                <w:szCs w:val="18"/>
                <w:color w:val="auto"/>
              </w:rPr>
            </w:pPr>
          </w:p>
        </w:tc>
        <w:tc>
          <w:tcPr>
            <w:tcW w:w="1740" w:type="dxa"/>
            <w:vAlign w:val="bottom"/>
          </w:tcPr>
          <w:p>
            <w:pPr>
              <w:jc w:val="center"/>
              <w:ind w:right="394"/>
              <w:spacing w:after="0"/>
              <w:rPr>
                <w:sz w:val="20"/>
                <w:szCs w:val="20"/>
                <w:color w:val="auto"/>
              </w:rPr>
            </w:pPr>
            <w:r>
              <w:rPr>
                <w:rFonts w:ascii="Arial" w:cs="Arial" w:eastAsia="Arial" w:hAnsi="Arial"/>
                <w:sz w:val="14"/>
                <w:szCs w:val="14"/>
                <w:b w:val="1"/>
                <w:bCs w:val="1"/>
                <w:color w:val="auto"/>
              </w:rPr>
              <w:t>Adjustments</w:t>
            </w:r>
          </w:p>
        </w:tc>
        <w:tc>
          <w:tcPr>
            <w:tcW w:w="380" w:type="dxa"/>
            <w:vAlign w:val="bottom"/>
          </w:tcPr>
          <w:p>
            <w:pPr>
              <w:spacing w:after="0"/>
              <w:rPr>
                <w:sz w:val="18"/>
                <w:szCs w:val="18"/>
                <w:color w:val="auto"/>
              </w:rPr>
            </w:pPr>
          </w:p>
        </w:tc>
        <w:tc>
          <w:tcPr>
            <w:tcW w:w="1640" w:type="dxa"/>
            <w:vAlign w:val="bottom"/>
            <w:gridSpan w:val="2"/>
          </w:tcPr>
          <w:p>
            <w:pPr>
              <w:jc w:val="right"/>
              <w:ind w:right="640"/>
              <w:spacing w:after="0"/>
              <w:rPr>
                <w:sz w:val="20"/>
                <w:szCs w:val="20"/>
                <w:color w:val="auto"/>
              </w:rPr>
            </w:pPr>
            <w:r>
              <w:rPr>
                <w:rFonts w:ascii="Arial" w:cs="Arial" w:eastAsia="Arial" w:hAnsi="Arial"/>
                <w:sz w:val="14"/>
                <w:szCs w:val="14"/>
                <w:b w:val="1"/>
                <w:bCs w:val="1"/>
                <w:color w:val="auto"/>
              </w:rPr>
              <w:t>As Revised</w:t>
            </w:r>
          </w:p>
        </w:tc>
      </w:tr>
      <w:tr>
        <w:trPr>
          <w:trHeight w:val="210"/>
        </w:trPr>
        <w:tc>
          <w:tcPr>
            <w:tcW w:w="528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4280" w:type="dxa"/>
            <w:vAlign w:val="bottom"/>
            <w:tcBorders>
              <w:top w:val="single" w:sz="8" w:color="auto"/>
            </w:tcBorders>
            <w:gridSpan w:val="4"/>
          </w:tcPr>
          <w:p>
            <w:pPr>
              <w:jc w:val="right"/>
              <w:ind w:right="130"/>
              <w:spacing w:after="0"/>
              <w:rPr>
                <w:sz w:val="20"/>
                <w:szCs w:val="20"/>
                <w:color w:val="auto"/>
              </w:rPr>
            </w:pPr>
            <w:r>
              <w:rPr>
                <w:rFonts w:ascii="Arial" w:cs="Arial" w:eastAsia="Arial" w:hAnsi="Arial"/>
                <w:sz w:val="14"/>
                <w:szCs w:val="14"/>
                <w:b w:val="1"/>
                <w:bCs w:val="1"/>
                <w:color w:val="auto"/>
              </w:rPr>
              <w:t>(in thousands, except per share data)</w:t>
            </w:r>
          </w:p>
        </w:tc>
        <w:tc>
          <w:tcPr>
            <w:tcW w:w="15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280" w:type="dxa"/>
            <w:vAlign w:val="bottom"/>
            <w:shd w:val="clear" w:color="auto" w:fill="CFF0FC"/>
          </w:tcPr>
          <w:p>
            <w:pPr>
              <w:spacing w:after="0"/>
              <w:rPr>
                <w:sz w:val="20"/>
                <w:szCs w:val="20"/>
                <w:color w:val="auto"/>
              </w:rPr>
            </w:pPr>
            <w:r>
              <w:rPr>
                <w:rFonts w:ascii="Arial" w:cs="Arial" w:eastAsia="Arial" w:hAnsi="Arial"/>
                <w:sz w:val="18"/>
                <w:szCs w:val="18"/>
                <w:color w:val="auto"/>
              </w:rPr>
              <w:t>Net loss</w:t>
            </w:r>
          </w:p>
        </w:tc>
        <w:tc>
          <w:tcPr>
            <w:tcW w:w="220" w:type="dxa"/>
            <w:vAlign w:val="bottom"/>
            <w:shd w:val="clear" w:color="auto" w:fill="CFF0FC"/>
          </w:tcPr>
          <w:p>
            <w:pPr>
              <w:jc w:val="right"/>
              <w:ind w:right="34"/>
              <w:spacing w:after="0"/>
              <w:rPr>
                <w:sz w:val="20"/>
                <w:szCs w:val="20"/>
                <w:color w:val="auto"/>
              </w:rPr>
            </w:pPr>
            <w:r>
              <w:rPr>
                <w:rFonts w:ascii="Arial" w:cs="Arial" w:eastAsia="Arial" w:hAnsi="Arial"/>
                <w:sz w:val="18"/>
                <w:szCs w:val="18"/>
                <w:color w:val="auto"/>
                <w:w w:val="79"/>
              </w:rPr>
              <w:t>$</w:t>
            </w:r>
          </w:p>
        </w:tc>
        <w:tc>
          <w:tcPr>
            <w:tcW w:w="1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(7,155)</w:t>
            </w:r>
          </w:p>
        </w:tc>
        <w:tc>
          <w:tcPr>
            <w:tcW w:w="440" w:type="dxa"/>
            <w:vAlign w:val="bottom"/>
            <w:shd w:val="clear" w:color="auto" w:fill="CFF0FC"/>
          </w:tcPr>
          <w:p>
            <w:pPr>
              <w:jc w:val="right"/>
              <w:ind w:right="93"/>
              <w:spacing w:after="0"/>
              <w:rPr>
                <w:sz w:val="20"/>
                <w:szCs w:val="20"/>
                <w:color w:val="auto"/>
              </w:rPr>
            </w:pPr>
            <w:r>
              <w:rPr>
                <w:rFonts w:ascii="Arial" w:cs="Arial" w:eastAsia="Arial" w:hAnsi="Arial"/>
                <w:sz w:val="18"/>
                <w:szCs w:val="18"/>
                <w:color w:val="auto"/>
              </w:rPr>
              <w:t>$</w:t>
            </w:r>
          </w:p>
        </w:tc>
        <w:tc>
          <w:tcPr>
            <w:tcW w:w="1740" w:type="dxa"/>
            <w:vAlign w:val="bottom"/>
            <w:shd w:val="clear" w:color="auto" w:fill="CFF0FC"/>
          </w:tcPr>
          <w:p>
            <w:pPr>
              <w:jc w:val="right"/>
              <w:ind w:right="54"/>
              <w:spacing w:after="0"/>
              <w:rPr>
                <w:sz w:val="20"/>
                <w:szCs w:val="20"/>
                <w:color w:val="auto"/>
              </w:rPr>
            </w:pPr>
            <w:r>
              <w:rPr>
                <w:rFonts w:ascii="Arial" w:cs="Arial" w:eastAsia="Arial" w:hAnsi="Arial"/>
                <w:sz w:val="18"/>
                <w:szCs w:val="18"/>
                <w:color w:val="auto"/>
              </w:rPr>
              <w:t>(97)</w:t>
            </w:r>
          </w:p>
        </w:tc>
        <w:tc>
          <w:tcPr>
            <w:tcW w:w="380" w:type="dxa"/>
            <w:vAlign w:val="bottom"/>
            <w:shd w:val="clear" w:color="auto" w:fill="CFF0FC"/>
          </w:tcPr>
          <w:p>
            <w:pPr>
              <w:jc w:val="right"/>
              <w:ind w:right="110"/>
              <w:spacing w:after="0"/>
              <w:rPr>
                <w:sz w:val="20"/>
                <w:szCs w:val="20"/>
                <w:color w:val="auto"/>
              </w:rPr>
            </w:pPr>
            <w:r>
              <w:rPr>
                <w:rFonts w:ascii="Arial" w:cs="Arial" w:eastAsia="Arial" w:hAnsi="Arial"/>
                <w:sz w:val="18"/>
                <w:szCs w:val="18"/>
                <w:color w:val="auto"/>
              </w:rPr>
              <w:t>$</w:t>
            </w:r>
          </w:p>
        </w:tc>
        <w:tc>
          <w:tcPr>
            <w:tcW w:w="16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(7,252)</w:t>
            </w:r>
          </w:p>
        </w:tc>
      </w:tr>
      <w:tr>
        <w:trPr>
          <w:trHeight w:val="216"/>
        </w:trPr>
        <w:tc>
          <w:tcPr>
            <w:tcW w:w="5280" w:type="dxa"/>
            <w:vAlign w:val="bottom"/>
          </w:tcPr>
          <w:p>
            <w:pPr>
              <w:spacing w:after="0"/>
              <w:rPr>
                <w:sz w:val="20"/>
                <w:szCs w:val="20"/>
                <w:color w:val="auto"/>
              </w:rPr>
            </w:pPr>
            <w:r>
              <w:rPr>
                <w:rFonts w:ascii="Arial" w:cs="Arial" w:eastAsia="Arial" w:hAnsi="Arial"/>
                <w:sz w:val="18"/>
                <w:szCs w:val="18"/>
                <w:color w:val="auto"/>
              </w:rPr>
              <w:t>Net loss attributable to BlackLine, Inc.</w:t>
            </w:r>
          </w:p>
        </w:tc>
        <w:tc>
          <w:tcPr>
            <w:tcW w:w="220" w:type="dxa"/>
            <w:vAlign w:val="bottom"/>
          </w:tcPr>
          <w:p>
            <w:pPr>
              <w:jc w:val="right"/>
              <w:ind w:right="34"/>
              <w:spacing w:after="0"/>
              <w:rPr>
                <w:sz w:val="20"/>
                <w:szCs w:val="20"/>
                <w:color w:val="auto"/>
              </w:rPr>
            </w:pPr>
            <w:r>
              <w:rPr>
                <w:rFonts w:ascii="Arial" w:cs="Arial" w:eastAsia="Arial" w:hAnsi="Arial"/>
                <w:sz w:val="18"/>
                <w:szCs w:val="18"/>
                <w:color w:val="auto"/>
                <w:w w:val="79"/>
              </w:rPr>
              <w:t>$</w:t>
            </w:r>
          </w:p>
        </w:tc>
        <w:tc>
          <w:tcPr>
            <w:tcW w:w="1720" w:type="dxa"/>
            <w:vAlign w:val="bottom"/>
          </w:tcPr>
          <w:p>
            <w:pPr>
              <w:jc w:val="right"/>
              <w:spacing w:after="0"/>
              <w:rPr>
                <w:sz w:val="20"/>
                <w:szCs w:val="20"/>
                <w:color w:val="auto"/>
              </w:rPr>
            </w:pPr>
            <w:r>
              <w:rPr>
                <w:rFonts w:ascii="Arial" w:cs="Arial" w:eastAsia="Arial" w:hAnsi="Arial"/>
                <w:sz w:val="18"/>
                <w:szCs w:val="18"/>
                <w:color w:val="auto"/>
              </w:rPr>
              <w:t>(7,155)</w:t>
            </w:r>
          </w:p>
        </w:tc>
        <w:tc>
          <w:tcPr>
            <w:tcW w:w="440" w:type="dxa"/>
            <w:vAlign w:val="bottom"/>
          </w:tcPr>
          <w:p>
            <w:pPr>
              <w:jc w:val="right"/>
              <w:ind w:right="93"/>
              <w:spacing w:after="0"/>
              <w:rPr>
                <w:sz w:val="20"/>
                <w:szCs w:val="20"/>
                <w:color w:val="auto"/>
              </w:rPr>
            </w:pPr>
            <w:r>
              <w:rPr>
                <w:rFonts w:ascii="Arial" w:cs="Arial" w:eastAsia="Arial" w:hAnsi="Arial"/>
                <w:sz w:val="18"/>
                <w:szCs w:val="18"/>
                <w:color w:val="auto"/>
              </w:rPr>
              <w:t>$</w:t>
            </w:r>
          </w:p>
        </w:tc>
        <w:tc>
          <w:tcPr>
            <w:tcW w:w="1740" w:type="dxa"/>
            <w:vAlign w:val="bottom"/>
          </w:tcPr>
          <w:p>
            <w:pPr>
              <w:jc w:val="right"/>
              <w:ind w:right="54"/>
              <w:spacing w:after="0"/>
              <w:rPr>
                <w:sz w:val="20"/>
                <w:szCs w:val="20"/>
                <w:color w:val="auto"/>
              </w:rPr>
            </w:pPr>
            <w:r>
              <w:rPr>
                <w:rFonts w:ascii="Arial" w:cs="Arial" w:eastAsia="Arial" w:hAnsi="Arial"/>
                <w:sz w:val="18"/>
                <w:szCs w:val="18"/>
                <w:color w:val="auto"/>
              </w:rPr>
              <w:t>(97)</w:t>
            </w:r>
          </w:p>
        </w:tc>
        <w:tc>
          <w:tcPr>
            <w:tcW w:w="38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1640" w:type="dxa"/>
            <w:vAlign w:val="bottom"/>
            <w:gridSpan w:val="2"/>
          </w:tcPr>
          <w:p>
            <w:pPr>
              <w:jc w:val="right"/>
              <w:ind w:right="40"/>
              <w:spacing w:after="0"/>
              <w:rPr>
                <w:sz w:val="20"/>
                <w:szCs w:val="20"/>
                <w:color w:val="auto"/>
              </w:rPr>
            </w:pPr>
            <w:r>
              <w:rPr>
                <w:rFonts w:ascii="Arial" w:cs="Arial" w:eastAsia="Arial" w:hAnsi="Arial"/>
                <w:sz w:val="18"/>
                <w:szCs w:val="18"/>
                <w:color w:val="auto"/>
              </w:rPr>
              <w:t>(7,252)</w:t>
            </w:r>
          </w:p>
        </w:tc>
      </w:tr>
      <w:tr>
        <w:trPr>
          <w:trHeight w:val="216"/>
        </w:trPr>
        <w:tc>
          <w:tcPr>
            <w:tcW w:w="5280" w:type="dxa"/>
            <w:vAlign w:val="bottom"/>
            <w:shd w:val="clear" w:color="auto" w:fill="CFF0FC"/>
          </w:tcPr>
          <w:p>
            <w:pPr>
              <w:spacing w:after="0"/>
              <w:rPr>
                <w:sz w:val="20"/>
                <w:szCs w:val="20"/>
                <w:color w:val="auto"/>
              </w:rPr>
            </w:pPr>
            <w:r>
              <w:rPr>
                <w:rFonts w:ascii="Arial" w:cs="Arial" w:eastAsia="Arial" w:hAnsi="Arial"/>
                <w:sz w:val="18"/>
                <w:szCs w:val="18"/>
                <w:color w:val="auto"/>
              </w:rPr>
              <w:t>Basic net loss per share attributable to BlackLine, Inc.</w:t>
            </w:r>
          </w:p>
        </w:tc>
        <w:tc>
          <w:tcPr>
            <w:tcW w:w="220" w:type="dxa"/>
            <w:vAlign w:val="bottom"/>
            <w:shd w:val="clear" w:color="auto" w:fill="CFF0FC"/>
          </w:tcPr>
          <w:p>
            <w:pPr>
              <w:jc w:val="right"/>
              <w:ind w:right="34"/>
              <w:spacing w:after="0"/>
              <w:rPr>
                <w:sz w:val="20"/>
                <w:szCs w:val="20"/>
                <w:color w:val="auto"/>
              </w:rPr>
            </w:pPr>
            <w:r>
              <w:rPr>
                <w:rFonts w:ascii="Arial" w:cs="Arial" w:eastAsia="Arial" w:hAnsi="Arial"/>
                <w:sz w:val="18"/>
                <w:szCs w:val="18"/>
                <w:color w:val="auto"/>
                <w:w w:val="79"/>
              </w:rPr>
              <w:t>$</w:t>
            </w:r>
          </w:p>
        </w:tc>
        <w:tc>
          <w:tcPr>
            <w:tcW w:w="1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(0.13)</w:t>
            </w:r>
          </w:p>
        </w:tc>
        <w:tc>
          <w:tcPr>
            <w:tcW w:w="440" w:type="dxa"/>
            <w:vAlign w:val="bottom"/>
            <w:shd w:val="clear" w:color="auto" w:fill="CFF0FC"/>
          </w:tcPr>
          <w:p>
            <w:pPr>
              <w:jc w:val="right"/>
              <w:ind w:right="93"/>
              <w:spacing w:after="0"/>
              <w:rPr>
                <w:sz w:val="20"/>
                <w:szCs w:val="20"/>
                <w:color w:val="auto"/>
              </w:rPr>
            </w:pPr>
            <w:r>
              <w:rPr>
                <w:rFonts w:ascii="Arial" w:cs="Arial" w:eastAsia="Arial" w:hAnsi="Arial"/>
                <w:sz w:val="18"/>
                <w:szCs w:val="18"/>
                <w:color w:val="auto"/>
              </w:rPr>
              <w:t>$</w:t>
            </w:r>
          </w:p>
        </w:tc>
        <w:tc>
          <w:tcPr>
            <w:tcW w:w="1740" w:type="dxa"/>
            <w:vAlign w:val="bottom"/>
            <w:shd w:val="clear" w:color="auto" w:fill="CFF0FC"/>
          </w:tcPr>
          <w:p>
            <w:pPr>
              <w:jc w:val="right"/>
              <w:ind w:right="54"/>
              <w:spacing w:after="0"/>
              <w:rPr>
                <w:sz w:val="20"/>
                <w:szCs w:val="20"/>
                <w:color w:val="auto"/>
              </w:rPr>
            </w:pPr>
            <w:r>
              <w:rPr>
                <w:rFonts w:ascii="Arial" w:cs="Arial" w:eastAsia="Arial" w:hAnsi="Arial"/>
                <w:sz w:val="18"/>
                <w:szCs w:val="18"/>
                <w:color w:val="auto"/>
              </w:rPr>
              <w:t>(0.01)</w:t>
            </w:r>
          </w:p>
        </w:tc>
        <w:tc>
          <w:tcPr>
            <w:tcW w:w="380" w:type="dxa"/>
            <w:vAlign w:val="bottom"/>
            <w:shd w:val="clear" w:color="auto" w:fill="CFF0FC"/>
          </w:tcPr>
          <w:p>
            <w:pPr>
              <w:jc w:val="right"/>
              <w:ind w:right="110"/>
              <w:spacing w:after="0"/>
              <w:rPr>
                <w:sz w:val="20"/>
                <w:szCs w:val="20"/>
                <w:color w:val="auto"/>
              </w:rPr>
            </w:pPr>
            <w:r>
              <w:rPr>
                <w:rFonts w:ascii="Arial" w:cs="Arial" w:eastAsia="Arial" w:hAnsi="Arial"/>
                <w:sz w:val="18"/>
                <w:szCs w:val="18"/>
                <w:color w:val="auto"/>
              </w:rPr>
              <w:t>$</w:t>
            </w:r>
          </w:p>
        </w:tc>
        <w:tc>
          <w:tcPr>
            <w:tcW w:w="16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(0.14)</w:t>
            </w:r>
          </w:p>
        </w:tc>
      </w:tr>
      <w:tr>
        <w:trPr>
          <w:trHeight w:val="230"/>
        </w:trPr>
        <w:tc>
          <w:tcPr>
            <w:tcW w:w="5280" w:type="dxa"/>
            <w:vAlign w:val="bottom"/>
          </w:tcPr>
          <w:p>
            <w:pPr>
              <w:spacing w:after="0"/>
              <w:rPr>
                <w:sz w:val="20"/>
                <w:szCs w:val="20"/>
                <w:color w:val="auto"/>
              </w:rPr>
            </w:pPr>
            <w:r>
              <w:rPr>
                <w:rFonts w:ascii="Arial" w:cs="Arial" w:eastAsia="Arial" w:hAnsi="Arial"/>
                <w:sz w:val="18"/>
                <w:szCs w:val="18"/>
                <w:color w:val="auto"/>
              </w:rPr>
              <w:t>Diluted net loss per share attributable to BlackLine, Inc.</w:t>
            </w:r>
          </w:p>
        </w:tc>
        <w:tc>
          <w:tcPr>
            <w:tcW w:w="220" w:type="dxa"/>
            <w:vAlign w:val="bottom"/>
          </w:tcPr>
          <w:p>
            <w:pPr>
              <w:jc w:val="right"/>
              <w:ind w:right="34"/>
              <w:spacing w:after="0"/>
              <w:rPr>
                <w:sz w:val="20"/>
                <w:szCs w:val="20"/>
                <w:color w:val="auto"/>
              </w:rPr>
            </w:pPr>
            <w:r>
              <w:rPr>
                <w:rFonts w:ascii="Arial" w:cs="Arial" w:eastAsia="Arial" w:hAnsi="Arial"/>
                <w:sz w:val="18"/>
                <w:szCs w:val="18"/>
                <w:color w:val="auto"/>
                <w:w w:val="79"/>
              </w:rPr>
              <w:t>$</w:t>
            </w:r>
          </w:p>
        </w:tc>
        <w:tc>
          <w:tcPr>
            <w:tcW w:w="1720" w:type="dxa"/>
            <w:vAlign w:val="bottom"/>
          </w:tcPr>
          <w:p>
            <w:pPr>
              <w:jc w:val="right"/>
              <w:spacing w:after="0"/>
              <w:rPr>
                <w:sz w:val="20"/>
                <w:szCs w:val="20"/>
                <w:color w:val="auto"/>
              </w:rPr>
            </w:pPr>
            <w:r>
              <w:rPr>
                <w:rFonts w:ascii="Arial" w:cs="Arial" w:eastAsia="Arial" w:hAnsi="Arial"/>
                <w:sz w:val="18"/>
                <w:szCs w:val="18"/>
                <w:color w:val="auto"/>
              </w:rPr>
              <w:t>(0.13)</w:t>
            </w:r>
          </w:p>
        </w:tc>
        <w:tc>
          <w:tcPr>
            <w:tcW w:w="440" w:type="dxa"/>
            <w:vAlign w:val="bottom"/>
          </w:tcPr>
          <w:p>
            <w:pPr>
              <w:jc w:val="right"/>
              <w:ind w:right="93"/>
              <w:spacing w:after="0"/>
              <w:rPr>
                <w:sz w:val="20"/>
                <w:szCs w:val="20"/>
                <w:color w:val="auto"/>
              </w:rPr>
            </w:pPr>
            <w:r>
              <w:rPr>
                <w:rFonts w:ascii="Arial" w:cs="Arial" w:eastAsia="Arial" w:hAnsi="Arial"/>
                <w:sz w:val="18"/>
                <w:szCs w:val="18"/>
                <w:color w:val="auto"/>
              </w:rPr>
              <w:t>$</w:t>
            </w:r>
          </w:p>
        </w:tc>
        <w:tc>
          <w:tcPr>
            <w:tcW w:w="1740" w:type="dxa"/>
            <w:vAlign w:val="bottom"/>
          </w:tcPr>
          <w:p>
            <w:pPr>
              <w:jc w:val="right"/>
              <w:ind w:right="54"/>
              <w:spacing w:after="0"/>
              <w:rPr>
                <w:sz w:val="20"/>
                <w:szCs w:val="20"/>
                <w:color w:val="auto"/>
              </w:rPr>
            </w:pPr>
            <w:r>
              <w:rPr>
                <w:rFonts w:ascii="Arial" w:cs="Arial" w:eastAsia="Arial" w:hAnsi="Arial"/>
                <w:sz w:val="18"/>
                <w:szCs w:val="18"/>
                <w:color w:val="auto"/>
              </w:rPr>
              <w:t>(0.01)</w:t>
            </w:r>
          </w:p>
        </w:tc>
        <w:tc>
          <w:tcPr>
            <w:tcW w:w="38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1640" w:type="dxa"/>
            <w:vAlign w:val="bottom"/>
            <w:gridSpan w:val="2"/>
          </w:tcPr>
          <w:p>
            <w:pPr>
              <w:jc w:val="right"/>
              <w:ind w:right="40"/>
              <w:spacing w:after="0"/>
              <w:rPr>
                <w:sz w:val="20"/>
                <w:szCs w:val="20"/>
                <w:color w:val="auto"/>
              </w:rPr>
            </w:pPr>
            <w:r>
              <w:rPr>
                <w:rFonts w:ascii="Arial" w:cs="Arial" w:eastAsia="Arial" w:hAnsi="Arial"/>
                <w:sz w:val="18"/>
                <w:szCs w:val="18"/>
                <w:color w:val="auto"/>
              </w:rPr>
              <w:t>(0.14)</w:t>
            </w:r>
          </w:p>
        </w:tc>
      </w:tr>
      <w:tr>
        <w:trPr>
          <w:trHeight w:val="446"/>
        </w:trPr>
        <w:tc>
          <w:tcPr>
            <w:tcW w:w="528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720" w:type="dxa"/>
            <w:vAlign w:val="bottom"/>
            <w:tcBorders>
              <w:bottom w:val="single" w:sz="8" w:color="auto"/>
            </w:tcBorders>
          </w:tcPr>
          <w:p>
            <w:pPr>
              <w:spacing w:after="0"/>
              <w:rPr>
                <w:sz w:val="24"/>
                <w:szCs w:val="24"/>
                <w:color w:val="auto"/>
              </w:rPr>
            </w:pPr>
          </w:p>
        </w:tc>
        <w:tc>
          <w:tcPr>
            <w:tcW w:w="218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rPr>
              <w:t>Quarter Ended June 30, 2018</w:t>
            </w:r>
          </w:p>
        </w:tc>
        <w:tc>
          <w:tcPr>
            <w:tcW w:w="380" w:type="dxa"/>
            <w:vAlign w:val="bottom"/>
            <w:tcBorders>
              <w:bottom w:val="single" w:sz="8" w:color="auto"/>
            </w:tcBorders>
          </w:tcPr>
          <w:p>
            <w:pPr>
              <w:spacing w:after="0"/>
              <w:rPr>
                <w:sz w:val="24"/>
                <w:szCs w:val="24"/>
                <w:color w:val="auto"/>
              </w:rPr>
            </w:pPr>
          </w:p>
        </w:tc>
        <w:tc>
          <w:tcPr>
            <w:tcW w:w="154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210"/>
        </w:trPr>
        <w:tc>
          <w:tcPr>
            <w:tcW w:w="5280" w:type="dxa"/>
            <w:vAlign w:val="bottom"/>
          </w:tcPr>
          <w:p>
            <w:pPr>
              <w:spacing w:after="0"/>
              <w:rPr>
                <w:sz w:val="18"/>
                <w:szCs w:val="18"/>
                <w:color w:val="auto"/>
              </w:rPr>
            </w:pPr>
          </w:p>
        </w:tc>
        <w:tc>
          <w:tcPr>
            <w:tcW w:w="1940" w:type="dxa"/>
            <w:vAlign w:val="bottom"/>
            <w:gridSpan w:val="2"/>
          </w:tcPr>
          <w:p>
            <w:pPr>
              <w:jc w:val="right"/>
              <w:ind w:right="135"/>
              <w:spacing w:after="0"/>
              <w:rPr>
                <w:sz w:val="20"/>
                <w:szCs w:val="20"/>
                <w:color w:val="auto"/>
              </w:rPr>
            </w:pPr>
            <w:r>
              <w:rPr>
                <w:rFonts w:ascii="Arial" w:cs="Arial" w:eastAsia="Arial" w:hAnsi="Arial"/>
                <w:sz w:val="14"/>
                <w:szCs w:val="14"/>
                <w:b w:val="1"/>
                <w:bCs w:val="1"/>
                <w:color w:val="auto"/>
              </w:rPr>
              <w:t>As Previously Reported</w:t>
            </w:r>
          </w:p>
        </w:tc>
        <w:tc>
          <w:tcPr>
            <w:tcW w:w="440" w:type="dxa"/>
            <w:vAlign w:val="bottom"/>
          </w:tcPr>
          <w:p>
            <w:pPr>
              <w:spacing w:after="0"/>
              <w:rPr>
                <w:sz w:val="18"/>
                <w:szCs w:val="18"/>
                <w:color w:val="auto"/>
              </w:rPr>
            </w:pPr>
          </w:p>
        </w:tc>
        <w:tc>
          <w:tcPr>
            <w:tcW w:w="1740" w:type="dxa"/>
            <w:vAlign w:val="bottom"/>
          </w:tcPr>
          <w:p>
            <w:pPr>
              <w:jc w:val="center"/>
              <w:ind w:right="394"/>
              <w:spacing w:after="0"/>
              <w:rPr>
                <w:sz w:val="20"/>
                <w:szCs w:val="20"/>
                <w:color w:val="auto"/>
              </w:rPr>
            </w:pPr>
            <w:r>
              <w:rPr>
                <w:rFonts w:ascii="Arial" w:cs="Arial" w:eastAsia="Arial" w:hAnsi="Arial"/>
                <w:sz w:val="14"/>
                <w:szCs w:val="14"/>
                <w:b w:val="1"/>
                <w:bCs w:val="1"/>
                <w:color w:val="auto"/>
              </w:rPr>
              <w:t>Adjustments</w:t>
            </w:r>
          </w:p>
        </w:tc>
        <w:tc>
          <w:tcPr>
            <w:tcW w:w="380" w:type="dxa"/>
            <w:vAlign w:val="bottom"/>
          </w:tcPr>
          <w:p>
            <w:pPr>
              <w:spacing w:after="0"/>
              <w:rPr>
                <w:sz w:val="18"/>
                <w:szCs w:val="18"/>
                <w:color w:val="auto"/>
              </w:rPr>
            </w:pPr>
          </w:p>
        </w:tc>
        <w:tc>
          <w:tcPr>
            <w:tcW w:w="1640" w:type="dxa"/>
            <w:vAlign w:val="bottom"/>
            <w:gridSpan w:val="2"/>
          </w:tcPr>
          <w:p>
            <w:pPr>
              <w:jc w:val="right"/>
              <w:ind w:right="640"/>
              <w:spacing w:after="0"/>
              <w:rPr>
                <w:sz w:val="20"/>
                <w:szCs w:val="20"/>
                <w:color w:val="auto"/>
              </w:rPr>
            </w:pPr>
            <w:r>
              <w:rPr>
                <w:rFonts w:ascii="Arial" w:cs="Arial" w:eastAsia="Arial" w:hAnsi="Arial"/>
                <w:sz w:val="14"/>
                <w:szCs w:val="14"/>
                <w:b w:val="1"/>
                <w:bCs w:val="1"/>
                <w:color w:val="auto"/>
              </w:rPr>
              <w:t>As Revised</w:t>
            </w:r>
          </w:p>
        </w:tc>
      </w:tr>
      <w:tr>
        <w:trPr>
          <w:trHeight w:val="210"/>
        </w:trPr>
        <w:tc>
          <w:tcPr>
            <w:tcW w:w="528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4280" w:type="dxa"/>
            <w:vAlign w:val="bottom"/>
            <w:tcBorders>
              <w:top w:val="single" w:sz="8" w:color="auto"/>
            </w:tcBorders>
            <w:gridSpan w:val="4"/>
          </w:tcPr>
          <w:p>
            <w:pPr>
              <w:jc w:val="right"/>
              <w:ind w:right="130"/>
              <w:spacing w:after="0"/>
              <w:rPr>
                <w:sz w:val="20"/>
                <w:szCs w:val="20"/>
                <w:color w:val="auto"/>
              </w:rPr>
            </w:pPr>
            <w:r>
              <w:rPr>
                <w:rFonts w:ascii="Arial" w:cs="Arial" w:eastAsia="Arial" w:hAnsi="Arial"/>
                <w:sz w:val="14"/>
                <w:szCs w:val="14"/>
                <w:b w:val="1"/>
                <w:bCs w:val="1"/>
                <w:color w:val="auto"/>
              </w:rPr>
              <w:t>(in thousands, except per share data)</w:t>
            </w:r>
          </w:p>
        </w:tc>
        <w:tc>
          <w:tcPr>
            <w:tcW w:w="15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280" w:type="dxa"/>
            <w:vAlign w:val="bottom"/>
            <w:shd w:val="clear" w:color="auto" w:fill="CFF0FC"/>
          </w:tcPr>
          <w:p>
            <w:pPr>
              <w:spacing w:after="0"/>
              <w:rPr>
                <w:sz w:val="20"/>
                <w:szCs w:val="20"/>
                <w:color w:val="auto"/>
              </w:rPr>
            </w:pPr>
            <w:r>
              <w:rPr>
                <w:rFonts w:ascii="Arial" w:cs="Arial" w:eastAsia="Arial" w:hAnsi="Arial"/>
                <w:sz w:val="18"/>
                <w:szCs w:val="18"/>
                <w:color w:val="auto"/>
              </w:rPr>
              <w:t>Net loss</w:t>
            </w:r>
          </w:p>
        </w:tc>
        <w:tc>
          <w:tcPr>
            <w:tcW w:w="220" w:type="dxa"/>
            <w:vAlign w:val="bottom"/>
            <w:shd w:val="clear" w:color="auto" w:fill="CFF0FC"/>
          </w:tcPr>
          <w:p>
            <w:pPr>
              <w:jc w:val="right"/>
              <w:ind w:right="34"/>
              <w:spacing w:after="0"/>
              <w:rPr>
                <w:sz w:val="20"/>
                <w:szCs w:val="20"/>
                <w:color w:val="auto"/>
              </w:rPr>
            </w:pPr>
            <w:r>
              <w:rPr>
                <w:rFonts w:ascii="Arial" w:cs="Arial" w:eastAsia="Arial" w:hAnsi="Arial"/>
                <w:sz w:val="18"/>
                <w:szCs w:val="18"/>
                <w:color w:val="auto"/>
                <w:w w:val="79"/>
              </w:rPr>
              <w:t>$</w:t>
            </w:r>
          </w:p>
        </w:tc>
        <w:tc>
          <w:tcPr>
            <w:tcW w:w="1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(8,457)</w:t>
            </w:r>
          </w:p>
        </w:tc>
        <w:tc>
          <w:tcPr>
            <w:tcW w:w="440" w:type="dxa"/>
            <w:vAlign w:val="bottom"/>
            <w:shd w:val="clear" w:color="auto" w:fill="CFF0FC"/>
          </w:tcPr>
          <w:p>
            <w:pPr>
              <w:jc w:val="right"/>
              <w:ind w:right="93"/>
              <w:spacing w:after="0"/>
              <w:rPr>
                <w:sz w:val="20"/>
                <w:szCs w:val="20"/>
                <w:color w:val="auto"/>
              </w:rPr>
            </w:pPr>
            <w:r>
              <w:rPr>
                <w:rFonts w:ascii="Arial" w:cs="Arial" w:eastAsia="Arial" w:hAnsi="Arial"/>
                <w:sz w:val="18"/>
                <w:szCs w:val="18"/>
                <w:color w:val="auto"/>
              </w:rPr>
              <w:t>$</w:t>
            </w:r>
          </w:p>
        </w:tc>
        <w:tc>
          <w:tcPr>
            <w:tcW w:w="1740" w:type="dxa"/>
            <w:vAlign w:val="bottom"/>
            <w:shd w:val="clear" w:color="auto" w:fill="CFF0FC"/>
          </w:tcPr>
          <w:p>
            <w:pPr>
              <w:jc w:val="right"/>
              <w:ind w:right="54"/>
              <w:spacing w:after="0"/>
              <w:rPr>
                <w:sz w:val="20"/>
                <w:szCs w:val="20"/>
                <w:color w:val="auto"/>
              </w:rPr>
            </w:pPr>
            <w:r>
              <w:rPr>
                <w:rFonts w:ascii="Arial" w:cs="Arial" w:eastAsia="Arial" w:hAnsi="Arial"/>
                <w:sz w:val="18"/>
                <w:szCs w:val="18"/>
                <w:color w:val="auto"/>
              </w:rPr>
              <w:t>(96)</w:t>
            </w:r>
          </w:p>
        </w:tc>
        <w:tc>
          <w:tcPr>
            <w:tcW w:w="380" w:type="dxa"/>
            <w:vAlign w:val="bottom"/>
            <w:shd w:val="clear" w:color="auto" w:fill="CFF0FC"/>
          </w:tcPr>
          <w:p>
            <w:pPr>
              <w:jc w:val="right"/>
              <w:ind w:right="110"/>
              <w:spacing w:after="0"/>
              <w:rPr>
                <w:sz w:val="20"/>
                <w:szCs w:val="20"/>
                <w:color w:val="auto"/>
              </w:rPr>
            </w:pPr>
            <w:r>
              <w:rPr>
                <w:rFonts w:ascii="Arial" w:cs="Arial" w:eastAsia="Arial" w:hAnsi="Arial"/>
                <w:sz w:val="18"/>
                <w:szCs w:val="18"/>
                <w:color w:val="auto"/>
              </w:rPr>
              <w:t>$</w:t>
            </w:r>
          </w:p>
        </w:tc>
        <w:tc>
          <w:tcPr>
            <w:tcW w:w="16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(8,553)</w:t>
            </w:r>
          </w:p>
        </w:tc>
      </w:tr>
      <w:tr>
        <w:trPr>
          <w:trHeight w:val="230"/>
        </w:trPr>
        <w:tc>
          <w:tcPr>
            <w:tcW w:w="5280" w:type="dxa"/>
            <w:vAlign w:val="bottom"/>
          </w:tcPr>
          <w:p>
            <w:pPr>
              <w:spacing w:after="0"/>
              <w:rPr>
                <w:sz w:val="20"/>
                <w:szCs w:val="20"/>
                <w:color w:val="auto"/>
              </w:rPr>
            </w:pPr>
            <w:r>
              <w:rPr>
                <w:rFonts w:ascii="Arial" w:cs="Arial" w:eastAsia="Arial" w:hAnsi="Arial"/>
                <w:sz w:val="18"/>
                <w:szCs w:val="18"/>
                <w:color w:val="auto"/>
              </w:rPr>
              <w:t>Net loss attributable to BlackLine, Inc.</w:t>
            </w:r>
          </w:p>
        </w:tc>
        <w:tc>
          <w:tcPr>
            <w:tcW w:w="220" w:type="dxa"/>
            <w:vAlign w:val="bottom"/>
          </w:tcPr>
          <w:p>
            <w:pPr>
              <w:jc w:val="right"/>
              <w:ind w:right="34"/>
              <w:spacing w:after="0"/>
              <w:rPr>
                <w:sz w:val="20"/>
                <w:szCs w:val="20"/>
                <w:color w:val="auto"/>
              </w:rPr>
            </w:pPr>
            <w:r>
              <w:rPr>
                <w:rFonts w:ascii="Arial" w:cs="Arial" w:eastAsia="Arial" w:hAnsi="Arial"/>
                <w:sz w:val="18"/>
                <w:szCs w:val="18"/>
                <w:color w:val="auto"/>
                <w:w w:val="79"/>
              </w:rPr>
              <w:t>$</w:t>
            </w:r>
          </w:p>
        </w:tc>
        <w:tc>
          <w:tcPr>
            <w:tcW w:w="1720" w:type="dxa"/>
            <w:vAlign w:val="bottom"/>
          </w:tcPr>
          <w:p>
            <w:pPr>
              <w:jc w:val="right"/>
              <w:spacing w:after="0"/>
              <w:rPr>
                <w:sz w:val="20"/>
                <w:szCs w:val="20"/>
                <w:color w:val="auto"/>
              </w:rPr>
            </w:pPr>
            <w:r>
              <w:rPr>
                <w:rFonts w:ascii="Arial" w:cs="Arial" w:eastAsia="Arial" w:hAnsi="Arial"/>
                <w:sz w:val="18"/>
                <w:szCs w:val="18"/>
                <w:color w:val="auto"/>
              </w:rPr>
              <w:t>(8,457)</w:t>
            </w:r>
          </w:p>
        </w:tc>
        <w:tc>
          <w:tcPr>
            <w:tcW w:w="440" w:type="dxa"/>
            <w:vAlign w:val="bottom"/>
          </w:tcPr>
          <w:p>
            <w:pPr>
              <w:jc w:val="right"/>
              <w:ind w:right="93"/>
              <w:spacing w:after="0"/>
              <w:rPr>
                <w:sz w:val="20"/>
                <w:szCs w:val="20"/>
                <w:color w:val="auto"/>
              </w:rPr>
            </w:pPr>
            <w:r>
              <w:rPr>
                <w:rFonts w:ascii="Arial" w:cs="Arial" w:eastAsia="Arial" w:hAnsi="Arial"/>
                <w:sz w:val="18"/>
                <w:szCs w:val="18"/>
                <w:color w:val="auto"/>
              </w:rPr>
              <w:t>$</w:t>
            </w:r>
          </w:p>
        </w:tc>
        <w:tc>
          <w:tcPr>
            <w:tcW w:w="1740" w:type="dxa"/>
            <w:vAlign w:val="bottom"/>
          </w:tcPr>
          <w:p>
            <w:pPr>
              <w:jc w:val="right"/>
              <w:ind w:right="54"/>
              <w:spacing w:after="0"/>
              <w:rPr>
                <w:sz w:val="20"/>
                <w:szCs w:val="20"/>
                <w:color w:val="auto"/>
              </w:rPr>
            </w:pPr>
            <w:r>
              <w:rPr>
                <w:rFonts w:ascii="Arial" w:cs="Arial" w:eastAsia="Arial" w:hAnsi="Arial"/>
                <w:sz w:val="18"/>
                <w:szCs w:val="18"/>
                <w:color w:val="auto"/>
              </w:rPr>
              <w:t>(96)</w:t>
            </w:r>
          </w:p>
        </w:tc>
        <w:tc>
          <w:tcPr>
            <w:tcW w:w="38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1640" w:type="dxa"/>
            <w:vAlign w:val="bottom"/>
            <w:gridSpan w:val="2"/>
          </w:tcPr>
          <w:p>
            <w:pPr>
              <w:jc w:val="right"/>
              <w:ind w:right="40"/>
              <w:spacing w:after="0"/>
              <w:rPr>
                <w:sz w:val="20"/>
                <w:szCs w:val="20"/>
                <w:color w:val="auto"/>
              </w:rPr>
            </w:pPr>
            <w:r>
              <w:rPr>
                <w:rFonts w:ascii="Arial" w:cs="Arial" w:eastAsia="Arial" w:hAnsi="Arial"/>
                <w:sz w:val="18"/>
                <w:szCs w:val="18"/>
                <w:color w:val="auto"/>
              </w:rPr>
              <w:t>(8,553)</w:t>
            </w:r>
          </w:p>
        </w:tc>
      </w:tr>
      <w:tr>
        <w:trPr>
          <w:trHeight w:val="446"/>
        </w:trPr>
        <w:tc>
          <w:tcPr>
            <w:tcW w:w="528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4280" w:type="dxa"/>
            <w:vAlign w:val="bottom"/>
            <w:tcBorders>
              <w:bottom w:val="single" w:sz="8" w:color="auto"/>
            </w:tcBorders>
            <w:gridSpan w:val="4"/>
          </w:tcPr>
          <w:p>
            <w:pPr>
              <w:jc w:val="center"/>
              <w:ind w:left="1215"/>
              <w:spacing w:after="0"/>
              <w:rPr>
                <w:sz w:val="20"/>
                <w:szCs w:val="20"/>
                <w:color w:val="auto"/>
              </w:rPr>
            </w:pPr>
            <w:r>
              <w:rPr>
                <w:rFonts w:ascii="Arial" w:cs="Arial" w:eastAsia="Arial" w:hAnsi="Arial"/>
                <w:sz w:val="14"/>
                <w:szCs w:val="14"/>
                <w:b w:val="1"/>
                <w:bCs w:val="1"/>
                <w:color w:val="auto"/>
              </w:rPr>
              <w:t>Quarter Ended September 30, 2018</w:t>
            </w:r>
          </w:p>
        </w:tc>
        <w:tc>
          <w:tcPr>
            <w:tcW w:w="154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210"/>
        </w:trPr>
        <w:tc>
          <w:tcPr>
            <w:tcW w:w="5280" w:type="dxa"/>
            <w:vAlign w:val="bottom"/>
          </w:tcPr>
          <w:p>
            <w:pPr>
              <w:spacing w:after="0"/>
              <w:rPr>
                <w:sz w:val="18"/>
                <w:szCs w:val="18"/>
                <w:color w:val="auto"/>
              </w:rPr>
            </w:pPr>
          </w:p>
        </w:tc>
        <w:tc>
          <w:tcPr>
            <w:tcW w:w="1940" w:type="dxa"/>
            <w:vAlign w:val="bottom"/>
            <w:gridSpan w:val="2"/>
          </w:tcPr>
          <w:p>
            <w:pPr>
              <w:jc w:val="right"/>
              <w:ind w:right="135"/>
              <w:spacing w:after="0"/>
              <w:rPr>
                <w:sz w:val="20"/>
                <w:szCs w:val="20"/>
                <w:color w:val="auto"/>
              </w:rPr>
            </w:pPr>
            <w:r>
              <w:rPr>
                <w:rFonts w:ascii="Arial" w:cs="Arial" w:eastAsia="Arial" w:hAnsi="Arial"/>
                <w:sz w:val="14"/>
                <w:szCs w:val="14"/>
                <w:b w:val="1"/>
                <w:bCs w:val="1"/>
                <w:color w:val="auto"/>
              </w:rPr>
              <w:t>As Previously Reported</w:t>
            </w:r>
          </w:p>
        </w:tc>
        <w:tc>
          <w:tcPr>
            <w:tcW w:w="440" w:type="dxa"/>
            <w:vAlign w:val="bottom"/>
          </w:tcPr>
          <w:p>
            <w:pPr>
              <w:spacing w:after="0"/>
              <w:rPr>
                <w:sz w:val="18"/>
                <w:szCs w:val="18"/>
                <w:color w:val="auto"/>
              </w:rPr>
            </w:pPr>
          </w:p>
        </w:tc>
        <w:tc>
          <w:tcPr>
            <w:tcW w:w="1740" w:type="dxa"/>
            <w:vAlign w:val="bottom"/>
          </w:tcPr>
          <w:p>
            <w:pPr>
              <w:jc w:val="center"/>
              <w:ind w:right="394"/>
              <w:spacing w:after="0"/>
              <w:rPr>
                <w:sz w:val="20"/>
                <w:szCs w:val="20"/>
                <w:color w:val="auto"/>
              </w:rPr>
            </w:pPr>
            <w:r>
              <w:rPr>
                <w:rFonts w:ascii="Arial" w:cs="Arial" w:eastAsia="Arial" w:hAnsi="Arial"/>
                <w:sz w:val="14"/>
                <w:szCs w:val="14"/>
                <w:b w:val="1"/>
                <w:bCs w:val="1"/>
                <w:color w:val="auto"/>
              </w:rPr>
              <w:t>Adjustments</w:t>
            </w:r>
          </w:p>
        </w:tc>
        <w:tc>
          <w:tcPr>
            <w:tcW w:w="380" w:type="dxa"/>
            <w:vAlign w:val="bottom"/>
          </w:tcPr>
          <w:p>
            <w:pPr>
              <w:spacing w:after="0"/>
              <w:rPr>
                <w:sz w:val="18"/>
                <w:szCs w:val="18"/>
                <w:color w:val="auto"/>
              </w:rPr>
            </w:pPr>
          </w:p>
        </w:tc>
        <w:tc>
          <w:tcPr>
            <w:tcW w:w="1640" w:type="dxa"/>
            <w:vAlign w:val="bottom"/>
            <w:gridSpan w:val="2"/>
          </w:tcPr>
          <w:p>
            <w:pPr>
              <w:jc w:val="right"/>
              <w:ind w:right="640"/>
              <w:spacing w:after="0"/>
              <w:rPr>
                <w:sz w:val="20"/>
                <w:szCs w:val="20"/>
                <w:color w:val="auto"/>
              </w:rPr>
            </w:pPr>
            <w:r>
              <w:rPr>
                <w:rFonts w:ascii="Arial" w:cs="Arial" w:eastAsia="Arial" w:hAnsi="Arial"/>
                <w:sz w:val="14"/>
                <w:szCs w:val="14"/>
                <w:b w:val="1"/>
                <w:bCs w:val="1"/>
                <w:color w:val="auto"/>
              </w:rPr>
              <w:t>As Revised</w:t>
            </w:r>
          </w:p>
        </w:tc>
      </w:tr>
      <w:tr>
        <w:trPr>
          <w:trHeight w:val="210"/>
        </w:trPr>
        <w:tc>
          <w:tcPr>
            <w:tcW w:w="528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4280" w:type="dxa"/>
            <w:vAlign w:val="bottom"/>
            <w:tcBorders>
              <w:top w:val="single" w:sz="8" w:color="auto"/>
            </w:tcBorders>
            <w:gridSpan w:val="4"/>
          </w:tcPr>
          <w:p>
            <w:pPr>
              <w:jc w:val="right"/>
              <w:ind w:right="130"/>
              <w:spacing w:after="0"/>
              <w:rPr>
                <w:sz w:val="20"/>
                <w:szCs w:val="20"/>
                <w:color w:val="auto"/>
              </w:rPr>
            </w:pPr>
            <w:r>
              <w:rPr>
                <w:rFonts w:ascii="Arial" w:cs="Arial" w:eastAsia="Arial" w:hAnsi="Arial"/>
                <w:sz w:val="14"/>
                <w:szCs w:val="14"/>
                <w:b w:val="1"/>
                <w:bCs w:val="1"/>
                <w:color w:val="auto"/>
              </w:rPr>
              <w:t>(in thousands, except per share data)</w:t>
            </w:r>
          </w:p>
        </w:tc>
        <w:tc>
          <w:tcPr>
            <w:tcW w:w="15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280" w:type="dxa"/>
            <w:vAlign w:val="bottom"/>
            <w:shd w:val="clear" w:color="auto" w:fill="CFF0FC"/>
          </w:tcPr>
          <w:p>
            <w:pPr>
              <w:spacing w:after="0"/>
              <w:rPr>
                <w:sz w:val="20"/>
                <w:szCs w:val="20"/>
                <w:color w:val="auto"/>
              </w:rPr>
            </w:pPr>
            <w:r>
              <w:rPr>
                <w:rFonts w:ascii="Arial" w:cs="Arial" w:eastAsia="Arial" w:hAnsi="Arial"/>
                <w:sz w:val="18"/>
                <w:szCs w:val="18"/>
                <w:color w:val="auto"/>
              </w:rPr>
              <w:t>Net loss</w:t>
            </w:r>
          </w:p>
        </w:tc>
        <w:tc>
          <w:tcPr>
            <w:tcW w:w="220" w:type="dxa"/>
            <w:vAlign w:val="bottom"/>
            <w:shd w:val="clear" w:color="auto" w:fill="CFF0FC"/>
          </w:tcPr>
          <w:p>
            <w:pPr>
              <w:jc w:val="right"/>
              <w:ind w:right="34"/>
              <w:spacing w:after="0"/>
              <w:rPr>
                <w:sz w:val="20"/>
                <w:szCs w:val="20"/>
                <w:color w:val="auto"/>
              </w:rPr>
            </w:pPr>
            <w:r>
              <w:rPr>
                <w:rFonts w:ascii="Arial" w:cs="Arial" w:eastAsia="Arial" w:hAnsi="Arial"/>
                <w:sz w:val="18"/>
                <w:szCs w:val="18"/>
                <w:color w:val="auto"/>
                <w:w w:val="79"/>
              </w:rPr>
              <w:t>$</w:t>
            </w:r>
          </w:p>
        </w:tc>
        <w:tc>
          <w:tcPr>
            <w:tcW w:w="1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(4,460)</w:t>
            </w:r>
          </w:p>
        </w:tc>
        <w:tc>
          <w:tcPr>
            <w:tcW w:w="440" w:type="dxa"/>
            <w:vAlign w:val="bottom"/>
            <w:shd w:val="clear" w:color="auto" w:fill="CFF0FC"/>
          </w:tcPr>
          <w:p>
            <w:pPr>
              <w:jc w:val="right"/>
              <w:ind w:right="93"/>
              <w:spacing w:after="0"/>
              <w:rPr>
                <w:sz w:val="20"/>
                <w:szCs w:val="20"/>
                <w:color w:val="auto"/>
              </w:rPr>
            </w:pPr>
            <w:r>
              <w:rPr>
                <w:rFonts w:ascii="Arial" w:cs="Arial" w:eastAsia="Arial" w:hAnsi="Arial"/>
                <w:sz w:val="18"/>
                <w:szCs w:val="18"/>
                <w:color w:val="auto"/>
              </w:rPr>
              <w:t>$</w:t>
            </w:r>
          </w:p>
        </w:tc>
        <w:tc>
          <w:tcPr>
            <w:tcW w:w="1740" w:type="dxa"/>
            <w:vAlign w:val="bottom"/>
            <w:shd w:val="clear" w:color="auto" w:fill="CFF0FC"/>
          </w:tcPr>
          <w:p>
            <w:pPr>
              <w:jc w:val="right"/>
              <w:ind w:right="54"/>
              <w:spacing w:after="0"/>
              <w:rPr>
                <w:sz w:val="20"/>
                <w:szCs w:val="20"/>
                <w:color w:val="auto"/>
              </w:rPr>
            </w:pPr>
            <w:r>
              <w:rPr>
                <w:rFonts w:ascii="Arial" w:cs="Arial" w:eastAsia="Arial" w:hAnsi="Arial"/>
                <w:sz w:val="18"/>
                <w:szCs w:val="18"/>
                <w:color w:val="auto"/>
              </w:rPr>
              <w:t>(306)</w:t>
            </w:r>
          </w:p>
        </w:tc>
        <w:tc>
          <w:tcPr>
            <w:tcW w:w="380" w:type="dxa"/>
            <w:vAlign w:val="bottom"/>
            <w:shd w:val="clear" w:color="auto" w:fill="CFF0FC"/>
          </w:tcPr>
          <w:p>
            <w:pPr>
              <w:jc w:val="right"/>
              <w:ind w:right="110"/>
              <w:spacing w:after="0"/>
              <w:rPr>
                <w:sz w:val="20"/>
                <w:szCs w:val="20"/>
                <w:color w:val="auto"/>
              </w:rPr>
            </w:pPr>
            <w:r>
              <w:rPr>
                <w:rFonts w:ascii="Arial" w:cs="Arial" w:eastAsia="Arial" w:hAnsi="Arial"/>
                <w:sz w:val="18"/>
                <w:szCs w:val="18"/>
                <w:color w:val="auto"/>
              </w:rPr>
              <w:t>$</w:t>
            </w:r>
          </w:p>
        </w:tc>
        <w:tc>
          <w:tcPr>
            <w:tcW w:w="16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(4,766)</w:t>
            </w:r>
          </w:p>
        </w:tc>
      </w:tr>
      <w:tr>
        <w:trPr>
          <w:trHeight w:val="216"/>
        </w:trPr>
        <w:tc>
          <w:tcPr>
            <w:tcW w:w="5280" w:type="dxa"/>
            <w:vAlign w:val="bottom"/>
          </w:tcPr>
          <w:p>
            <w:pPr>
              <w:spacing w:after="0"/>
              <w:rPr>
                <w:sz w:val="20"/>
                <w:szCs w:val="20"/>
                <w:color w:val="auto"/>
              </w:rPr>
            </w:pPr>
            <w:r>
              <w:rPr>
                <w:rFonts w:ascii="Arial" w:cs="Arial" w:eastAsia="Arial" w:hAnsi="Arial"/>
                <w:sz w:val="18"/>
                <w:szCs w:val="18"/>
                <w:color w:val="auto"/>
              </w:rPr>
              <w:t>Net loss attributable to BlackLine, Inc.</w:t>
            </w:r>
          </w:p>
        </w:tc>
        <w:tc>
          <w:tcPr>
            <w:tcW w:w="220" w:type="dxa"/>
            <w:vAlign w:val="bottom"/>
          </w:tcPr>
          <w:p>
            <w:pPr>
              <w:jc w:val="right"/>
              <w:ind w:right="34"/>
              <w:spacing w:after="0"/>
              <w:rPr>
                <w:sz w:val="20"/>
                <w:szCs w:val="20"/>
                <w:color w:val="auto"/>
              </w:rPr>
            </w:pPr>
            <w:r>
              <w:rPr>
                <w:rFonts w:ascii="Arial" w:cs="Arial" w:eastAsia="Arial" w:hAnsi="Arial"/>
                <w:sz w:val="18"/>
                <w:szCs w:val="18"/>
                <w:color w:val="auto"/>
                <w:w w:val="79"/>
              </w:rPr>
              <w:t>$</w:t>
            </w:r>
          </w:p>
        </w:tc>
        <w:tc>
          <w:tcPr>
            <w:tcW w:w="1720" w:type="dxa"/>
            <w:vAlign w:val="bottom"/>
          </w:tcPr>
          <w:p>
            <w:pPr>
              <w:jc w:val="right"/>
              <w:spacing w:after="0"/>
              <w:rPr>
                <w:sz w:val="20"/>
                <w:szCs w:val="20"/>
                <w:color w:val="auto"/>
              </w:rPr>
            </w:pPr>
            <w:r>
              <w:rPr>
                <w:rFonts w:ascii="Arial" w:cs="Arial" w:eastAsia="Arial" w:hAnsi="Arial"/>
                <w:sz w:val="18"/>
                <w:szCs w:val="18"/>
                <w:color w:val="auto"/>
              </w:rPr>
              <w:t>(4,460)</w:t>
            </w:r>
          </w:p>
        </w:tc>
        <w:tc>
          <w:tcPr>
            <w:tcW w:w="440" w:type="dxa"/>
            <w:vAlign w:val="bottom"/>
          </w:tcPr>
          <w:p>
            <w:pPr>
              <w:jc w:val="right"/>
              <w:ind w:right="93"/>
              <w:spacing w:after="0"/>
              <w:rPr>
                <w:sz w:val="20"/>
                <w:szCs w:val="20"/>
                <w:color w:val="auto"/>
              </w:rPr>
            </w:pPr>
            <w:r>
              <w:rPr>
                <w:rFonts w:ascii="Arial" w:cs="Arial" w:eastAsia="Arial" w:hAnsi="Arial"/>
                <w:sz w:val="18"/>
                <w:szCs w:val="18"/>
                <w:color w:val="auto"/>
              </w:rPr>
              <w:t>$</w:t>
            </w:r>
          </w:p>
        </w:tc>
        <w:tc>
          <w:tcPr>
            <w:tcW w:w="1740" w:type="dxa"/>
            <w:vAlign w:val="bottom"/>
          </w:tcPr>
          <w:p>
            <w:pPr>
              <w:jc w:val="right"/>
              <w:ind w:right="54"/>
              <w:spacing w:after="0"/>
              <w:rPr>
                <w:sz w:val="20"/>
                <w:szCs w:val="20"/>
                <w:color w:val="auto"/>
              </w:rPr>
            </w:pPr>
            <w:r>
              <w:rPr>
                <w:rFonts w:ascii="Arial" w:cs="Arial" w:eastAsia="Arial" w:hAnsi="Arial"/>
                <w:sz w:val="18"/>
                <w:szCs w:val="18"/>
                <w:color w:val="auto"/>
              </w:rPr>
              <w:t>(306)</w:t>
            </w:r>
          </w:p>
        </w:tc>
        <w:tc>
          <w:tcPr>
            <w:tcW w:w="38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1640" w:type="dxa"/>
            <w:vAlign w:val="bottom"/>
            <w:gridSpan w:val="2"/>
          </w:tcPr>
          <w:p>
            <w:pPr>
              <w:jc w:val="right"/>
              <w:ind w:right="40"/>
              <w:spacing w:after="0"/>
              <w:rPr>
                <w:sz w:val="20"/>
                <w:szCs w:val="20"/>
                <w:color w:val="auto"/>
              </w:rPr>
            </w:pPr>
            <w:r>
              <w:rPr>
                <w:rFonts w:ascii="Arial" w:cs="Arial" w:eastAsia="Arial" w:hAnsi="Arial"/>
                <w:sz w:val="18"/>
                <w:szCs w:val="18"/>
                <w:color w:val="auto"/>
              </w:rPr>
              <w:t>(4,766)</w:t>
            </w:r>
          </w:p>
        </w:tc>
      </w:tr>
      <w:tr>
        <w:trPr>
          <w:trHeight w:val="216"/>
        </w:trPr>
        <w:tc>
          <w:tcPr>
            <w:tcW w:w="5280" w:type="dxa"/>
            <w:vAlign w:val="bottom"/>
            <w:shd w:val="clear" w:color="auto" w:fill="CFF0FC"/>
          </w:tcPr>
          <w:p>
            <w:pPr>
              <w:spacing w:after="0"/>
              <w:rPr>
                <w:sz w:val="20"/>
                <w:szCs w:val="20"/>
                <w:color w:val="auto"/>
              </w:rPr>
            </w:pPr>
            <w:r>
              <w:rPr>
                <w:rFonts w:ascii="Arial" w:cs="Arial" w:eastAsia="Arial" w:hAnsi="Arial"/>
                <w:sz w:val="18"/>
                <w:szCs w:val="18"/>
                <w:color w:val="auto"/>
              </w:rPr>
              <w:t>Basic net loss per share attributable to BlackLine, Inc.</w:t>
            </w:r>
          </w:p>
        </w:tc>
        <w:tc>
          <w:tcPr>
            <w:tcW w:w="220" w:type="dxa"/>
            <w:vAlign w:val="bottom"/>
            <w:shd w:val="clear" w:color="auto" w:fill="CFF0FC"/>
          </w:tcPr>
          <w:p>
            <w:pPr>
              <w:jc w:val="right"/>
              <w:ind w:right="34"/>
              <w:spacing w:after="0"/>
              <w:rPr>
                <w:sz w:val="20"/>
                <w:szCs w:val="20"/>
                <w:color w:val="auto"/>
              </w:rPr>
            </w:pPr>
            <w:r>
              <w:rPr>
                <w:rFonts w:ascii="Arial" w:cs="Arial" w:eastAsia="Arial" w:hAnsi="Arial"/>
                <w:sz w:val="18"/>
                <w:szCs w:val="18"/>
                <w:color w:val="auto"/>
                <w:w w:val="79"/>
              </w:rPr>
              <w:t>$</w:t>
            </w:r>
          </w:p>
        </w:tc>
        <w:tc>
          <w:tcPr>
            <w:tcW w:w="1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(0.08)</w:t>
            </w:r>
          </w:p>
        </w:tc>
        <w:tc>
          <w:tcPr>
            <w:tcW w:w="440" w:type="dxa"/>
            <w:vAlign w:val="bottom"/>
            <w:shd w:val="clear" w:color="auto" w:fill="CFF0FC"/>
          </w:tcPr>
          <w:p>
            <w:pPr>
              <w:jc w:val="right"/>
              <w:ind w:right="93"/>
              <w:spacing w:after="0"/>
              <w:rPr>
                <w:sz w:val="20"/>
                <w:szCs w:val="20"/>
                <w:color w:val="auto"/>
              </w:rPr>
            </w:pPr>
            <w:r>
              <w:rPr>
                <w:rFonts w:ascii="Arial" w:cs="Arial" w:eastAsia="Arial" w:hAnsi="Arial"/>
                <w:sz w:val="18"/>
                <w:szCs w:val="18"/>
                <w:color w:val="auto"/>
              </w:rPr>
              <w:t>$</w:t>
            </w:r>
          </w:p>
        </w:tc>
        <w:tc>
          <w:tcPr>
            <w:tcW w:w="1740" w:type="dxa"/>
            <w:vAlign w:val="bottom"/>
            <w:shd w:val="clear" w:color="auto" w:fill="CFF0FC"/>
          </w:tcPr>
          <w:p>
            <w:pPr>
              <w:jc w:val="right"/>
              <w:ind w:right="54"/>
              <w:spacing w:after="0"/>
              <w:rPr>
                <w:sz w:val="20"/>
                <w:szCs w:val="20"/>
                <w:color w:val="auto"/>
              </w:rPr>
            </w:pPr>
            <w:r>
              <w:rPr>
                <w:rFonts w:ascii="Arial" w:cs="Arial" w:eastAsia="Arial" w:hAnsi="Arial"/>
                <w:sz w:val="18"/>
                <w:szCs w:val="18"/>
                <w:color w:val="auto"/>
              </w:rPr>
              <w:t>(0.01)</w:t>
            </w:r>
          </w:p>
        </w:tc>
        <w:tc>
          <w:tcPr>
            <w:tcW w:w="380" w:type="dxa"/>
            <w:vAlign w:val="bottom"/>
            <w:shd w:val="clear" w:color="auto" w:fill="CFF0FC"/>
          </w:tcPr>
          <w:p>
            <w:pPr>
              <w:jc w:val="right"/>
              <w:ind w:right="110"/>
              <w:spacing w:after="0"/>
              <w:rPr>
                <w:sz w:val="20"/>
                <w:szCs w:val="20"/>
                <w:color w:val="auto"/>
              </w:rPr>
            </w:pPr>
            <w:r>
              <w:rPr>
                <w:rFonts w:ascii="Arial" w:cs="Arial" w:eastAsia="Arial" w:hAnsi="Arial"/>
                <w:sz w:val="18"/>
                <w:szCs w:val="18"/>
                <w:color w:val="auto"/>
              </w:rPr>
              <w:t>$</w:t>
            </w:r>
          </w:p>
        </w:tc>
        <w:tc>
          <w:tcPr>
            <w:tcW w:w="16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(0.09)</w:t>
            </w:r>
          </w:p>
        </w:tc>
      </w:tr>
      <w:tr>
        <w:trPr>
          <w:trHeight w:val="230"/>
        </w:trPr>
        <w:tc>
          <w:tcPr>
            <w:tcW w:w="5280" w:type="dxa"/>
            <w:vAlign w:val="bottom"/>
          </w:tcPr>
          <w:p>
            <w:pPr>
              <w:spacing w:after="0"/>
              <w:rPr>
                <w:sz w:val="20"/>
                <w:szCs w:val="20"/>
                <w:color w:val="auto"/>
              </w:rPr>
            </w:pPr>
            <w:r>
              <w:rPr>
                <w:rFonts w:ascii="Arial" w:cs="Arial" w:eastAsia="Arial" w:hAnsi="Arial"/>
                <w:sz w:val="18"/>
                <w:szCs w:val="18"/>
                <w:color w:val="auto"/>
              </w:rPr>
              <w:t>Diluted net loss per share attributable to BlackLine, Inc.</w:t>
            </w:r>
          </w:p>
        </w:tc>
        <w:tc>
          <w:tcPr>
            <w:tcW w:w="220" w:type="dxa"/>
            <w:vAlign w:val="bottom"/>
          </w:tcPr>
          <w:p>
            <w:pPr>
              <w:jc w:val="right"/>
              <w:ind w:right="34"/>
              <w:spacing w:after="0"/>
              <w:rPr>
                <w:sz w:val="20"/>
                <w:szCs w:val="20"/>
                <w:color w:val="auto"/>
              </w:rPr>
            </w:pPr>
            <w:r>
              <w:rPr>
                <w:rFonts w:ascii="Arial" w:cs="Arial" w:eastAsia="Arial" w:hAnsi="Arial"/>
                <w:sz w:val="18"/>
                <w:szCs w:val="18"/>
                <w:color w:val="auto"/>
                <w:w w:val="79"/>
              </w:rPr>
              <w:t>$</w:t>
            </w:r>
          </w:p>
        </w:tc>
        <w:tc>
          <w:tcPr>
            <w:tcW w:w="1720" w:type="dxa"/>
            <w:vAlign w:val="bottom"/>
          </w:tcPr>
          <w:p>
            <w:pPr>
              <w:jc w:val="right"/>
              <w:spacing w:after="0"/>
              <w:rPr>
                <w:sz w:val="20"/>
                <w:szCs w:val="20"/>
                <w:color w:val="auto"/>
              </w:rPr>
            </w:pPr>
            <w:r>
              <w:rPr>
                <w:rFonts w:ascii="Arial" w:cs="Arial" w:eastAsia="Arial" w:hAnsi="Arial"/>
                <w:sz w:val="18"/>
                <w:szCs w:val="18"/>
                <w:color w:val="auto"/>
              </w:rPr>
              <w:t>(0.08)</w:t>
            </w:r>
          </w:p>
        </w:tc>
        <w:tc>
          <w:tcPr>
            <w:tcW w:w="440" w:type="dxa"/>
            <w:vAlign w:val="bottom"/>
          </w:tcPr>
          <w:p>
            <w:pPr>
              <w:jc w:val="right"/>
              <w:ind w:right="93"/>
              <w:spacing w:after="0"/>
              <w:rPr>
                <w:sz w:val="20"/>
                <w:szCs w:val="20"/>
                <w:color w:val="auto"/>
              </w:rPr>
            </w:pPr>
            <w:r>
              <w:rPr>
                <w:rFonts w:ascii="Arial" w:cs="Arial" w:eastAsia="Arial" w:hAnsi="Arial"/>
                <w:sz w:val="18"/>
                <w:szCs w:val="18"/>
                <w:color w:val="auto"/>
              </w:rPr>
              <w:t>$</w:t>
            </w:r>
          </w:p>
        </w:tc>
        <w:tc>
          <w:tcPr>
            <w:tcW w:w="1740" w:type="dxa"/>
            <w:vAlign w:val="bottom"/>
          </w:tcPr>
          <w:p>
            <w:pPr>
              <w:jc w:val="right"/>
              <w:ind w:right="54"/>
              <w:spacing w:after="0"/>
              <w:rPr>
                <w:sz w:val="20"/>
                <w:szCs w:val="20"/>
                <w:color w:val="auto"/>
              </w:rPr>
            </w:pPr>
            <w:r>
              <w:rPr>
                <w:rFonts w:ascii="Arial" w:cs="Arial" w:eastAsia="Arial" w:hAnsi="Arial"/>
                <w:sz w:val="18"/>
                <w:szCs w:val="18"/>
                <w:color w:val="auto"/>
              </w:rPr>
              <w:t>(0.01)</w:t>
            </w:r>
          </w:p>
        </w:tc>
        <w:tc>
          <w:tcPr>
            <w:tcW w:w="38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1640" w:type="dxa"/>
            <w:vAlign w:val="bottom"/>
            <w:gridSpan w:val="2"/>
          </w:tcPr>
          <w:p>
            <w:pPr>
              <w:jc w:val="right"/>
              <w:ind w:right="40"/>
              <w:spacing w:after="0"/>
              <w:rPr>
                <w:sz w:val="20"/>
                <w:szCs w:val="20"/>
                <w:color w:val="auto"/>
              </w:rPr>
            </w:pPr>
            <w:r>
              <w:rPr>
                <w:rFonts w:ascii="Arial" w:cs="Arial" w:eastAsia="Arial" w:hAnsi="Arial"/>
                <w:sz w:val="18"/>
                <w:szCs w:val="18"/>
                <w:color w:val="auto"/>
              </w:rPr>
              <w:t>(0.09)</w:t>
            </w:r>
          </w:p>
        </w:tc>
      </w:tr>
      <w:tr>
        <w:trPr>
          <w:trHeight w:val="419"/>
        </w:trPr>
        <w:tc>
          <w:tcPr>
            <w:tcW w:w="5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720" w:type="dxa"/>
            <w:vAlign w:val="bottom"/>
          </w:tcPr>
          <w:p>
            <w:pPr>
              <w:jc w:val="right"/>
              <w:ind w:right="1315"/>
              <w:spacing w:after="0"/>
              <w:rPr>
                <w:sz w:val="20"/>
                <w:szCs w:val="20"/>
                <w:color w:val="auto"/>
              </w:rPr>
            </w:pPr>
            <w:r>
              <w:rPr>
                <w:rFonts w:ascii="Arial" w:cs="Arial" w:eastAsia="Arial" w:hAnsi="Arial"/>
                <w:sz w:val="18"/>
                <w:szCs w:val="18"/>
                <w:color w:val="auto"/>
              </w:rPr>
              <w:t>90</w:t>
            </w:r>
          </w:p>
        </w:tc>
        <w:tc>
          <w:tcPr>
            <w:tcW w:w="44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02"/>
        </w:trPr>
        <w:tc>
          <w:tcPr>
            <w:tcW w:w="5280" w:type="dxa"/>
            <w:vAlign w:val="bottom"/>
            <w:tcBorders>
              <w:bottom w:val="single" w:sz="8" w:color="9A9A9A"/>
            </w:tcBorders>
          </w:tcPr>
          <w:p>
            <w:pPr>
              <w:spacing w:after="0"/>
              <w:rPr>
                <w:sz w:val="8"/>
                <w:szCs w:val="8"/>
                <w:color w:val="auto"/>
              </w:rPr>
            </w:pPr>
          </w:p>
        </w:tc>
        <w:tc>
          <w:tcPr>
            <w:tcW w:w="220" w:type="dxa"/>
            <w:vAlign w:val="bottom"/>
            <w:tcBorders>
              <w:bottom w:val="single" w:sz="8" w:color="9A9A9A"/>
            </w:tcBorders>
          </w:tcPr>
          <w:p>
            <w:pPr>
              <w:spacing w:after="0"/>
              <w:rPr>
                <w:sz w:val="8"/>
                <w:szCs w:val="8"/>
                <w:color w:val="auto"/>
              </w:rPr>
            </w:pPr>
          </w:p>
        </w:tc>
        <w:tc>
          <w:tcPr>
            <w:tcW w:w="1720" w:type="dxa"/>
            <w:vAlign w:val="bottom"/>
            <w:tcBorders>
              <w:bottom w:val="single" w:sz="8" w:color="9A9A9A"/>
            </w:tcBorders>
          </w:tcPr>
          <w:p>
            <w:pPr>
              <w:spacing w:after="0"/>
              <w:rPr>
                <w:sz w:val="8"/>
                <w:szCs w:val="8"/>
                <w:color w:val="auto"/>
              </w:rPr>
            </w:pPr>
          </w:p>
        </w:tc>
        <w:tc>
          <w:tcPr>
            <w:tcW w:w="440" w:type="dxa"/>
            <w:vAlign w:val="bottom"/>
            <w:tcBorders>
              <w:bottom w:val="single" w:sz="8" w:color="9A9A9A"/>
            </w:tcBorders>
          </w:tcPr>
          <w:p>
            <w:pPr>
              <w:spacing w:after="0"/>
              <w:rPr>
                <w:sz w:val="8"/>
                <w:szCs w:val="8"/>
                <w:color w:val="auto"/>
              </w:rPr>
            </w:pPr>
          </w:p>
        </w:tc>
        <w:tc>
          <w:tcPr>
            <w:tcW w:w="1740" w:type="dxa"/>
            <w:vAlign w:val="bottom"/>
            <w:tcBorders>
              <w:bottom w:val="single" w:sz="8" w:color="9A9A9A"/>
            </w:tcBorders>
          </w:tcPr>
          <w:p>
            <w:pPr>
              <w:spacing w:after="0"/>
              <w:rPr>
                <w:sz w:val="8"/>
                <w:szCs w:val="8"/>
                <w:color w:val="auto"/>
              </w:rPr>
            </w:pPr>
          </w:p>
        </w:tc>
        <w:tc>
          <w:tcPr>
            <w:tcW w:w="380" w:type="dxa"/>
            <w:vAlign w:val="bottom"/>
            <w:tcBorders>
              <w:bottom w:val="single" w:sz="8" w:color="9A9A9A"/>
            </w:tcBorders>
          </w:tcPr>
          <w:p>
            <w:pPr>
              <w:spacing w:after="0"/>
              <w:rPr>
                <w:sz w:val="8"/>
                <w:szCs w:val="8"/>
                <w:color w:val="auto"/>
              </w:rPr>
            </w:pPr>
          </w:p>
        </w:tc>
        <w:tc>
          <w:tcPr>
            <w:tcW w:w="154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7230110</wp:posOffset>
            </wp:positionH>
            <wp:positionV relativeFrom="paragraph">
              <wp:posOffset>-29210</wp:posOffset>
            </wp:positionV>
            <wp:extent cx="34290" cy="425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20"/>
          </w:cols>
          <w:pgMar w:left="240" w:top="657" w:right="239" w:bottom="1440" w:gutter="0" w:footer="0" w:header="0"/>
        </w:sectPr>
      </w:pPr>
    </w:p>
    <w:bookmarkStart w:id="90" w:name="page91"/>
    <w:bookmarkEnd w:id="90"/>
    <w:tbl>
      <w:tblPr>
        <w:tblLayout w:type="fixed"/>
        <w:tblInd w:w="0" w:type="dxa"/>
        <w:tblCellMar>
          <w:top w:w="0" w:type="dxa"/>
          <w:left w:w="0" w:type="dxa"/>
          <w:bottom w:w="0" w:type="dxa"/>
          <w:right w:w="0" w:type="dxa"/>
        </w:tblCellMar>
      </w:tblPr>
      <w:tr>
        <w:trPr>
          <w:trHeight w:val="175"/>
        </w:trPr>
        <w:tc>
          <w:tcPr>
            <w:tcW w:w="5280" w:type="dxa"/>
            <w:vAlign w:val="bottom"/>
          </w:tcPr>
          <w:p>
            <w:pPr>
              <w:spacing w:after="0"/>
              <w:rPr>
                <w:sz w:val="15"/>
                <w:szCs w:val="15"/>
                <w:color w:val="auto"/>
              </w:rPr>
            </w:pPr>
          </w:p>
        </w:tc>
        <w:tc>
          <w:tcPr>
            <w:tcW w:w="700" w:type="dxa"/>
            <w:vAlign w:val="bottom"/>
            <w:tcBorders>
              <w:bottom w:val="single" w:sz="8" w:color="auto"/>
            </w:tcBorders>
          </w:tcPr>
          <w:p>
            <w:pPr>
              <w:spacing w:after="0"/>
              <w:rPr>
                <w:sz w:val="15"/>
                <w:szCs w:val="15"/>
                <w:color w:val="auto"/>
              </w:rPr>
            </w:pPr>
          </w:p>
        </w:tc>
        <w:tc>
          <w:tcPr>
            <w:tcW w:w="3480" w:type="dxa"/>
            <w:vAlign w:val="bottom"/>
            <w:tcBorders>
              <w:bottom w:val="single" w:sz="8" w:color="auto"/>
            </w:tcBorders>
            <w:gridSpan w:val="3"/>
          </w:tcPr>
          <w:p>
            <w:pPr>
              <w:jc w:val="center"/>
              <w:ind w:left="1056"/>
              <w:spacing w:after="0"/>
              <w:rPr>
                <w:sz w:val="20"/>
                <w:szCs w:val="20"/>
                <w:color w:val="auto"/>
              </w:rPr>
            </w:pPr>
            <w:r>
              <w:rPr>
                <w:rFonts w:ascii="Arial" w:cs="Arial" w:eastAsia="Arial" w:hAnsi="Arial"/>
                <w:sz w:val="14"/>
                <w:szCs w:val="14"/>
                <w:b w:val="1"/>
                <w:bCs w:val="1"/>
                <w:color w:val="auto"/>
              </w:rPr>
              <w:t>Quarter Ended December 31, 2018</w:t>
            </w:r>
          </w:p>
        </w:tc>
        <w:tc>
          <w:tcPr>
            <w:tcW w:w="320" w:type="dxa"/>
            <w:vAlign w:val="bottom"/>
            <w:tcBorders>
              <w:bottom w:val="single" w:sz="8" w:color="auto"/>
            </w:tcBorders>
          </w:tcPr>
          <w:p>
            <w:pPr>
              <w:spacing w:after="0"/>
              <w:rPr>
                <w:sz w:val="15"/>
                <w:szCs w:val="15"/>
                <w:color w:val="auto"/>
              </w:rPr>
            </w:pPr>
          </w:p>
        </w:tc>
        <w:tc>
          <w:tcPr>
            <w:tcW w:w="154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r>
      <w:tr>
        <w:trPr>
          <w:trHeight w:val="210"/>
        </w:trPr>
        <w:tc>
          <w:tcPr>
            <w:tcW w:w="5280" w:type="dxa"/>
            <w:vAlign w:val="bottom"/>
          </w:tcPr>
          <w:p>
            <w:pPr>
              <w:spacing w:after="0"/>
              <w:rPr>
                <w:sz w:val="18"/>
                <w:szCs w:val="18"/>
                <w:color w:val="auto"/>
              </w:rPr>
            </w:pPr>
          </w:p>
        </w:tc>
        <w:tc>
          <w:tcPr>
            <w:tcW w:w="1940" w:type="dxa"/>
            <w:vAlign w:val="bottom"/>
            <w:gridSpan w:val="2"/>
          </w:tcPr>
          <w:p>
            <w:pPr>
              <w:jc w:val="right"/>
              <w:ind w:right="136"/>
              <w:spacing w:after="0"/>
              <w:rPr>
                <w:sz w:val="20"/>
                <w:szCs w:val="20"/>
                <w:color w:val="auto"/>
              </w:rPr>
            </w:pPr>
            <w:r>
              <w:rPr>
                <w:rFonts w:ascii="Arial" w:cs="Arial" w:eastAsia="Arial" w:hAnsi="Arial"/>
                <w:sz w:val="14"/>
                <w:szCs w:val="14"/>
                <w:b w:val="1"/>
                <w:bCs w:val="1"/>
                <w:color w:val="auto"/>
              </w:rPr>
              <w:t>As Previously Reported</w:t>
            </w:r>
          </w:p>
        </w:tc>
        <w:tc>
          <w:tcPr>
            <w:tcW w:w="440" w:type="dxa"/>
            <w:vAlign w:val="bottom"/>
          </w:tcPr>
          <w:p>
            <w:pPr>
              <w:spacing w:after="0"/>
              <w:rPr>
                <w:sz w:val="18"/>
                <w:szCs w:val="18"/>
                <w:color w:val="auto"/>
              </w:rPr>
            </w:pPr>
          </w:p>
        </w:tc>
        <w:tc>
          <w:tcPr>
            <w:tcW w:w="1800" w:type="dxa"/>
            <w:vAlign w:val="bottom"/>
          </w:tcPr>
          <w:p>
            <w:pPr>
              <w:jc w:val="center"/>
              <w:ind w:right="454"/>
              <w:spacing w:after="0"/>
              <w:rPr>
                <w:sz w:val="20"/>
                <w:szCs w:val="20"/>
                <w:color w:val="auto"/>
              </w:rPr>
            </w:pPr>
            <w:r>
              <w:rPr>
                <w:rFonts w:ascii="Arial" w:cs="Arial" w:eastAsia="Arial" w:hAnsi="Arial"/>
                <w:sz w:val="14"/>
                <w:szCs w:val="14"/>
                <w:b w:val="1"/>
                <w:bCs w:val="1"/>
                <w:color w:val="auto"/>
              </w:rPr>
              <w:t>Adjustments</w:t>
            </w:r>
          </w:p>
        </w:tc>
        <w:tc>
          <w:tcPr>
            <w:tcW w:w="320" w:type="dxa"/>
            <w:vAlign w:val="bottom"/>
          </w:tcPr>
          <w:p>
            <w:pPr>
              <w:spacing w:after="0"/>
              <w:rPr>
                <w:sz w:val="18"/>
                <w:szCs w:val="18"/>
                <w:color w:val="auto"/>
              </w:rPr>
            </w:pPr>
          </w:p>
        </w:tc>
        <w:tc>
          <w:tcPr>
            <w:tcW w:w="1640" w:type="dxa"/>
            <w:vAlign w:val="bottom"/>
            <w:gridSpan w:val="2"/>
          </w:tcPr>
          <w:p>
            <w:pPr>
              <w:jc w:val="right"/>
              <w:ind w:right="640"/>
              <w:spacing w:after="0"/>
              <w:rPr>
                <w:sz w:val="20"/>
                <w:szCs w:val="20"/>
                <w:color w:val="auto"/>
              </w:rPr>
            </w:pPr>
            <w:r>
              <w:rPr>
                <w:rFonts w:ascii="Arial" w:cs="Arial" w:eastAsia="Arial" w:hAnsi="Arial"/>
                <w:sz w:val="14"/>
                <w:szCs w:val="14"/>
                <w:b w:val="1"/>
                <w:bCs w:val="1"/>
                <w:color w:val="auto"/>
              </w:rPr>
              <w:t>As Revised</w:t>
            </w:r>
          </w:p>
        </w:tc>
      </w:tr>
      <w:tr>
        <w:trPr>
          <w:trHeight w:val="210"/>
        </w:trPr>
        <w:tc>
          <w:tcPr>
            <w:tcW w:w="5280" w:type="dxa"/>
            <w:vAlign w:val="bottom"/>
          </w:tcPr>
          <w:p>
            <w:pPr>
              <w:spacing w:after="0"/>
              <w:rPr>
                <w:sz w:val="18"/>
                <w:szCs w:val="18"/>
                <w:color w:val="auto"/>
              </w:rPr>
            </w:pPr>
          </w:p>
        </w:tc>
        <w:tc>
          <w:tcPr>
            <w:tcW w:w="700" w:type="dxa"/>
            <w:vAlign w:val="bottom"/>
            <w:tcBorders>
              <w:top w:val="single" w:sz="8" w:color="auto"/>
            </w:tcBorders>
          </w:tcPr>
          <w:p>
            <w:pPr>
              <w:spacing w:after="0"/>
              <w:rPr>
                <w:sz w:val="18"/>
                <w:szCs w:val="18"/>
                <w:color w:val="auto"/>
              </w:rPr>
            </w:pPr>
          </w:p>
        </w:tc>
        <w:tc>
          <w:tcPr>
            <w:tcW w:w="3800" w:type="dxa"/>
            <w:vAlign w:val="bottom"/>
            <w:tcBorders>
              <w:top w:val="single" w:sz="8" w:color="auto"/>
            </w:tcBorders>
            <w:gridSpan w:val="4"/>
          </w:tcPr>
          <w:p>
            <w:pPr>
              <w:jc w:val="right"/>
              <w:ind w:right="130"/>
              <w:spacing w:after="0"/>
              <w:rPr>
                <w:sz w:val="20"/>
                <w:szCs w:val="20"/>
                <w:color w:val="auto"/>
              </w:rPr>
            </w:pPr>
            <w:r>
              <w:rPr>
                <w:rFonts w:ascii="Arial" w:cs="Arial" w:eastAsia="Arial" w:hAnsi="Arial"/>
                <w:sz w:val="14"/>
                <w:szCs w:val="14"/>
                <w:b w:val="1"/>
                <w:bCs w:val="1"/>
                <w:color w:val="auto"/>
              </w:rPr>
              <w:t>(in thousands, except per share data)</w:t>
            </w:r>
          </w:p>
        </w:tc>
        <w:tc>
          <w:tcPr>
            <w:tcW w:w="15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280" w:type="dxa"/>
            <w:vAlign w:val="bottom"/>
            <w:shd w:val="clear" w:color="auto" w:fill="CFF0FC"/>
          </w:tcPr>
          <w:p>
            <w:pPr>
              <w:spacing w:after="0"/>
              <w:rPr>
                <w:sz w:val="20"/>
                <w:szCs w:val="20"/>
                <w:color w:val="auto"/>
              </w:rPr>
            </w:pPr>
            <w:r>
              <w:rPr>
                <w:rFonts w:ascii="Arial" w:cs="Arial" w:eastAsia="Arial" w:hAnsi="Arial"/>
                <w:sz w:val="18"/>
                <w:szCs w:val="18"/>
                <w:color w:val="auto"/>
              </w:rPr>
              <w:t>Net loss</w:t>
            </w:r>
          </w:p>
        </w:tc>
        <w:tc>
          <w:tcPr>
            <w:tcW w:w="700" w:type="dxa"/>
            <w:vAlign w:val="bottom"/>
            <w:shd w:val="clear" w:color="auto" w:fill="CFF0FC"/>
          </w:tcPr>
          <w:p>
            <w:pPr>
              <w:jc w:val="right"/>
              <w:ind w:right="514"/>
              <w:spacing w:after="0"/>
              <w:rPr>
                <w:sz w:val="20"/>
                <w:szCs w:val="20"/>
                <w:color w:val="auto"/>
              </w:rPr>
            </w:pPr>
            <w:r>
              <w:rPr>
                <w:rFonts w:ascii="Arial" w:cs="Arial" w:eastAsia="Arial" w:hAnsi="Arial"/>
                <w:sz w:val="18"/>
                <w:szCs w:val="18"/>
                <w:color w:val="auto"/>
                <w:w w:val="79"/>
              </w:rPr>
              <w:t>$</w:t>
            </w: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(7,794)</w:t>
            </w:r>
          </w:p>
        </w:tc>
        <w:tc>
          <w:tcPr>
            <w:tcW w:w="440" w:type="dxa"/>
            <w:vAlign w:val="bottom"/>
            <w:shd w:val="clear" w:color="auto" w:fill="CFF0FC"/>
          </w:tcPr>
          <w:p>
            <w:pPr>
              <w:jc w:val="right"/>
              <w:ind w:right="93"/>
              <w:spacing w:after="0"/>
              <w:rPr>
                <w:sz w:val="20"/>
                <w:szCs w:val="20"/>
                <w:color w:val="auto"/>
              </w:rPr>
            </w:pPr>
            <w:r>
              <w:rPr>
                <w:rFonts w:ascii="Arial" w:cs="Arial" w:eastAsia="Arial" w:hAnsi="Arial"/>
                <w:sz w:val="18"/>
                <w:szCs w:val="18"/>
                <w:color w:val="auto"/>
              </w:rPr>
              <w:t>$</w:t>
            </w:r>
          </w:p>
        </w:tc>
        <w:tc>
          <w:tcPr>
            <w:tcW w:w="1800" w:type="dxa"/>
            <w:vAlign w:val="bottom"/>
            <w:shd w:val="clear" w:color="auto" w:fill="CFF0FC"/>
          </w:tcPr>
          <w:p>
            <w:pPr>
              <w:jc w:val="right"/>
              <w:ind w:right="114"/>
              <w:spacing w:after="0"/>
              <w:rPr>
                <w:sz w:val="20"/>
                <w:szCs w:val="20"/>
                <w:color w:val="auto"/>
              </w:rPr>
            </w:pPr>
            <w:r>
              <w:rPr>
                <w:rFonts w:ascii="Arial" w:cs="Arial" w:eastAsia="Arial" w:hAnsi="Arial"/>
                <w:sz w:val="18"/>
                <w:szCs w:val="18"/>
                <w:color w:val="auto"/>
              </w:rPr>
              <w:t>(411)</w:t>
            </w:r>
          </w:p>
        </w:tc>
        <w:tc>
          <w:tcPr>
            <w:tcW w:w="320" w:type="dxa"/>
            <w:vAlign w:val="bottom"/>
            <w:shd w:val="clear" w:color="auto" w:fill="CFF0FC"/>
          </w:tcPr>
          <w:p>
            <w:pPr>
              <w:jc w:val="right"/>
              <w:ind w:right="110"/>
              <w:spacing w:after="0"/>
              <w:rPr>
                <w:sz w:val="20"/>
                <w:szCs w:val="20"/>
                <w:color w:val="auto"/>
              </w:rPr>
            </w:pPr>
            <w:r>
              <w:rPr>
                <w:rFonts w:ascii="Arial" w:cs="Arial" w:eastAsia="Arial" w:hAnsi="Arial"/>
                <w:sz w:val="18"/>
                <w:szCs w:val="18"/>
                <w:color w:val="auto"/>
                <w:w w:val="99"/>
              </w:rPr>
              <w:t>$</w:t>
            </w:r>
          </w:p>
        </w:tc>
        <w:tc>
          <w:tcPr>
            <w:tcW w:w="16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(8,205)</w:t>
            </w:r>
          </w:p>
        </w:tc>
      </w:tr>
      <w:tr>
        <w:trPr>
          <w:trHeight w:val="216"/>
        </w:trPr>
        <w:tc>
          <w:tcPr>
            <w:tcW w:w="5280" w:type="dxa"/>
            <w:vAlign w:val="bottom"/>
          </w:tcPr>
          <w:p>
            <w:pPr>
              <w:spacing w:after="0"/>
              <w:rPr>
                <w:sz w:val="20"/>
                <w:szCs w:val="20"/>
                <w:color w:val="auto"/>
              </w:rPr>
            </w:pPr>
            <w:r>
              <w:rPr>
                <w:rFonts w:ascii="Arial" w:cs="Arial" w:eastAsia="Arial" w:hAnsi="Arial"/>
                <w:sz w:val="18"/>
                <w:szCs w:val="18"/>
                <w:color w:val="auto"/>
              </w:rPr>
              <w:t>Net loss attributable to BlackLine, Inc.</w:t>
            </w:r>
          </w:p>
        </w:tc>
        <w:tc>
          <w:tcPr>
            <w:tcW w:w="700" w:type="dxa"/>
            <w:vAlign w:val="bottom"/>
          </w:tcPr>
          <w:p>
            <w:pPr>
              <w:jc w:val="right"/>
              <w:ind w:right="514"/>
              <w:spacing w:after="0"/>
              <w:rPr>
                <w:sz w:val="20"/>
                <w:szCs w:val="20"/>
                <w:color w:val="auto"/>
              </w:rPr>
            </w:pPr>
            <w:r>
              <w:rPr>
                <w:rFonts w:ascii="Arial" w:cs="Arial" w:eastAsia="Arial" w:hAnsi="Arial"/>
                <w:sz w:val="18"/>
                <w:szCs w:val="18"/>
                <w:color w:val="auto"/>
                <w:w w:val="79"/>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(7,732)</w:t>
            </w:r>
          </w:p>
        </w:tc>
        <w:tc>
          <w:tcPr>
            <w:tcW w:w="440" w:type="dxa"/>
            <w:vAlign w:val="bottom"/>
          </w:tcPr>
          <w:p>
            <w:pPr>
              <w:jc w:val="right"/>
              <w:ind w:right="93"/>
              <w:spacing w:after="0"/>
              <w:rPr>
                <w:sz w:val="20"/>
                <w:szCs w:val="20"/>
                <w:color w:val="auto"/>
              </w:rPr>
            </w:pPr>
            <w:r>
              <w:rPr>
                <w:rFonts w:ascii="Arial" w:cs="Arial" w:eastAsia="Arial" w:hAnsi="Arial"/>
                <w:sz w:val="18"/>
                <w:szCs w:val="18"/>
                <w:color w:val="auto"/>
              </w:rPr>
              <w:t>$</w:t>
            </w:r>
          </w:p>
        </w:tc>
        <w:tc>
          <w:tcPr>
            <w:tcW w:w="1800" w:type="dxa"/>
            <w:vAlign w:val="bottom"/>
          </w:tcPr>
          <w:p>
            <w:pPr>
              <w:jc w:val="right"/>
              <w:ind w:right="114"/>
              <w:spacing w:after="0"/>
              <w:rPr>
                <w:sz w:val="20"/>
                <w:szCs w:val="20"/>
                <w:color w:val="auto"/>
              </w:rPr>
            </w:pPr>
            <w:r>
              <w:rPr>
                <w:rFonts w:ascii="Arial" w:cs="Arial" w:eastAsia="Arial" w:hAnsi="Arial"/>
                <w:sz w:val="18"/>
                <w:szCs w:val="18"/>
                <w:color w:val="auto"/>
              </w:rPr>
              <w:t>(411)</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640" w:type="dxa"/>
            <w:vAlign w:val="bottom"/>
            <w:gridSpan w:val="2"/>
          </w:tcPr>
          <w:p>
            <w:pPr>
              <w:jc w:val="right"/>
              <w:ind w:right="40"/>
              <w:spacing w:after="0"/>
              <w:rPr>
                <w:sz w:val="20"/>
                <w:szCs w:val="20"/>
                <w:color w:val="auto"/>
              </w:rPr>
            </w:pPr>
            <w:r>
              <w:rPr>
                <w:rFonts w:ascii="Arial" w:cs="Arial" w:eastAsia="Arial" w:hAnsi="Arial"/>
                <w:sz w:val="18"/>
                <w:szCs w:val="18"/>
                <w:color w:val="auto"/>
              </w:rPr>
              <w:t>(8,143)</w:t>
            </w:r>
          </w:p>
        </w:tc>
      </w:tr>
      <w:tr>
        <w:trPr>
          <w:trHeight w:val="216"/>
        </w:trPr>
        <w:tc>
          <w:tcPr>
            <w:tcW w:w="5280" w:type="dxa"/>
            <w:vAlign w:val="bottom"/>
            <w:shd w:val="clear" w:color="auto" w:fill="CFF0FC"/>
          </w:tcPr>
          <w:p>
            <w:pPr>
              <w:spacing w:after="0"/>
              <w:rPr>
                <w:sz w:val="20"/>
                <w:szCs w:val="20"/>
                <w:color w:val="auto"/>
              </w:rPr>
            </w:pPr>
            <w:r>
              <w:rPr>
                <w:rFonts w:ascii="Arial" w:cs="Arial" w:eastAsia="Arial" w:hAnsi="Arial"/>
                <w:sz w:val="18"/>
                <w:szCs w:val="18"/>
                <w:color w:val="auto"/>
              </w:rPr>
              <w:t>Basic net loss per share attributable to BlackLine, Inc.</w:t>
            </w:r>
          </w:p>
        </w:tc>
        <w:tc>
          <w:tcPr>
            <w:tcW w:w="700" w:type="dxa"/>
            <w:vAlign w:val="bottom"/>
            <w:shd w:val="clear" w:color="auto" w:fill="CFF0FC"/>
          </w:tcPr>
          <w:p>
            <w:pPr>
              <w:jc w:val="right"/>
              <w:ind w:right="514"/>
              <w:spacing w:after="0"/>
              <w:rPr>
                <w:sz w:val="20"/>
                <w:szCs w:val="20"/>
                <w:color w:val="auto"/>
              </w:rPr>
            </w:pPr>
            <w:r>
              <w:rPr>
                <w:rFonts w:ascii="Arial" w:cs="Arial" w:eastAsia="Arial" w:hAnsi="Arial"/>
                <w:sz w:val="18"/>
                <w:szCs w:val="18"/>
                <w:color w:val="auto"/>
                <w:w w:val="79"/>
              </w:rPr>
              <w:t>$</w:t>
            </w: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(0.14)</w:t>
            </w:r>
          </w:p>
        </w:tc>
        <w:tc>
          <w:tcPr>
            <w:tcW w:w="440" w:type="dxa"/>
            <w:vAlign w:val="bottom"/>
            <w:shd w:val="clear" w:color="auto" w:fill="CFF0FC"/>
          </w:tcPr>
          <w:p>
            <w:pPr>
              <w:jc w:val="right"/>
              <w:ind w:right="93"/>
              <w:spacing w:after="0"/>
              <w:rPr>
                <w:sz w:val="20"/>
                <w:szCs w:val="20"/>
                <w:color w:val="auto"/>
              </w:rPr>
            </w:pPr>
            <w:r>
              <w:rPr>
                <w:rFonts w:ascii="Arial" w:cs="Arial" w:eastAsia="Arial" w:hAnsi="Arial"/>
                <w:sz w:val="18"/>
                <w:szCs w:val="18"/>
                <w:color w:val="auto"/>
              </w:rPr>
              <w:t>$</w:t>
            </w:r>
          </w:p>
        </w:tc>
        <w:tc>
          <w:tcPr>
            <w:tcW w:w="1800" w:type="dxa"/>
            <w:vAlign w:val="bottom"/>
            <w:shd w:val="clear" w:color="auto" w:fill="CFF0FC"/>
          </w:tcPr>
          <w:p>
            <w:pPr>
              <w:jc w:val="right"/>
              <w:ind w:right="114"/>
              <w:spacing w:after="0"/>
              <w:rPr>
                <w:sz w:val="20"/>
                <w:szCs w:val="20"/>
                <w:color w:val="auto"/>
              </w:rPr>
            </w:pPr>
            <w:r>
              <w:rPr>
                <w:rFonts w:ascii="Arial" w:cs="Arial" w:eastAsia="Arial" w:hAnsi="Arial"/>
                <w:sz w:val="18"/>
                <w:szCs w:val="18"/>
                <w:color w:val="auto"/>
              </w:rPr>
              <w:t>(0.01)</w:t>
            </w:r>
          </w:p>
        </w:tc>
        <w:tc>
          <w:tcPr>
            <w:tcW w:w="320" w:type="dxa"/>
            <w:vAlign w:val="bottom"/>
            <w:shd w:val="clear" w:color="auto" w:fill="CFF0FC"/>
          </w:tcPr>
          <w:p>
            <w:pPr>
              <w:jc w:val="right"/>
              <w:ind w:right="110"/>
              <w:spacing w:after="0"/>
              <w:rPr>
                <w:sz w:val="20"/>
                <w:szCs w:val="20"/>
                <w:color w:val="auto"/>
              </w:rPr>
            </w:pPr>
            <w:r>
              <w:rPr>
                <w:rFonts w:ascii="Arial" w:cs="Arial" w:eastAsia="Arial" w:hAnsi="Arial"/>
                <w:sz w:val="18"/>
                <w:szCs w:val="18"/>
                <w:color w:val="auto"/>
                <w:w w:val="99"/>
              </w:rPr>
              <w:t>$</w:t>
            </w:r>
          </w:p>
        </w:tc>
        <w:tc>
          <w:tcPr>
            <w:tcW w:w="16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(0.15)</w:t>
            </w:r>
          </w:p>
        </w:tc>
      </w:tr>
      <w:tr>
        <w:trPr>
          <w:trHeight w:val="230"/>
        </w:trPr>
        <w:tc>
          <w:tcPr>
            <w:tcW w:w="5280" w:type="dxa"/>
            <w:vAlign w:val="bottom"/>
          </w:tcPr>
          <w:p>
            <w:pPr>
              <w:spacing w:after="0"/>
              <w:rPr>
                <w:sz w:val="20"/>
                <w:szCs w:val="20"/>
                <w:color w:val="auto"/>
              </w:rPr>
            </w:pPr>
            <w:r>
              <w:rPr>
                <w:rFonts w:ascii="Arial" w:cs="Arial" w:eastAsia="Arial" w:hAnsi="Arial"/>
                <w:sz w:val="18"/>
                <w:szCs w:val="18"/>
                <w:color w:val="auto"/>
              </w:rPr>
              <w:t>Diluted net loss per share attributable to BlackLine, Inc.</w:t>
            </w:r>
          </w:p>
        </w:tc>
        <w:tc>
          <w:tcPr>
            <w:tcW w:w="700" w:type="dxa"/>
            <w:vAlign w:val="bottom"/>
          </w:tcPr>
          <w:p>
            <w:pPr>
              <w:jc w:val="right"/>
              <w:ind w:right="514"/>
              <w:spacing w:after="0"/>
              <w:rPr>
                <w:sz w:val="20"/>
                <w:szCs w:val="20"/>
                <w:color w:val="auto"/>
              </w:rPr>
            </w:pPr>
            <w:r>
              <w:rPr>
                <w:rFonts w:ascii="Arial" w:cs="Arial" w:eastAsia="Arial" w:hAnsi="Arial"/>
                <w:sz w:val="18"/>
                <w:szCs w:val="18"/>
                <w:color w:val="auto"/>
                <w:w w:val="79"/>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(0.14)</w:t>
            </w:r>
          </w:p>
        </w:tc>
        <w:tc>
          <w:tcPr>
            <w:tcW w:w="440" w:type="dxa"/>
            <w:vAlign w:val="bottom"/>
          </w:tcPr>
          <w:p>
            <w:pPr>
              <w:jc w:val="right"/>
              <w:ind w:right="93"/>
              <w:spacing w:after="0"/>
              <w:rPr>
                <w:sz w:val="20"/>
                <w:szCs w:val="20"/>
                <w:color w:val="auto"/>
              </w:rPr>
            </w:pPr>
            <w:r>
              <w:rPr>
                <w:rFonts w:ascii="Arial" w:cs="Arial" w:eastAsia="Arial" w:hAnsi="Arial"/>
                <w:sz w:val="18"/>
                <w:szCs w:val="18"/>
                <w:color w:val="auto"/>
              </w:rPr>
              <w:t>$</w:t>
            </w:r>
          </w:p>
        </w:tc>
        <w:tc>
          <w:tcPr>
            <w:tcW w:w="1800" w:type="dxa"/>
            <w:vAlign w:val="bottom"/>
          </w:tcPr>
          <w:p>
            <w:pPr>
              <w:jc w:val="right"/>
              <w:ind w:right="114"/>
              <w:spacing w:after="0"/>
              <w:rPr>
                <w:sz w:val="20"/>
                <w:szCs w:val="20"/>
                <w:color w:val="auto"/>
              </w:rPr>
            </w:pPr>
            <w:r>
              <w:rPr>
                <w:rFonts w:ascii="Arial" w:cs="Arial" w:eastAsia="Arial" w:hAnsi="Arial"/>
                <w:sz w:val="18"/>
                <w:szCs w:val="18"/>
                <w:color w:val="auto"/>
              </w:rPr>
              <w:t>(0.01)</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640" w:type="dxa"/>
            <w:vAlign w:val="bottom"/>
            <w:gridSpan w:val="2"/>
          </w:tcPr>
          <w:p>
            <w:pPr>
              <w:jc w:val="right"/>
              <w:ind w:right="40"/>
              <w:spacing w:after="0"/>
              <w:rPr>
                <w:sz w:val="20"/>
                <w:szCs w:val="20"/>
                <w:color w:val="auto"/>
              </w:rPr>
            </w:pPr>
            <w:r>
              <w:rPr>
                <w:rFonts w:ascii="Arial" w:cs="Arial" w:eastAsia="Arial" w:hAnsi="Arial"/>
                <w:sz w:val="18"/>
                <w:szCs w:val="18"/>
                <w:color w:val="auto"/>
              </w:rPr>
              <w:t>(0.15)</w:t>
            </w:r>
          </w:p>
        </w:tc>
      </w:tr>
      <w:tr>
        <w:trPr>
          <w:trHeight w:val="446"/>
        </w:trPr>
        <w:tc>
          <w:tcPr>
            <w:tcW w:w="5280" w:type="dxa"/>
            <w:vAlign w:val="bottom"/>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spacing w:after="0"/>
              <w:rPr>
                <w:sz w:val="24"/>
                <w:szCs w:val="24"/>
                <w:color w:val="auto"/>
              </w:rPr>
            </w:pPr>
          </w:p>
        </w:tc>
        <w:tc>
          <w:tcPr>
            <w:tcW w:w="2240" w:type="dxa"/>
            <w:vAlign w:val="bottom"/>
            <w:tcBorders>
              <w:bottom w:val="single" w:sz="8" w:color="auto"/>
            </w:tcBorders>
            <w:gridSpan w:val="2"/>
          </w:tcPr>
          <w:p>
            <w:pPr>
              <w:jc w:val="center"/>
              <w:ind w:right="14"/>
              <w:spacing w:after="0"/>
              <w:rPr>
                <w:sz w:val="20"/>
                <w:szCs w:val="20"/>
                <w:color w:val="auto"/>
              </w:rPr>
            </w:pPr>
            <w:r>
              <w:rPr>
                <w:rFonts w:ascii="Arial" w:cs="Arial" w:eastAsia="Arial" w:hAnsi="Arial"/>
                <w:sz w:val="14"/>
                <w:szCs w:val="14"/>
                <w:b w:val="1"/>
                <w:bCs w:val="1"/>
                <w:color w:val="auto"/>
              </w:rPr>
              <w:t>Quarter Ended March 31, 2019</w:t>
            </w:r>
          </w:p>
        </w:tc>
        <w:tc>
          <w:tcPr>
            <w:tcW w:w="320" w:type="dxa"/>
            <w:vAlign w:val="bottom"/>
            <w:tcBorders>
              <w:bottom w:val="single" w:sz="8" w:color="auto"/>
            </w:tcBorders>
          </w:tcPr>
          <w:p>
            <w:pPr>
              <w:spacing w:after="0"/>
              <w:rPr>
                <w:sz w:val="24"/>
                <w:szCs w:val="24"/>
                <w:color w:val="auto"/>
              </w:rPr>
            </w:pPr>
          </w:p>
        </w:tc>
        <w:tc>
          <w:tcPr>
            <w:tcW w:w="154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210"/>
        </w:trPr>
        <w:tc>
          <w:tcPr>
            <w:tcW w:w="5280" w:type="dxa"/>
            <w:vAlign w:val="bottom"/>
          </w:tcPr>
          <w:p>
            <w:pPr>
              <w:spacing w:after="0"/>
              <w:rPr>
                <w:sz w:val="18"/>
                <w:szCs w:val="18"/>
                <w:color w:val="auto"/>
              </w:rPr>
            </w:pPr>
          </w:p>
        </w:tc>
        <w:tc>
          <w:tcPr>
            <w:tcW w:w="1940" w:type="dxa"/>
            <w:vAlign w:val="bottom"/>
            <w:gridSpan w:val="2"/>
          </w:tcPr>
          <w:p>
            <w:pPr>
              <w:jc w:val="right"/>
              <w:ind w:right="136"/>
              <w:spacing w:after="0"/>
              <w:rPr>
                <w:sz w:val="20"/>
                <w:szCs w:val="20"/>
                <w:color w:val="auto"/>
              </w:rPr>
            </w:pPr>
            <w:r>
              <w:rPr>
                <w:rFonts w:ascii="Arial" w:cs="Arial" w:eastAsia="Arial" w:hAnsi="Arial"/>
                <w:sz w:val="14"/>
                <w:szCs w:val="14"/>
                <w:b w:val="1"/>
                <w:bCs w:val="1"/>
                <w:color w:val="auto"/>
              </w:rPr>
              <w:t>As Previously Reported</w:t>
            </w:r>
          </w:p>
        </w:tc>
        <w:tc>
          <w:tcPr>
            <w:tcW w:w="440" w:type="dxa"/>
            <w:vAlign w:val="bottom"/>
          </w:tcPr>
          <w:p>
            <w:pPr>
              <w:spacing w:after="0"/>
              <w:rPr>
                <w:sz w:val="18"/>
                <w:szCs w:val="18"/>
                <w:color w:val="auto"/>
              </w:rPr>
            </w:pPr>
          </w:p>
        </w:tc>
        <w:tc>
          <w:tcPr>
            <w:tcW w:w="1800" w:type="dxa"/>
            <w:vAlign w:val="bottom"/>
          </w:tcPr>
          <w:p>
            <w:pPr>
              <w:jc w:val="center"/>
              <w:ind w:right="454"/>
              <w:spacing w:after="0"/>
              <w:rPr>
                <w:sz w:val="20"/>
                <w:szCs w:val="20"/>
                <w:color w:val="auto"/>
              </w:rPr>
            </w:pPr>
            <w:r>
              <w:rPr>
                <w:rFonts w:ascii="Arial" w:cs="Arial" w:eastAsia="Arial" w:hAnsi="Arial"/>
                <w:sz w:val="14"/>
                <w:szCs w:val="14"/>
                <w:b w:val="1"/>
                <w:bCs w:val="1"/>
                <w:color w:val="auto"/>
              </w:rPr>
              <w:t>Adjustments</w:t>
            </w:r>
          </w:p>
        </w:tc>
        <w:tc>
          <w:tcPr>
            <w:tcW w:w="320" w:type="dxa"/>
            <w:vAlign w:val="bottom"/>
          </w:tcPr>
          <w:p>
            <w:pPr>
              <w:spacing w:after="0"/>
              <w:rPr>
                <w:sz w:val="18"/>
                <w:szCs w:val="18"/>
                <w:color w:val="auto"/>
              </w:rPr>
            </w:pPr>
          </w:p>
        </w:tc>
        <w:tc>
          <w:tcPr>
            <w:tcW w:w="1640" w:type="dxa"/>
            <w:vAlign w:val="bottom"/>
            <w:gridSpan w:val="2"/>
          </w:tcPr>
          <w:p>
            <w:pPr>
              <w:jc w:val="right"/>
              <w:ind w:right="640"/>
              <w:spacing w:after="0"/>
              <w:rPr>
                <w:sz w:val="20"/>
                <w:szCs w:val="20"/>
                <w:color w:val="auto"/>
              </w:rPr>
            </w:pPr>
            <w:r>
              <w:rPr>
                <w:rFonts w:ascii="Arial" w:cs="Arial" w:eastAsia="Arial" w:hAnsi="Arial"/>
                <w:sz w:val="14"/>
                <w:szCs w:val="14"/>
                <w:b w:val="1"/>
                <w:bCs w:val="1"/>
                <w:color w:val="auto"/>
              </w:rPr>
              <w:t>As Revised</w:t>
            </w:r>
          </w:p>
        </w:tc>
      </w:tr>
      <w:tr>
        <w:trPr>
          <w:trHeight w:val="210"/>
        </w:trPr>
        <w:tc>
          <w:tcPr>
            <w:tcW w:w="5280" w:type="dxa"/>
            <w:vAlign w:val="bottom"/>
          </w:tcPr>
          <w:p>
            <w:pPr>
              <w:spacing w:after="0"/>
              <w:rPr>
                <w:sz w:val="18"/>
                <w:szCs w:val="18"/>
                <w:color w:val="auto"/>
              </w:rPr>
            </w:pPr>
          </w:p>
        </w:tc>
        <w:tc>
          <w:tcPr>
            <w:tcW w:w="700" w:type="dxa"/>
            <w:vAlign w:val="bottom"/>
            <w:tcBorders>
              <w:top w:val="single" w:sz="8" w:color="auto"/>
            </w:tcBorders>
          </w:tcPr>
          <w:p>
            <w:pPr>
              <w:spacing w:after="0"/>
              <w:rPr>
                <w:sz w:val="18"/>
                <w:szCs w:val="18"/>
                <w:color w:val="auto"/>
              </w:rPr>
            </w:pPr>
          </w:p>
        </w:tc>
        <w:tc>
          <w:tcPr>
            <w:tcW w:w="3800" w:type="dxa"/>
            <w:vAlign w:val="bottom"/>
            <w:tcBorders>
              <w:top w:val="single" w:sz="8" w:color="auto"/>
            </w:tcBorders>
            <w:gridSpan w:val="4"/>
          </w:tcPr>
          <w:p>
            <w:pPr>
              <w:jc w:val="right"/>
              <w:ind w:right="130"/>
              <w:spacing w:after="0"/>
              <w:rPr>
                <w:sz w:val="20"/>
                <w:szCs w:val="20"/>
                <w:color w:val="auto"/>
              </w:rPr>
            </w:pPr>
            <w:r>
              <w:rPr>
                <w:rFonts w:ascii="Arial" w:cs="Arial" w:eastAsia="Arial" w:hAnsi="Arial"/>
                <w:sz w:val="14"/>
                <w:szCs w:val="14"/>
                <w:b w:val="1"/>
                <w:bCs w:val="1"/>
                <w:color w:val="auto"/>
              </w:rPr>
              <w:t>(in thousands, except per share data)</w:t>
            </w:r>
          </w:p>
        </w:tc>
        <w:tc>
          <w:tcPr>
            <w:tcW w:w="15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280" w:type="dxa"/>
            <w:vAlign w:val="bottom"/>
            <w:shd w:val="clear" w:color="auto" w:fill="CFF0FC"/>
          </w:tcPr>
          <w:p>
            <w:pPr>
              <w:spacing w:after="0"/>
              <w:rPr>
                <w:sz w:val="20"/>
                <w:szCs w:val="20"/>
                <w:color w:val="auto"/>
              </w:rPr>
            </w:pPr>
            <w:r>
              <w:rPr>
                <w:rFonts w:ascii="Arial" w:cs="Arial" w:eastAsia="Arial" w:hAnsi="Arial"/>
                <w:sz w:val="18"/>
                <w:szCs w:val="18"/>
                <w:color w:val="auto"/>
              </w:rPr>
              <w:t>Net loss</w:t>
            </w:r>
          </w:p>
        </w:tc>
        <w:tc>
          <w:tcPr>
            <w:tcW w:w="700" w:type="dxa"/>
            <w:vAlign w:val="bottom"/>
            <w:shd w:val="clear" w:color="auto" w:fill="CFF0FC"/>
          </w:tcPr>
          <w:p>
            <w:pPr>
              <w:jc w:val="right"/>
              <w:ind w:right="514"/>
              <w:spacing w:after="0"/>
              <w:rPr>
                <w:sz w:val="20"/>
                <w:szCs w:val="20"/>
                <w:color w:val="auto"/>
              </w:rPr>
            </w:pPr>
            <w:r>
              <w:rPr>
                <w:rFonts w:ascii="Arial" w:cs="Arial" w:eastAsia="Arial" w:hAnsi="Arial"/>
                <w:sz w:val="18"/>
                <w:szCs w:val="18"/>
                <w:color w:val="auto"/>
                <w:w w:val="79"/>
              </w:rPr>
              <w:t>$</w:t>
            </w: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(8,833)</w:t>
            </w:r>
          </w:p>
        </w:tc>
        <w:tc>
          <w:tcPr>
            <w:tcW w:w="440" w:type="dxa"/>
            <w:vAlign w:val="bottom"/>
            <w:shd w:val="clear" w:color="auto" w:fill="CFF0FC"/>
          </w:tcPr>
          <w:p>
            <w:pPr>
              <w:jc w:val="right"/>
              <w:ind w:right="93"/>
              <w:spacing w:after="0"/>
              <w:rPr>
                <w:sz w:val="20"/>
                <w:szCs w:val="20"/>
                <w:color w:val="auto"/>
              </w:rPr>
            </w:pPr>
            <w:r>
              <w:rPr>
                <w:rFonts w:ascii="Arial" w:cs="Arial" w:eastAsia="Arial" w:hAnsi="Arial"/>
                <w:sz w:val="18"/>
                <w:szCs w:val="18"/>
                <w:color w:val="auto"/>
              </w:rPr>
              <w:t>$</w:t>
            </w:r>
          </w:p>
        </w:tc>
        <w:tc>
          <w:tcPr>
            <w:tcW w:w="1800" w:type="dxa"/>
            <w:vAlign w:val="bottom"/>
            <w:shd w:val="clear" w:color="auto" w:fill="CFF0FC"/>
          </w:tcPr>
          <w:p>
            <w:pPr>
              <w:jc w:val="right"/>
              <w:ind w:right="114"/>
              <w:spacing w:after="0"/>
              <w:rPr>
                <w:sz w:val="20"/>
                <w:szCs w:val="20"/>
                <w:color w:val="auto"/>
              </w:rPr>
            </w:pPr>
            <w:r>
              <w:rPr>
                <w:rFonts w:ascii="Arial" w:cs="Arial" w:eastAsia="Arial" w:hAnsi="Arial"/>
                <w:sz w:val="18"/>
                <w:szCs w:val="18"/>
                <w:color w:val="auto"/>
              </w:rPr>
              <w:t>(198)</w:t>
            </w:r>
          </w:p>
        </w:tc>
        <w:tc>
          <w:tcPr>
            <w:tcW w:w="320" w:type="dxa"/>
            <w:vAlign w:val="bottom"/>
            <w:shd w:val="clear" w:color="auto" w:fill="CFF0FC"/>
          </w:tcPr>
          <w:p>
            <w:pPr>
              <w:jc w:val="right"/>
              <w:ind w:right="110"/>
              <w:spacing w:after="0"/>
              <w:rPr>
                <w:sz w:val="20"/>
                <w:szCs w:val="20"/>
                <w:color w:val="auto"/>
              </w:rPr>
            </w:pPr>
            <w:r>
              <w:rPr>
                <w:rFonts w:ascii="Arial" w:cs="Arial" w:eastAsia="Arial" w:hAnsi="Arial"/>
                <w:sz w:val="18"/>
                <w:szCs w:val="18"/>
                <w:color w:val="auto"/>
                <w:w w:val="99"/>
              </w:rPr>
              <w:t>$</w:t>
            </w:r>
          </w:p>
        </w:tc>
        <w:tc>
          <w:tcPr>
            <w:tcW w:w="16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(9,031)</w:t>
            </w:r>
          </w:p>
        </w:tc>
      </w:tr>
      <w:tr>
        <w:trPr>
          <w:trHeight w:val="230"/>
        </w:trPr>
        <w:tc>
          <w:tcPr>
            <w:tcW w:w="5280" w:type="dxa"/>
            <w:vAlign w:val="bottom"/>
          </w:tcPr>
          <w:p>
            <w:pPr>
              <w:spacing w:after="0"/>
              <w:rPr>
                <w:sz w:val="20"/>
                <w:szCs w:val="20"/>
                <w:color w:val="auto"/>
              </w:rPr>
            </w:pPr>
            <w:r>
              <w:rPr>
                <w:rFonts w:ascii="Arial" w:cs="Arial" w:eastAsia="Arial" w:hAnsi="Arial"/>
                <w:sz w:val="18"/>
                <w:szCs w:val="18"/>
                <w:color w:val="auto"/>
              </w:rPr>
              <w:t>Net loss attributable to BlackLine, Inc.</w:t>
            </w:r>
          </w:p>
        </w:tc>
        <w:tc>
          <w:tcPr>
            <w:tcW w:w="700" w:type="dxa"/>
            <w:vAlign w:val="bottom"/>
          </w:tcPr>
          <w:p>
            <w:pPr>
              <w:jc w:val="right"/>
              <w:ind w:right="514"/>
              <w:spacing w:after="0"/>
              <w:rPr>
                <w:sz w:val="20"/>
                <w:szCs w:val="20"/>
                <w:color w:val="auto"/>
              </w:rPr>
            </w:pPr>
            <w:r>
              <w:rPr>
                <w:rFonts w:ascii="Arial" w:cs="Arial" w:eastAsia="Arial" w:hAnsi="Arial"/>
                <w:sz w:val="18"/>
                <w:szCs w:val="18"/>
                <w:color w:val="auto"/>
                <w:w w:val="79"/>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(8,583)</w:t>
            </w:r>
          </w:p>
        </w:tc>
        <w:tc>
          <w:tcPr>
            <w:tcW w:w="440" w:type="dxa"/>
            <w:vAlign w:val="bottom"/>
          </w:tcPr>
          <w:p>
            <w:pPr>
              <w:jc w:val="right"/>
              <w:ind w:right="93"/>
              <w:spacing w:after="0"/>
              <w:rPr>
                <w:sz w:val="20"/>
                <w:szCs w:val="20"/>
                <w:color w:val="auto"/>
              </w:rPr>
            </w:pPr>
            <w:r>
              <w:rPr>
                <w:rFonts w:ascii="Arial" w:cs="Arial" w:eastAsia="Arial" w:hAnsi="Arial"/>
                <w:sz w:val="18"/>
                <w:szCs w:val="18"/>
                <w:color w:val="auto"/>
              </w:rPr>
              <w:t>$</w:t>
            </w:r>
          </w:p>
        </w:tc>
        <w:tc>
          <w:tcPr>
            <w:tcW w:w="1800" w:type="dxa"/>
            <w:vAlign w:val="bottom"/>
          </w:tcPr>
          <w:p>
            <w:pPr>
              <w:jc w:val="right"/>
              <w:ind w:right="114"/>
              <w:spacing w:after="0"/>
              <w:rPr>
                <w:sz w:val="20"/>
                <w:szCs w:val="20"/>
                <w:color w:val="auto"/>
              </w:rPr>
            </w:pPr>
            <w:r>
              <w:rPr>
                <w:rFonts w:ascii="Arial" w:cs="Arial" w:eastAsia="Arial" w:hAnsi="Arial"/>
                <w:sz w:val="18"/>
                <w:szCs w:val="18"/>
                <w:color w:val="auto"/>
              </w:rPr>
              <w:t>(198)</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640" w:type="dxa"/>
            <w:vAlign w:val="bottom"/>
            <w:gridSpan w:val="2"/>
          </w:tcPr>
          <w:p>
            <w:pPr>
              <w:jc w:val="right"/>
              <w:ind w:right="40"/>
              <w:spacing w:after="0"/>
              <w:rPr>
                <w:sz w:val="20"/>
                <w:szCs w:val="20"/>
                <w:color w:val="auto"/>
              </w:rPr>
            </w:pPr>
            <w:r>
              <w:rPr>
                <w:rFonts w:ascii="Arial" w:cs="Arial" w:eastAsia="Arial" w:hAnsi="Arial"/>
                <w:sz w:val="18"/>
                <w:szCs w:val="18"/>
                <w:color w:val="auto"/>
              </w:rPr>
              <w:t>(8,781)</w:t>
            </w:r>
          </w:p>
        </w:tc>
      </w:tr>
      <w:tr>
        <w:trPr>
          <w:trHeight w:val="446"/>
        </w:trPr>
        <w:tc>
          <w:tcPr>
            <w:tcW w:w="5280" w:type="dxa"/>
            <w:vAlign w:val="bottom"/>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spacing w:after="0"/>
              <w:rPr>
                <w:sz w:val="24"/>
                <w:szCs w:val="24"/>
                <w:color w:val="auto"/>
              </w:rPr>
            </w:pPr>
          </w:p>
        </w:tc>
        <w:tc>
          <w:tcPr>
            <w:tcW w:w="2240" w:type="dxa"/>
            <w:vAlign w:val="bottom"/>
            <w:tcBorders>
              <w:bottom w:val="single" w:sz="8" w:color="auto"/>
            </w:tcBorders>
            <w:gridSpan w:val="2"/>
          </w:tcPr>
          <w:p>
            <w:pPr>
              <w:jc w:val="center"/>
              <w:ind w:right="14"/>
              <w:spacing w:after="0"/>
              <w:rPr>
                <w:sz w:val="20"/>
                <w:szCs w:val="20"/>
                <w:color w:val="auto"/>
              </w:rPr>
            </w:pPr>
            <w:r>
              <w:rPr>
                <w:rFonts w:ascii="Arial" w:cs="Arial" w:eastAsia="Arial" w:hAnsi="Arial"/>
                <w:sz w:val="14"/>
                <w:szCs w:val="14"/>
                <w:b w:val="1"/>
                <w:bCs w:val="1"/>
                <w:color w:val="auto"/>
              </w:rPr>
              <w:t>Quarter Ended June 30, 2019</w:t>
            </w:r>
          </w:p>
        </w:tc>
        <w:tc>
          <w:tcPr>
            <w:tcW w:w="320" w:type="dxa"/>
            <w:vAlign w:val="bottom"/>
            <w:tcBorders>
              <w:bottom w:val="single" w:sz="8" w:color="auto"/>
            </w:tcBorders>
          </w:tcPr>
          <w:p>
            <w:pPr>
              <w:spacing w:after="0"/>
              <w:rPr>
                <w:sz w:val="24"/>
                <w:szCs w:val="24"/>
                <w:color w:val="auto"/>
              </w:rPr>
            </w:pPr>
          </w:p>
        </w:tc>
        <w:tc>
          <w:tcPr>
            <w:tcW w:w="154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210"/>
        </w:trPr>
        <w:tc>
          <w:tcPr>
            <w:tcW w:w="5280" w:type="dxa"/>
            <w:vAlign w:val="bottom"/>
          </w:tcPr>
          <w:p>
            <w:pPr>
              <w:spacing w:after="0"/>
              <w:rPr>
                <w:sz w:val="18"/>
                <w:szCs w:val="18"/>
                <w:color w:val="auto"/>
              </w:rPr>
            </w:pPr>
          </w:p>
        </w:tc>
        <w:tc>
          <w:tcPr>
            <w:tcW w:w="1940" w:type="dxa"/>
            <w:vAlign w:val="bottom"/>
            <w:gridSpan w:val="2"/>
          </w:tcPr>
          <w:p>
            <w:pPr>
              <w:jc w:val="right"/>
              <w:ind w:right="136"/>
              <w:spacing w:after="0"/>
              <w:rPr>
                <w:sz w:val="20"/>
                <w:szCs w:val="20"/>
                <w:color w:val="auto"/>
              </w:rPr>
            </w:pPr>
            <w:r>
              <w:rPr>
                <w:rFonts w:ascii="Arial" w:cs="Arial" w:eastAsia="Arial" w:hAnsi="Arial"/>
                <w:sz w:val="14"/>
                <w:szCs w:val="14"/>
                <w:b w:val="1"/>
                <w:bCs w:val="1"/>
                <w:color w:val="auto"/>
              </w:rPr>
              <w:t>As Previously Reported</w:t>
            </w:r>
          </w:p>
        </w:tc>
        <w:tc>
          <w:tcPr>
            <w:tcW w:w="440" w:type="dxa"/>
            <w:vAlign w:val="bottom"/>
          </w:tcPr>
          <w:p>
            <w:pPr>
              <w:spacing w:after="0"/>
              <w:rPr>
                <w:sz w:val="18"/>
                <w:szCs w:val="18"/>
                <w:color w:val="auto"/>
              </w:rPr>
            </w:pPr>
          </w:p>
        </w:tc>
        <w:tc>
          <w:tcPr>
            <w:tcW w:w="1800" w:type="dxa"/>
            <w:vAlign w:val="bottom"/>
          </w:tcPr>
          <w:p>
            <w:pPr>
              <w:jc w:val="center"/>
              <w:ind w:right="454"/>
              <w:spacing w:after="0"/>
              <w:rPr>
                <w:sz w:val="20"/>
                <w:szCs w:val="20"/>
                <w:color w:val="auto"/>
              </w:rPr>
            </w:pPr>
            <w:r>
              <w:rPr>
                <w:rFonts w:ascii="Arial" w:cs="Arial" w:eastAsia="Arial" w:hAnsi="Arial"/>
                <w:sz w:val="14"/>
                <w:szCs w:val="14"/>
                <w:b w:val="1"/>
                <w:bCs w:val="1"/>
                <w:color w:val="auto"/>
              </w:rPr>
              <w:t>Adjustments</w:t>
            </w:r>
          </w:p>
        </w:tc>
        <w:tc>
          <w:tcPr>
            <w:tcW w:w="320" w:type="dxa"/>
            <w:vAlign w:val="bottom"/>
          </w:tcPr>
          <w:p>
            <w:pPr>
              <w:spacing w:after="0"/>
              <w:rPr>
                <w:sz w:val="18"/>
                <w:szCs w:val="18"/>
                <w:color w:val="auto"/>
              </w:rPr>
            </w:pPr>
          </w:p>
        </w:tc>
        <w:tc>
          <w:tcPr>
            <w:tcW w:w="1640" w:type="dxa"/>
            <w:vAlign w:val="bottom"/>
            <w:gridSpan w:val="2"/>
          </w:tcPr>
          <w:p>
            <w:pPr>
              <w:jc w:val="right"/>
              <w:ind w:right="640"/>
              <w:spacing w:after="0"/>
              <w:rPr>
                <w:sz w:val="20"/>
                <w:szCs w:val="20"/>
                <w:color w:val="auto"/>
              </w:rPr>
            </w:pPr>
            <w:r>
              <w:rPr>
                <w:rFonts w:ascii="Arial" w:cs="Arial" w:eastAsia="Arial" w:hAnsi="Arial"/>
                <w:sz w:val="14"/>
                <w:szCs w:val="14"/>
                <w:b w:val="1"/>
                <w:bCs w:val="1"/>
                <w:color w:val="auto"/>
              </w:rPr>
              <w:t>As Revised</w:t>
            </w:r>
          </w:p>
        </w:tc>
      </w:tr>
      <w:tr>
        <w:trPr>
          <w:trHeight w:val="210"/>
        </w:trPr>
        <w:tc>
          <w:tcPr>
            <w:tcW w:w="5280" w:type="dxa"/>
            <w:vAlign w:val="bottom"/>
          </w:tcPr>
          <w:p>
            <w:pPr>
              <w:spacing w:after="0"/>
              <w:rPr>
                <w:sz w:val="18"/>
                <w:szCs w:val="18"/>
                <w:color w:val="auto"/>
              </w:rPr>
            </w:pPr>
          </w:p>
        </w:tc>
        <w:tc>
          <w:tcPr>
            <w:tcW w:w="700" w:type="dxa"/>
            <w:vAlign w:val="bottom"/>
            <w:tcBorders>
              <w:top w:val="single" w:sz="8" w:color="auto"/>
            </w:tcBorders>
          </w:tcPr>
          <w:p>
            <w:pPr>
              <w:spacing w:after="0"/>
              <w:rPr>
                <w:sz w:val="18"/>
                <w:szCs w:val="18"/>
                <w:color w:val="auto"/>
              </w:rPr>
            </w:pPr>
          </w:p>
        </w:tc>
        <w:tc>
          <w:tcPr>
            <w:tcW w:w="3800" w:type="dxa"/>
            <w:vAlign w:val="bottom"/>
            <w:tcBorders>
              <w:top w:val="single" w:sz="8" w:color="auto"/>
            </w:tcBorders>
            <w:gridSpan w:val="4"/>
          </w:tcPr>
          <w:p>
            <w:pPr>
              <w:jc w:val="right"/>
              <w:ind w:right="130"/>
              <w:spacing w:after="0"/>
              <w:rPr>
                <w:sz w:val="20"/>
                <w:szCs w:val="20"/>
                <w:color w:val="auto"/>
              </w:rPr>
            </w:pPr>
            <w:r>
              <w:rPr>
                <w:rFonts w:ascii="Arial" w:cs="Arial" w:eastAsia="Arial" w:hAnsi="Arial"/>
                <w:sz w:val="14"/>
                <w:szCs w:val="14"/>
                <w:b w:val="1"/>
                <w:bCs w:val="1"/>
                <w:color w:val="auto"/>
              </w:rPr>
              <w:t>(in thousands, except per share data)</w:t>
            </w:r>
          </w:p>
        </w:tc>
        <w:tc>
          <w:tcPr>
            <w:tcW w:w="15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280" w:type="dxa"/>
            <w:vAlign w:val="bottom"/>
            <w:shd w:val="clear" w:color="auto" w:fill="CFF0FC"/>
          </w:tcPr>
          <w:p>
            <w:pPr>
              <w:spacing w:after="0"/>
              <w:rPr>
                <w:sz w:val="20"/>
                <w:szCs w:val="20"/>
                <w:color w:val="auto"/>
              </w:rPr>
            </w:pPr>
            <w:r>
              <w:rPr>
                <w:rFonts w:ascii="Arial" w:cs="Arial" w:eastAsia="Arial" w:hAnsi="Arial"/>
                <w:sz w:val="18"/>
                <w:szCs w:val="18"/>
                <w:color w:val="auto"/>
              </w:rPr>
              <w:t>Net loss</w:t>
            </w:r>
          </w:p>
        </w:tc>
        <w:tc>
          <w:tcPr>
            <w:tcW w:w="700" w:type="dxa"/>
            <w:vAlign w:val="bottom"/>
            <w:shd w:val="clear" w:color="auto" w:fill="CFF0FC"/>
          </w:tcPr>
          <w:p>
            <w:pPr>
              <w:jc w:val="right"/>
              <w:ind w:right="514"/>
              <w:spacing w:after="0"/>
              <w:rPr>
                <w:sz w:val="20"/>
                <w:szCs w:val="20"/>
                <w:color w:val="auto"/>
              </w:rPr>
            </w:pPr>
            <w:r>
              <w:rPr>
                <w:rFonts w:ascii="Arial" w:cs="Arial" w:eastAsia="Arial" w:hAnsi="Arial"/>
                <w:sz w:val="18"/>
                <w:szCs w:val="18"/>
                <w:color w:val="auto"/>
                <w:w w:val="79"/>
              </w:rPr>
              <w:t>$</w:t>
            </w: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(5,390)</w:t>
            </w:r>
          </w:p>
        </w:tc>
        <w:tc>
          <w:tcPr>
            <w:tcW w:w="440" w:type="dxa"/>
            <w:vAlign w:val="bottom"/>
            <w:shd w:val="clear" w:color="auto" w:fill="CFF0FC"/>
          </w:tcPr>
          <w:p>
            <w:pPr>
              <w:jc w:val="right"/>
              <w:ind w:right="93"/>
              <w:spacing w:after="0"/>
              <w:rPr>
                <w:sz w:val="20"/>
                <w:szCs w:val="20"/>
                <w:color w:val="auto"/>
              </w:rPr>
            </w:pPr>
            <w:r>
              <w:rPr>
                <w:rFonts w:ascii="Arial" w:cs="Arial" w:eastAsia="Arial" w:hAnsi="Arial"/>
                <w:sz w:val="18"/>
                <w:szCs w:val="18"/>
                <w:color w:val="auto"/>
              </w:rPr>
              <w:t>$</w:t>
            </w:r>
          </w:p>
        </w:tc>
        <w:tc>
          <w:tcPr>
            <w:tcW w:w="1800" w:type="dxa"/>
            <w:vAlign w:val="bottom"/>
            <w:shd w:val="clear" w:color="auto" w:fill="CFF0FC"/>
          </w:tcPr>
          <w:p>
            <w:pPr>
              <w:jc w:val="right"/>
              <w:ind w:right="114"/>
              <w:spacing w:after="0"/>
              <w:rPr>
                <w:sz w:val="20"/>
                <w:szCs w:val="20"/>
                <w:color w:val="auto"/>
              </w:rPr>
            </w:pPr>
            <w:r>
              <w:rPr>
                <w:rFonts w:ascii="Arial" w:cs="Arial" w:eastAsia="Arial" w:hAnsi="Arial"/>
                <w:sz w:val="18"/>
                <w:szCs w:val="18"/>
                <w:color w:val="auto"/>
              </w:rPr>
              <w:t>(137)</w:t>
            </w:r>
          </w:p>
        </w:tc>
        <w:tc>
          <w:tcPr>
            <w:tcW w:w="320" w:type="dxa"/>
            <w:vAlign w:val="bottom"/>
            <w:shd w:val="clear" w:color="auto" w:fill="CFF0FC"/>
          </w:tcPr>
          <w:p>
            <w:pPr>
              <w:jc w:val="right"/>
              <w:ind w:right="110"/>
              <w:spacing w:after="0"/>
              <w:rPr>
                <w:sz w:val="20"/>
                <w:szCs w:val="20"/>
                <w:color w:val="auto"/>
              </w:rPr>
            </w:pPr>
            <w:r>
              <w:rPr>
                <w:rFonts w:ascii="Arial" w:cs="Arial" w:eastAsia="Arial" w:hAnsi="Arial"/>
                <w:sz w:val="18"/>
                <w:szCs w:val="18"/>
                <w:color w:val="auto"/>
                <w:w w:val="99"/>
              </w:rPr>
              <w:t>$</w:t>
            </w:r>
          </w:p>
        </w:tc>
        <w:tc>
          <w:tcPr>
            <w:tcW w:w="16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(5,527)</w:t>
            </w:r>
          </w:p>
        </w:tc>
      </w:tr>
      <w:tr>
        <w:trPr>
          <w:trHeight w:val="216"/>
        </w:trPr>
        <w:tc>
          <w:tcPr>
            <w:tcW w:w="5280" w:type="dxa"/>
            <w:vAlign w:val="bottom"/>
          </w:tcPr>
          <w:p>
            <w:pPr>
              <w:spacing w:after="0"/>
              <w:rPr>
                <w:sz w:val="20"/>
                <w:szCs w:val="20"/>
                <w:color w:val="auto"/>
              </w:rPr>
            </w:pPr>
            <w:r>
              <w:rPr>
                <w:rFonts w:ascii="Arial" w:cs="Arial" w:eastAsia="Arial" w:hAnsi="Arial"/>
                <w:sz w:val="18"/>
                <w:szCs w:val="18"/>
                <w:color w:val="auto"/>
              </w:rPr>
              <w:t>Net loss attributable to BlackLine, Inc.</w:t>
            </w:r>
          </w:p>
        </w:tc>
        <w:tc>
          <w:tcPr>
            <w:tcW w:w="700" w:type="dxa"/>
            <w:vAlign w:val="bottom"/>
          </w:tcPr>
          <w:p>
            <w:pPr>
              <w:jc w:val="right"/>
              <w:ind w:right="514"/>
              <w:spacing w:after="0"/>
              <w:rPr>
                <w:sz w:val="20"/>
                <w:szCs w:val="20"/>
                <w:color w:val="auto"/>
              </w:rPr>
            </w:pPr>
            <w:r>
              <w:rPr>
                <w:rFonts w:ascii="Arial" w:cs="Arial" w:eastAsia="Arial" w:hAnsi="Arial"/>
                <w:sz w:val="18"/>
                <w:szCs w:val="18"/>
                <w:color w:val="auto"/>
                <w:w w:val="79"/>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(5,225)</w:t>
            </w:r>
          </w:p>
        </w:tc>
        <w:tc>
          <w:tcPr>
            <w:tcW w:w="440" w:type="dxa"/>
            <w:vAlign w:val="bottom"/>
          </w:tcPr>
          <w:p>
            <w:pPr>
              <w:jc w:val="right"/>
              <w:ind w:right="93"/>
              <w:spacing w:after="0"/>
              <w:rPr>
                <w:sz w:val="20"/>
                <w:szCs w:val="20"/>
                <w:color w:val="auto"/>
              </w:rPr>
            </w:pPr>
            <w:r>
              <w:rPr>
                <w:rFonts w:ascii="Arial" w:cs="Arial" w:eastAsia="Arial" w:hAnsi="Arial"/>
                <w:sz w:val="18"/>
                <w:szCs w:val="18"/>
                <w:color w:val="auto"/>
              </w:rPr>
              <w:t>$</w:t>
            </w:r>
          </w:p>
        </w:tc>
        <w:tc>
          <w:tcPr>
            <w:tcW w:w="1800" w:type="dxa"/>
            <w:vAlign w:val="bottom"/>
          </w:tcPr>
          <w:p>
            <w:pPr>
              <w:jc w:val="right"/>
              <w:ind w:right="114"/>
              <w:spacing w:after="0"/>
              <w:rPr>
                <w:sz w:val="20"/>
                <w:szCs w:val="20"/>
                <w:color w:val="auto"/>
              </w:rPr>
            </w:pPr>
            <w:r>
              <w:rPr>
                <w:rFonts w:ascii="Arial" w:cs="Arial" w:eastAsia="Arial" w:hAnsi="Arial"/>
                <w:sz w:val="18"/>
                <w:szCs w:val="18"/>
                <w:color w:val="auto"/>
              </w:rPr>
              <w:t>(137)</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640" w:type="dxa"/>
            <w:vAlign w:val="bottom"/>
            <w:gridSpan w:val="2"/>
          </w:tcPr>
          <w:p>
            <w:pPr>
              <w:jc w:val="right"/>
              <w:ind w:right="40"/>
              <w:spacing w:after="0"/>
              <w:rPr>
                <w:sz w:val="20"/>
                <w:szCs w:val="20"/>
                <w:color w:val="auto"/>
              </w:rPr>
            </w:pPr>
            <w:r>
              <w:rPr>
                <w:rFonts w:ascii="Arial" w:cs="Arial" w:eastAsia="Arial" w:hAnsi="Arial"/>
                <w:sz w:val="18"/>
                <w:szCs w:val="18"/>
                <w:color w:val="auto"/>
              </w:rPr>
              <w:t>(5,362)</w:t>
            </w:r>
          </w:p>
        </w:tc>
      </w:tr>
      <w:tr>
        <w:trPr>
          <w:trHeight w:val="216"/>
        </w:trPr>
        <w:tc>
          <w:tcPr>
            <w:tcW w:w="5280" w:type="dxa"/>
            <w:vAlign w:val="bottom"/>
            <w:shd w:val="clear" w:color="auto" w:fill="CFF0FC"/>
          </w:tcPr>
          <w:p>
            <w:pPr>
              <w:spacing w:after="0"/>
              <w:rPr>
                <w:sz w:val="20"/>
                <w:szCs w:val="20"/>
                <w:color w:val="auto"/>
              </w:rPr>
            </w:pPr>
            <w:r>
              <w:rPr>
                <w:rFonts w:ascii="Arial" w:cs="Arial" w:eastAsia="Arial" w:hAnsi="Arial"/>
                <w:sz w:val="18"/>
                <w:szCs w:val="18"/>
                <w:color w:val="auto"/>
              </w:rPr>
              <w:t>Basic net loss per share attributable to BlackLine, Inc.</w:t>
            </w:r>
          </w:p>
        </w:tc>
        <w:tc>
          <w:tcPr>
            <w:tcW w:w="700" w:type="dxa"/>
            <w:vAlign w:val="bottom"/>
            <w:shd w:val="clear" w:color="auto" w:fill="CFF0FC"/>
          </w:tcPr>
          <w:p>
            <w:pPr>
              <w:jc w:val="right"/>
              <w:ind w:right="514"/>
              <w:spacing w:after="0"/>
              <w:rPr>
                <w:sz w:val="20"/>
                <w:szCs w:val="20"/>
                <w:color w:val="auto"/>
              </w:rPr>
            </w:pPr>
            <w:r>
              <w:rPr>
                <w:rFonts w:ascii="Arial" w:cs="Arial" w:eastAsia="Arial" w:hAnsi="Arial"/>
                <w:sz w:val="18"/>
                <w:szCs w:val="18"/>
                <w:color w:val="auto"/>
                <w:w w:val="79"/>
              </w:rPr>
              <w:t>$</w:t>
            </w: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(0.09)</w:t>
            </w:r>
          </w:p>
        </w:tc>
        <w:tc>
          <w:tcPr>
            <w:tcW w:w="440" w:type="dxa"/>
            <w:vAlign w:val="bottom"/>
            <w:shd w:val="clear" w:color="auto" w:fill="CFF0FC"/>
          </w:tcPr>
          <w:p>
            <w:pPr>
              <w:jc w:val="right"/>
              <w:ind w:right="93"/>
              <w:spacing w:after="0"/>
              <w:rPr>
                <w:sz w:val="20"/>
                <w:szCs w:val="20"/>
                <w:color w:val="auto"/>
              </w:rPr>
            </w:pPr>
            <w:r>
              <w:rPr>
                <w:rFonts w:ascii="Arial" w:cs="Arial" w:eastAsia="Arial" w:hAnsi="Arial"/>
                <w:sz w:val="18"/>
                <w:szCs w:val="18"/>
                <w:color w:val="auto"/>
              </w:rPr>
              <w:t>$</w:t>
            </w:r>
          </w:p>
        </w:tc>
        <w:tc>
          <w:tcPr>
            <w:tcW w:w="1800" w:type="dxa"/>
            <w:vAlign w:val="bottom"/>
            <w:shd w:val="clear" w:color="auto" w:fill="CFF0FC"/>
          </w:tcPr>
          <w:p>
            <w:pPr>
              <w:jc w:val="right"/>
              <w:ind w:right="114"/>
              <w:spacing w:after="0"/>
              <w:rPr>
                <w:sz w:val="20"/>
                <w:szCs w:val="20"/>
                <w:color w:val="auto"/>
              </w:rPr>
            </w:pPr>
            <w:r>
              <w:rPr>
                <w:rFonts w:ascii="Arial" w:cs="Arial" w:eastAsia="Arial" w:hAnsi="Arial"/>
                <w:sz w:val="18"/>
                <w:szCs w:val="18"/>
                <w:color w:val="auto"/>
              </w:rPr>
              <w:t>(0.01)</w:t>
            </w:r>
          </w:p>
        </w:tc>
        <w:tc>
          <w:tcPr>
            <w:tcW w:w="320" w:type="dxa"/>
            <w:vAlign w:val="bottom"/>
            <w:shd w:val="clear" w:color="auto" w:fill="CFF0FC"/>
          </w:tcPr>
          <w:p>
            <w:pPr>
              <w:jc w:val="right"/>
              <w:ind w:right="110"/>
              <w:spacing w:after="0"/>
              <w:rPr>
                <w:sz w:val="20"/>
                <w:szCs w:val="20"/>
                <w:color w:val="auto"/>
              </w:rPr>
            </w:pPr>
            <w:r>
              <w:rPr>
                <w:rFonts w:ascii="Arial" w:cs="Arial" w:eastAsia="Arial" w:hAnsi="Arial"/>
                <w:sz w:val="18"/>
                <w:szCs w:val="18"/>
                <w:color w:val="auto"/>
                <w:w w:val="99"/>
              </w:rPr>
              <w:t>$</w:t>
            </w:r>
          </w:p>
        </w:tc>
        <w:tc>
          <w:tcPr>
            <w:tcW w:w="16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(0.10)</w:t>
            </w:r>
          </w:p>
        </w:tc>
      </w:tr>
      <w:tr>
        <w:trPr>
          <w:trHeight w:val="230"/>
        </w:trPr>
        <w:tc>
          <w:tcPr>
            <w:tcW w:w="5280" w:type="dxa"/>
            <w:vAlign w:val="bottom"/>
          </w:tcPr>
          <w:p>
            <w:pPr>
              <w:spacing w:after="0"/>
              <w:rPr>
                <w:sz w:val="20"/>
                <w:szCs w:val="20"/>
                <w:color w:val="auto"/>
              </w:rPr>
            </w:pPr>
            <w:r>
              <w:rPr>
                <w:rFonts w:ascii="Arial" w:cs="Arial" w:eastAsia="Arial" w:hAnsi="Arial"/>
                <w:sz w:val="18"/>
                <w:szCs w:val="18"/>
                <w:color w:val="auto"/>
              </w:rPr>
              <w:t>Diluted net loss per share attributable to BlackLine, Inc.</w:t>
            </w:r>
          </w:p>
        </w:tc>
        <w:tc>
          <w:tcPr>
            <w:tcW w:w="700" w:type="dxa"/>
            <w:vAlign w:val="bottom"/>
          </w:tcPr>
          <w:p>
            <w:pPr>
              <w:jc w:val="right"/>
              <w:ind w:right="514"/>
              <w:spacing w:after="0"/>
              <w:rPr>
                <w:sz w:val="20"/>
                <w:szCs w:val="20"/>
                <w:color w:val="auto"/>
              </w:rPr>
            </w:pPr>
            <w:r>
              <w:rPr>
                <w:rFonts w:ascii="Arial" w:cs="Arial" w:eastAsia="Arial" w:hAnsi="Arial"/>
                <w:sz w:val="18"/>
                <w:szCs w:val="18"/>
                <w:color w:val="auto"/>
                <w:w w:val="79"/>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(0.09)</w:t>
            </w:r>
          </w:p>
        </w:tc>
        <w:tc>
          <w:tcPr>
            <w:tcW w:w="440" w:type="dxa"/>
            <w:vAlign w:val="bottom"/>
          </w:tcPr>
          <w:p>
            <w:pPr>
              <w:jc w:val="right"/>
              <w:ind w:right="93"/>
              <w:spacing w:after="0"/>
              <w:rPr>
                <w:sz w:val="20"/>
                <w:szCs w:val="20"/>
                <w:color w:val="auto"/>
              </w:rPr>
            </w:pPr>
            <w:r>
              <w:rPr>
                <w:rFonts w:ascii="Arial" w:cs="Arial" w:eastAsia="Arial" w:hAnsi="Arial"/>
                <w:sz w:val="18"/>
                <w:szCs w:val="18"/>
                <w:color w:val="auto"/>
              </w:rPr>
              <w:t>$</w:t>
            </w:r>
          </w:p>
        </w:tc>
        <w:tc>
          <w:tcPr>
            <w:tcW w:w="1800" w:type="dxa"/>
            <w:vAlign w:val="bottom"/>
          </w:tcPr>
          <w:p>
            <w:pPr>
              <w:jc w:val="right"/>
              <w:ind w:right="114"/>
              <w:spacing w:after="0"/>
              <w:rPr>
                <w:sz w:val="20"/>
                <w:szCs w:val="20"/>
                <w:color w:val="auto"/>
              </w:rPr>
            </w:pPr>
            <w:r>
              <w:rPr>
                <w:rFonts w:ascii="Arial" w:cs="Arial" w:eastAsia="Arial" w:hAnsi="Arial"/>
                <w:sz w:val="18"/>
                <w:szCs w:val="18"/>
                <w:color w:val="auto"/>
              </w:rPr>
              <w:t>(0.01)</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640" w:type="dxa"/>
            <w:vAlign w:val="bottom"/>
            <w:gridSpan w:val="2"/>
          </w:tcPr>
          <w:p>
            <w:pPr>
              <w:jc w:val="right"/>
              <w:ind w:right="40"/>
              <w:spacing w:after="0"/>
              <w:rPr>
                <w:sz w:val="20"/>
                <w:szCs w:val="20"/>
                <w:color w:val="auto"/>
              </w:rPr>
            </w:pPr>
            <w:r>
              <w:rPr>
                <w:rFonts w:ascii="Arial" w:cs="Arial" w:eastAsia="Arial" w:hAnsi="Arial"/>
                <w:sz w:val="18"/>
                <w:szCs w:val="18"/>
                <w:color w:val="auto"/>
              </w:rPr>
              <w:t>(0.10)</w:t>
            </w:r>
          </w:p>
        </w:tc>
      </w:tr>
      <w:tr>
        <w:trPr>
          <w:trHeight w:val="446"/>
        </w:trPr>
        <w:tc>
          <w:tcPr>
            <w:tcW w:w="5280" w:type="dxa"/>
            <w:vAlign w:val="bottom"/>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3800" w:type="dxa"/>
            <w:vAlign w:val="bottom"/>
            <w:tcBorders>
              <w:bottom w:val="single" w:sz="8" w:color="auto"/>
            </w:tcBorders>
            <w:gridSpan w:val="4"/>
          </w:tcPr>
          <w:p>
            <w:pPr>
              <w:jc w:val="center"/>
              <w:ind w:left="736"/>
              <w:spacing w:after="0"/>
              <w:rPr>
                <w:sz w:val="20"/>
                <w:szCs w:val="20"/>
                <w:color w:val="auto"/>
              </w:rPr>
            </w:pPr>
            <w:r>
              <w:rPr>
                <w:rFonts w:ascii="Arial" w:cs="Arial" w:eastAsia="Arial" w:hAnsi="Arial"/>
                <w:sz w:val="14"/>
                <w:szCs w:val="14"/>
                <w:b w:val="1"/>
                <w:bCs w:val="1"/>
                <w:color w:val="auto"/>
              </w:rPr>
              <w:t>Quarter Ended September 30, 2019</w:t>
            </w:r>
          </w:p>
        </w:tc>
        <w:tc>
          <w:tcPr>
            <w:tcW w:w="154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210"/>
        </w:trPr>
        <w:tc>
          <w:tcPr>
            <w:tcW w:w="5280" w:type="dxa"/>
            <w:vAlign w:val="bottom"/>
          </w:tcPr>
          <w:p>
            <w:pPr>
              <w:spacing w:after="0"/>
              <w:rPr>
                <w:sz w:val="18"/>
                <w:szCs w:val="18"/>
                <w:color w:val="auto"/>
              </w:rPr>
            </w:pPr>
          </w:p>
        </w:tc>
        <w:tc>
          <w:tcPr>
            <w:tcW w:w="1940" w:type="dxa"/>
            <w:vAlign w:val="bottom"/>
            <w:gridSpan w:val="2"/>
          </w:tcPr>
          <w:p>
            <w:pPr>
              <w:jc w:val="right"/>
              <w:ind w:right="136"/>
              <w:spacing w:after="0"/>
              <w:rPr>
                <w:sz w:val="20"/>
                <w:szCs w:val="20"/>
                <w:color w:val="auto"/>
              </w:rPr>
            </w:pPr>
            <w:r>
              <w:rPr>
                <w:rFonts w:ascii="Arial" w:cs="Arial" w:eastAsia="Arial" w:hAnsi="Arial"/>
                <w:sz w:val="14"/>
                <w:szCs w:val="14"/>
                <w:b w:val="1"/>
                <w:bCs w:val="1"/>
                <w:color w:val="auto"/>
              </w:rPr>
              <w:t>As Previously Reported</w:t>
            </w:r>
          </w:p>
        </w:tc>
        <w:tc>
          <w:tcPr>
            <w:tcW w:w="440" w:type="dxa"/>
            <w:vAlign w:val="bottom"/>
          </w:tcPr>
          <w:p>
            <w:pPr>
              <w:spacing w:after="0"/>
              <w:rPr>
                <w:sz w:val="18"/>
                <w:szCs w:val="18"/>
                <w:color w:val="auto"/>
              </w:rPr>
            </w:pPr>
          </w:p>
        </w:tc>
        <w:tc>
          <w:tcPr>
            <w:tcW w:w="1800" w:type="dxa"/>
            <w:vAlign w:val="bottom"/>
          </w:tcPr>
          <w:p>
            <w:pPr>
              <w:jc w:val="center"/>
              <w:ind w:right="454"/>
              <w:spacing w:after="0"/>
              <w:rPr>
                <w:sz w:val="20"/>
                <w:szCs w:val="20"/>
                <w:color w:val="auto"/>
              </w:rPr>
            </w:pPr>
            <w:r>
              <w:rPr>
                <w:rFonts w:ascii="Arial" w:cs="Arial" w:eastAsia="Arial" w:hAnsi="Arial"/>
                <w:sz w:val="14"/>
                <w:szCs w:val="14"/>
                <w:b w:val="1"/>
                <w:bCs w:val="1"/>
                <w:color w:val="auto"/>
              </w:rPr>
              <w:t>Adjustments</w:t>
            </w:r>
          </w:p>
        </w:tc>
        <w:tc>
          <w:tcPr>
            <w:tcW w:w="320" w:type="dxa"/>
            <w:vAlign w:val="bottom"/>
          </w:tcPr>
          <w:p>
            <w:pPr>
              <w:spacing w:after="0"/>
              <w:rPr>
                <w:sz w:val="18"/>
                <w:szCs w:val="18"/>
                <w:color w:val="auto"/>
              </w:rPr>
            </w:pPr>
          </w:p>
        </w:tc>
        <w:tc>
          <w:tcPr>
            <w:tcW w:w="1640" w:type="dxa"/>
            <w:vAlign w:val="bottom"/>
            <w:gridSpan w:val="2"/>
          </w:tcPr>
          <w:p>
            <w:pPr>
              <w:jc w:val="right"/>
              <w:ind w:right="640"/>
              <w:spacing w:after="0"/>
              <w:rPr>
                <w:sz w:val="20"/>
                <w:szCs w:val="20"/>
                <w:color w:val="auto"/>
              </w:rPr>
            </w:pPr>
            <w:r>
              <w:rPr>
                <w:rFonts w:ascii="Arial" w:cs="Arial" w:eastAsia="Arial" w:hAnsi="Arial"/>
                <w:sz w:val="14"/>
                <w:szCs w:val="14"/>
                <w:b w:val="1"/>
                <w:bCs w:val="1"/>
                <w:color w:val="auto"/>
              </w:rPr>
              <w:t>As Revised</w:t>
            </w:r>
          </w:p>
        </w:tc>
      </w:tr>
      <w:tr>
        <w:trPr>
          <w:trHeight w:val="210"/>
        </w:trPr>
        <w:tc>
          <w:tcPr>
            <w:tcW w:w="5280" w:type="dxa"/>
            <w:vAlign w:val="bottom"/>
          </w:tcPr>
          <w:p>
            <w:pPr>
              <w:spacing w:after="0"/>
              <w:rPr>
                <w:sz w:val="18"/>
                <w:szCs w:val="18"/>
                <w:color w:val="auto"/>
              </w:rPr>
            </w:pPr>
          </w:p>
        </w:tc>
        <w:tc>
          <w:tcPr>
            <w:tcW w:w="700" w:type="dxa"/>
            <w:vAlign w:val="bottom"/>
            <w:tcBorders>
              <w:top w:val="single" w:sz="8" w:color="auto"/>
            </w:tcBorders>
          </w:tcPr>
          <w:p>
            <w:pPr>
              <w:spacing w:after="0"/>
              <w:rPr>
                <w:sz w:val="18"/>
                <w:szCs w:val="18"/>
                <w:color w:val="auto"/>
              </w:rPr>
            </w:pPr>
          </w:p>
        </w:tc>
        <w:tc>
          <w:tcPr>
            <w:tcW w:w="3800" w:type="dxa"/>
            <w:vAlign w:val="bottom"/>
            <w:tcBorders>
              <w:top w:val="single" w:sz="8" w:color="auto"/>
            </w:tcBorders>
            <w:gridSpan w:val="4"/>
          </w:tcPr>
          <w:p>
            <w:pPr>
              <w:jc w:val="right"/>
              <w:ind w:right="130"/>
              <w:spacing w:after="0"/>
              <w:rPr>
                <w:sz w:val="20"/>
                <w:szCs w:val="20"/>
                <w:color w:val="auto"/>
              </w:rPr>
            </w:pPr>
            <w:r>
              <w:rPr>
                <w:rFonts w:ascii="Arial" w:cs="Arial" w:eastAsia="Arial" w:hAnsi="Arial"/>
                <w:sz w:val="14"/>
                <w:szCs w:val="14"/>
                <w:b w:val="1"/>
                <w:bCs w:val="1"/>
                <w:color w:val="auto"/>
              </w:rPr>
              <w:t>(in thousands, except per share data)</w:t>
            </w:r>
          </w:p>
        </w:tc>
        <w:tc>
          <w:tcPr>
            <w:tcW w:w="15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280" w:type="dxa"/>
            <w:vAlign w:val="bottom"/>
            <w:shd w:val="clear" w:color="auto" w:fill="CFF0FC"/>
          </w:tcPr>
          <w:p>
            <w:pPr>
              <w:spacing w:after="0"/>
              <w:rPr>
                <w:sz w:val="20"/>
                <w:szCs w:val="20"/>
                <w:color w:val="auto"/>
              </w:rPr>
            </w:pPr>
            <w:r>
              <w:rPr>
                <w:rFonts w:ascii="Arial" w:cs="Arial" w:eastAsia="Arial" w:hAnsi="Arial"/>
                <w:sz w:val="18"/>
                <w:szCs w:val="18"/>
                <w:color w:val="auto"/>
              </w:rPr>
              <w:t>Net loss</w:t>
            </w:r>
          </w:p>
        </w:tc>
        <w:tc>
          <w:tcPr>
            <w:tcW w:w="700" w:type="dxa"/>
            <w:vAlign w:val="bottom"/>
            <w:shd w:val="clear" w:color="auto" w:fill="CFF0FC"/>
          </w:tcPr>
          <w:p>
            <w:pPr>
              <w:jc w:val="right"/>
              <w:ind w:right="514"/>
              <w:spacing w:after="0"/>
              <w:rPr>
                <w:sz w:val="20"/>
                <w:szCs w:val="20"/>
                <w:color w:val="auto"/>
              </w:rPr>
            </w:pPr>
            <w:r>
              <w:rPr>
                <w:rFonts w:ascii="Arial" w:cs="Arial" w:eastAsia="Arial" w:hAnsi="Arial"/>
                <w:sz w:val="18"/>
                <w:szCs w:val="18"/>
                <w:color w:val="auto"/>
                <w:w w:val="79"/>
              </w:rPr>
              <w:t>$</w:t>
            </w: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(8,912)</w:t>
            </w:r>
          </w:p>
        </w:tc>
        <w:tc>
          <w:tcPr>
            <w:tcW w:w="440" w:type="dxa"/>
            <w:vAlign w:val="bottom"/>
            <w:shd w:val="clear" w:color="auto" w:fill="CFF0FC"/>
          </w:tcPr>
          <w:p>
            <w:pPr>
              <w:jc w:val="right"/>
              <w:ind w:right="93"/>
              <w:spacing w:after="0"/>
              <w:rPr>
                <w:sz w:val="20"/>
                <w:szCs w:val="20"/>
                <w:color w:val="auto"/>
              </w:rPr>
            </w:pPr>
            <w:r>
              <w:rPr>
                <w:rFonts w:ascii="Arial" w:cs="Arial" w:eastAsia="Arial" w:hAnsi="Arial"/>
                <w:sz w:val="18"/>
                <w:szCs w:val="18"/>
                <w:color w:val="auto"/>
              </w:rPr>
              <w:t>$</w:t>
            </w:r>
          </w:p>
        </w:tc>
        <w:tc>
          <w:tcPr>
            <w:tcW w:w="1800" w:type="dxa"/>
            <w:vAlign w:val="bottom"/>
            <w:shd w:val="clear" w:color="auto" w:fill="CFF0FC"/>
          </w:tcPr>
          <w:p>
            <w:pPr>
              <w:jc w:val="right"/>
              <w:ind w:right="174"/>
              <w:spacing w:after="0"/>
              <w:rPr>
                <w:sz w:val="20"/>
                <w:szCs w:val="20"/>
                <w:color w:val="auto"/>
              </w:rPr>
            </w:pPr>
            <w:r>
              <w:rPr>
                <w:rFonts w:ascii="Arial" w:cs="Arial" w:eastAsia="Arial" w:hAnsi="Arial"/>
                <w:sz w:val="18"/>
                <w:szCs w:val="18"/>
                <w:color w:val="auto"/>
              </w:rPr>
              <w:t>36</w:t>
            </w:r>
          </w:p>
        </w:tc>
        <w:tc>
          <w:tcPr>
            <w:tcW w:w="320" w:type="dxa"/>
            <w:vAlign w:val="bottom"/>
            <w:shd w:val="clear" w:color="auto" w:fill="CFF0FC"/>
          </w:tcPr>
          <w:p>
            <w:pPr>
              <w:jc w:val="right"/>
              <w:ind w:right="110"/>
              <w:spacing w:after="0"/>
              <w:rPr>
                <w:sz w:val="20"/>
                <w:szCs w:val="20"/>
                <w:color w:val="auto"/>
              </w:rPr>
            </w:pPr>
            <w:r>
              <w:rPr>
                <w:rFonts w:ascii="Arial" w:cs="Arial" w:eastAsia="Arial" w:hAnsi="Arial"/>
                <w:sz w:val="18"/>
                <w:szCs w:val="18"/>
                <w:color w:val="auto"/>
                <w:w w:val="99"/>
              </w:rPr>
              <w:t>$</w:t>
            </w:r>
          </w:p>
        </w:tc>
        <w:tc>
          <w:tcPr>
            <w:tcW w:w="16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(8,876)</w:t>
            </w:r>
          </w:p>
        </w:tc>
      </w:tr>
      <w:tr>
        <w:trPr>
          <w:trHeight w:val="230"/>
        </w:trPr>
        <w:tc>
          <w:tcPr>
            <w:tcW w:w="5280" w:type="dxa"/>
            <w:vAlign w:val="bottom"/>
          </w:tcPr>
          <w:p>
            <w:pPr>
              <w:spacing w:after="0"/>
              <w:rPr>
                <w:sz w:val="20"/>
                <w:szCs w:val="20"/>
                <w:color w:val="auto"/>
              </w:rPr>
            </w:pPr>
            <w:r>
              <w:rPr>
                <w:rFonts w:ascii="Arial" w:cs="Arial" w:eastAsia="Arial" w:hAnsi="Arial"/>
                <w:sz w:val="18"/>
                <w:szCs w:val="18"/>
                <w:color w:val="auto"/>
              </w:rPr>
              <w:t>Net loss attributable to BlackLine, Inc.</w:t>
            </w:r>
          </w:p>
        </w:tc>
        <w:tc>
          <w:tcPr>
            <w:tcW w:w="700" w:type="dxa"/>
            <w:vAlign w:val="bottom"/>
          </w:tcPr>
          <w:p>
            <w:pPr>
              <w:jc w:val="right"/>
              <w:ind w:right="514"/>
              <w:spacing w:after="0"/>
              <w:rPr>
                <w:sz w:val="20"/>
                <w:szCs w:val="20"/>
                <w:color w:val="auto"/>
              </w:rPr>
            </w:pPr>
            <w:r>
              <w:rPr>
                <w:rFonts w:ascii="Arial" w:cs="Arial" w:eastAsia="Arial" w:hAnsi="Arial"/>
                <w:sz w:val="18"/>
                <w:szCs w:val="18"/>
                <w:color w:val="auto"/>
                <w:w w:val="79"/>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(9,242)</w:t>
            </w:r>
          </w:p>
        </w:tc>
        <w:tc>
          <w:tcPr>
            <w:tcW w:w="440" w:type="dxa"/>
            <w:vAlign w:val="bottom"/>
          </w:tcPr>
          <w:p>
            <w:pPr>
              <w:jc w:val="right"/>
              <w:ind w:right="93"/>
              <w:spacing w:after="0"/>
              <w:rPr>
                <w:sz w:val="20"/>
                <w:szCs w:val="20"/>
                <w:color w:val="auto"/>
              </w:rPr>
            </w:pPr>
            <w:r>
              <w:rPr>
                <w:rFonts w:ascii="Arial" w:cs="Arial" w:eastAsia="Arial" w:hAnsi="Arial"/>
                <w:sz w:val="18"/>
                <w:szCs w:val="18"/>
                <w:color w:val="auto"/>
              </w:rPr>
              <w:t>$</w:t>
            </w:r>
          </w:p>
        </w:tc>
        <w:tc>
          <w:tcPr>
            <w:tcW w:w="1800" w:type="dxa"/>
            <w:vAlign w:val="bottom"/>
          </w:tcPr>
          <w:p>
            <w:pPr>
              <w:jc w:val="right"/>
              <w:ind w:right="174"/>
              <w:spacing w:after="0"/>
              <w:rPr>
                <w:sz w:val="20"/>
                <w:szCs w:val="20"/>
                <w:color w:val="auto"/>
              </w:rPr>
            </w:pPr>
            <w:r>
              <w:rPr>
                <w:rFonts w:ascii="Arial" w:cs="Arial" w:eastAsia="Arial" w:hAnsi="Arial"/>
                <w:sz w:val="18"/>
                <w:szCs w:val="18"/>
                <w:color w:val="auto"/>
              </w:rPr>
              <w:t>36</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640" w:type="dxa"/>
            <w:vAlign w:val="bottom"/>
            <w:gridSpan w:val="2"/>
          </w:tcPr>
          <w:p>
            <w:pPr>
              <w:jc w:val="right"/>
              <w:ind w:right="40"/>
              <w:spacing w:after="0"/>
              <w:rPr>
                <w:sz w:val="20"/>
                <w:szCs w:val="20"/>
                <w:color w:val="auto"/>
              </w:rPr>
            </w:pPr>
            <w:r>
              <w:rPr>
                <w:rFonts w:ascii="Arial" w:cs="Arial" w:eastAsia="Arial" w:hAnsi="Arial"/>
                <w:sz w:val="18"/>
                <w:szCs w:val="18"/>
                <w:color w:val="auto"/>
              </w:rPr>
              <w:t>(9,206)</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272020" cy="425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639" w:right="239" w:bottom="1440" w:gutter="0" w:footer="0" w:header="0"/>
        </w:sectPr>
      </w:pPr>
    </w:p>
    <w:bookmarkStart w:id="91" w:name="page92"/>
    <w:bookmarkEnd w:id="91"/>
    <w:p>
      <w:pPr>
        <w:spacing w:after="0"/>
        <w:tabs>
          <w:tab w:leader="none" w:pos="1020" w:val="left"/>
        </w:tabs>
        <w:rPr>
          <w:sz w:val="20"/>
          <w:szCs w:val="20"/>
          <w:color w:val="auto"/>
        </w:rPr>
      </w:pPr>
      <w:r>
        <w:rPr>
          <w:rFonts w:ascii="Arial" w:cs="Arial" w:eastAsia="Arial" w:hAnsi="Arial"/>
          <w:sz w:val="18"/>
          <w:szCs w:val="18"/>
          <w:b w:val="1"/>
          <w:bCs w:val="1"/>
          <w:color w:val="auto"/>
        </w:rPr>
        <w:t>Item 9.</w:t>
      </w:r>
      <w:r>
        <w:rPr>
          <w:sz w:val="20"/>
          <w:szCs w:val="20"/>
          <w:color w:val="auto"/>
        </w:rPr>
        <w:tab/>
      </w:r>
      <w:r>
        <w:rPr>
          <w:rFonts w:ascii="Arial" w:cs="Arial" w:eastAsia="Arial" w:hAnsi="Arial"/>
          <w:sz w:val="17"/>
          <w:szCs w:val="17"/>
          <w:b w:val="1"/>
          <w:bCs w:val="1"/>
          <w:i w:val="1"/>
          <w:iCs w:val="1"/>
          <w:color w:val="auto"/>
        </w:rPr>
        <w:t>Changes in and Disagreements with Accountants on Accounting and Financial Disclosure</w:t>
      </w:r>
    </w:p>
    <w:p>
      <w:pPr>
        <w:spacing w:after="0" w:line="126" w:lineRule="exact"/>
        <w:rPr>
          <w:sz w:val="20"/>
          <w:szCs w:val="20"/>
          <w:color w:val="auto"/>
        </w:rPr>
      </w:pPr>
    </w:p>
    <w:p>
      <w:pPr>
        <w:ind w:left="520"/>
        <w:spacing w:after="0"/>
        <w:rPr>
          <w:sz w:val="20"/>
          <w:szCs w:val="20"/>
          <w:color w:val="auto"/>
        </w:rPr>
      </w:pPr>
      <w:r>
        <w:rPr>
          <w:rFonts w:ascii="Arial" w:cs="Arial" w:eastAsia="Arial" w:hAnsi="Arial"/>
          <w:sz w:val="18"/>
          <w:szCs w:val="18"/>
          <w:color w:val="auto"/>
        </w:rPr>
        <w:t>None.</w:t>
      </w:r>
    </w:p>
    <w:p>
      <w:pPr>
        <w:spacing w:after="0" w:line="365"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9A.</w:t>
      </w:r>
      <w:r>
        <w:rPr>
          <w:sz w:val="20"/>
          <w:szCs w:val="20"/>
          <w:color w:val="auto"/>
        </w:rPr>
        <w:tab/>
      </w:r>
      <w:r>
        <w:rPr>
          <w:rFonts w:ascii="Arial" w:cs="Arial" w:eastAsia="Arial" w:hAnsi="Arial"/>
          <w:sz w:val="17"/>
          <w:szCs w:val="17"/>
          <w:b w:val="1"/>
          <w:bCs w:val="1"/>
          <w:i w:val="1"/>
          <w:iCs w:val="1"/>
          <w:color w:val="auto"/>
        </w:rPr>
        <w:t>Controls and Procedures</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Evaluation of Disclosure Controls and Procedures</w:t>
      </w:r>
    </w:p>
    <w:p>
      <w:pPr>
        <w:spacing w:after="0" w:line="126" w:lineRule="exact"/>
        <w:rPr>
          <w:sz w:val="20"/>
          <w:szCs w:val="20"/>
          <w:color w:val="auto"/>
        </w:rPr>
      </w:pPr>
    </w:p>
    <w:p>
      <w:pPr>
        <w:ind w:right="60" w:firstLine="518"/>
        <w:spacing w:after="0" w:line="236" w:lineRule="auto"/>
        <w:rPr>
          <w:sz w:val="20"/>
          <w:szCs w:val="20"/>
          <w:color w:val="auto"/>
        </w:rPr>
      </w:pPr>
      <w:r>
        <w:rPr>
          <w:rFonts w:ascii="Arial" w:cs="Arial" w:eastAsia="Arial" w:hAnsi="Arial"/>
          <w:sz w:val="18"/>
          <w:szCs w:val="18"/>
          <w:color w:val="auto"/>
        </w:rPr>
        <w:t>Disclosure controls and procedures, as defined in Rules 13a-15(e) and 15d-15(e) under the Securities Exchange Act, as amended, or “the Exchange Act” means controls and other procedures of a company that are designed to provide reasonable assurance that information required to be disclosed by a company in the reports that it files or submits under the Exchange Act is recorded, processed, summarized, and reported, within the time periods specified in the SEC’s rules and forms; and that such information is accumulated and communicated to the company’s management, including its principal executive officer and principal financial officer, as appropriate, to allow timely decisions regarding required disclosure. Our management, with the participation of our principal executive officer and principal financial officer, evaluated the effectiveness of our disclosure controls and procedures at December 31, 2019, the last day of the period covered by this Annual Report. Based on this evaluation, our principal executive officer and principal financial officer have concluded that, at December 31, 2019, our disclosure controls and procedures were effective at the reasonable assurance level.</w:t>
      </w:r>
    </w:p>
    <w:p>
      <w:pPr>
        <w:spacing w:after="0" w:line="2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Limitations on the Effectiveness of Controls and Procedures</w:t>
      </w:r>
    </w:p>
    <w:p>
      <w:pPr>
        <w:spacing w:after="0" w:line="126" w:lineRule="exact"/>
        <w:rPr>
          <w:sz w:val="20"/>
          <w:szCs w:val="20"/>
          <w:color w:val="auto"/>
        </w:rPr>
      </w:pPr>
    </w:p>
    <w:p>
      <w:pPr>
        <w:ind w:firstLine="518"/>
        <w:spacing w:after="0" w:line="237" w:lineRule="auto"/>
        <w:rPr>
          <w:sz w:val="20"/>
          <w:szCs w:val="20"/>
          <w:color w:val="auto"/>
        </w:rPr>
      </w:pPr>
      <w:r>
        <w:rPr>
          <w:rFonts w:ascii="Arial" w:cs="Arial" w:eastAsia="Arial" w:hAnsi="Arial"/>
          <w:sz w:val="18"/>
          <w:szCs w:val="18"/>
          <w:color w:val="auto"/>
        </w:rPr>
        <w:t>In designing and evaluating our disclosure controls and procedures and internal control over financial reporting, management recognizes that any controls and procedures, no matter how well designed and operated, can provide only reasonable, not absolute, assurance of achieving the desired control objectives. In addition, the design of disclosure controls and procedures and internal control over financial reporting must reflect the fact that there are resource constraints and our management is required to apply judgment in evaluating the benefits of possible controls and procedures relative to their costs. The design of any disclosure controls and procedures and internal control over financial reporting also is based in part upon certain assumptions about the likelihood of future events, and there can be no assurance that any design will succeed in achieving its stated goals under all potential future conditions.</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Management’s Annual Report on Internal Control over Financial Reporting</w:t>
      </w:r>
    </w:p>
    <w:p>
      <w:pPr>
        <w:spacing w:after="0" w:line="126" w:lineRule="exact"/>
        <w:rPr>
          <w:sz w:val="20"/>
          <w:szCs w:val="20"/>
          <w:color w:val="auto"/>
        </w:rPr>
      </w:pPr>
    </w:p>
    <w:p>
      <w:pPr>
        <w:ind w:right="200" w:firstLine="518"/>
        <w:spacing w:after="0" w:line="246" w:lineRule="auto"/>
        <w:rPr>
          <w:sz w:val="20"/>
          <w:szCs w:val="20"/>
          <w:color w:val="auto"/>
        </w:rPr>
      </w:pPr>
      <w:r>
        <w:rPr>
          <w:rFonts w:ascii="Arial" w:cs="Arial" w:eastAsia="Arial" w:hAnsi="Arial"/>
          <w:sz w:val="18"/>
          <w:szCs w:val="18"/>
          <w:color w:val="auto"/>
        </w:rPr>
        <w:t>Our management is responsible for establishing and maintaining adequate internal control over financial reporting (as defined in Rules 13a-15(f) and 15d-15(f) of the Exchange Act).</w:t>
      </w:r>
    </w:p>
    <w:p>
      <w:pPr>
        <w:spacing w:after="0" w:line="197" w:lineRule="exact"/>
        <w:rPr>
          <w:sz w:val="20"/>
          <w:szCs w:val="20"/>
          <w:color w:val="auto"/>
        </w:rPr>
      </w:pPr>
    </w:p>
    <w:p>
      <w:pPr>
        <w:ind w:right="100" w:firstLine="518"/>
        <w:spacing w:after="0" w:line="238" w:lineRule="auto"/>
        <w:rPr>
          <w:sz w:val="20"/>
          <w:szCs w:val="20"/>
          <w:color w:val="auto"/>
        </w:rPr>
      </w:pPr>
      <w:r>
        <w:rPr>
          <w:rFonts w:ascii="Arial" w:cs="Arial" w:eastAsia="Arial" w:hAnsi="Arial"/>
          <w:sz w:val="18"/>
          <w:szCs w:val="18"/>
          <w:color w:val="auto"/>
        </w:rPr>
        <w:t>Our management conducted an evaluation of the effectiveness of our internal control over financial reporting based on the framework in "Internal Control - Integrated Framework" (2013) issued by the Committee of Sponsoring Organizations of the Treadway Commission. Based on this evaluation, management concluded that the Company's internal control over financial reporting was effective at December 31, 2019. The effectiveness of the Company’s internal control over financial reporting as of December 31, 2019 has been audited by PricewaterhouseCoopers LLP, an independent registered public accounting firm, as stated in their report which appears herein.</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Changes in Internal Control over Financial Reporting</w:t>
      </w:r>
    </w:p>
    <w:p>
      <w:pPr>
        <w:spacing w:after="0" w:line="126" w:lineRule="exact"/>
        <w:rPr>
          <w:sz w:val="20"/>
          <w:szCs w:val="20"/>
          <w:color w:val="auto"/>
        </w:rPr>
      </w:pPr>
    </w:p>
    <w:p>
      <w:pPr>
        <w:ind w:right="80" w:firstLine="518"/>
        <w:spacing w:after="0"/>
        <w:rPr>
          <w:sz w:val="20"/>
          <w:szCs w:val="20"/>
          <w:color w:val="auto"/>
        </w:rPr>
      </w:pPr>
      <w:r>
        <w:rPr>
          <w:rFonts w:ascii="Arial" w:cs="Arial" w:eastAsia="Arial" w:hAnsi="Arial"/>
          <w:sz w:val="18"/>
          <w:szCs w:val="18"/>
          <w:color w:val="auto"/>
        </w:rPr>
        <w:t>There were no changes in our internal control over financial reporting identified in connection with the evaluation required by Rules 13a-15(d) and 15d-15(d) under the Exchange Act that occurred during the quarter ended December 31, 2019 that have materially affected, or are reasonably likely to materially affect, our internal control over financial reporting.</w:t>
      </w:r>
    </w:p>
    <w:p>
      <w:pPr>
        <w:spacing w:after="0" w:line="356"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9B.</w:t>
      </w:r>
      <w:r>
        <w:rPr>
          <w:sz w:val="20"/>
          <w:szCs w:val="20"/>
          <w:color w:val="auto"/>
        </w:rPr>
        <w:tab/>
      </w:r>
      <w:r>
        <w:rPr>
          <w:rFonts w:ascii="Arial" w:cs="Arial" w:eastAsia="Arial" w:hAnsi="Arial"/>
          <w:sz w:val="17"/>
          <w:szCs w:val="17"/>
          <w:b w:val="1"/>
          <w:bCs w:val="1"/>
          <w:i w:val="1"/>
          <w:iCs w:val="1"/>
          <w:color w:val="auto"/>
        </w:rPr>
        <w:t>Other Information</w:t>
      </w:r>
    </w:p>
    <w:p>
      <w:pPr>
        <w:spacing w:after="0" w:line="126" w:lineRule="exact"/>
        <w:rPr>
          <w:sz w:val="20"/>
          <w:szCs w:val="20"/>
          <w:color w:val="auto"/>
        </w:rPr>
      </w:pPr>
    </w:p>
    <w:p>
      <w:pPr>
        <w:ind w:left="520"/>
        <w:spacing w:after="0"/>
        <w:rPr>
          <w:sz w:val="20"/>
          <w:szCs w:val="20"/>
          <w:color w:val="auto"/>
        </w:rPr>
      </w:pPr>
      <w:r>
        <w:rPr>
          <w:rFonts w:ascii="Arial" w:cs="Arial" w:eastAsia="Arial" w:hAnsi="Arial"/>
          <w:sz w:val="18"/>
          <w:szCs w:val="18"/>
          <w:color w:val="auto"/>
        </w:rPr>
        <w:t>None.</w:t>
      </w:r>
    </w:p>
    <w:p>
      <w:pPr>
        <w:spacing w:after="0" w:line="21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272020" cy="425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00"/>
          </w:cols>
          <w:pgMar w:left="240" w:top="333" w:right="259" w:bottom="1440" w:gutter="0" w:footer="0" w:header="0"/>
        </w:sectPr>
      </w:pPr>
    </w:p>
    <w:bookmarkStart w:id="92" w:name="page93"/>
    <w:bookmarkEnd w:id="92"/>
    <w:p>
      <w:pPr>
        <w:ind w:left="5380"/>
        <w:spacing w:after="0"/>
        <w:rPr>
          <w:sz w:val="20"/>
          <w:szCs w:val="20"/>
          <w:color w:val="auto"/>
        </w:rPr>
      </w:pPr>
      <w:r>
        <w:rPr>
          <w:rFonts w:ascii="Arial" w:cs="Arial" w:eastAsia="Arial" w:hAnsi="Arial"/>
          <w:sz w:val="18"/>
          <w:szCs w:val="18"/>
          <w:b w:val="1"/>
          <w:bCs w:val="1"/>
          <w:color w:val="auto"/>
        </w:rPr>
        <w:t>PART III</w:t>
      </w:r>
    </w:p>
    <w:p>
      <w:pPr>
        <w:spacing w:after="0" w:line="36"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10.</w:t>
      </w:r>
      <w:r>
        <w:rPr>
          <w:sz w:val="20"/>
          <w:szCs w:val="20"/>
          <w:color w:val="auto"/>
        </w:rPr>
        <w:tab/>
      </w:r>
      <w:r>
        <w:rPr>
          <w:rFonts w:ascii="Arial" w:cs="Arial" w:eastAsia="Arial" w:hAnsi="Arial"/>
          <w:sz w:val="17"/>
          <w:szCs w:val="17"/>
          <w:b w:val="1"/>
          <w:bCs w:val="1"/>
          <w:i w:val="1"/>
          <w:iCs w:val="1"/>
          <w:color w:val="auto"/>
        </w:rPr>
        <w:t>Directors, Executive Officers and Corporate Governance</w:t>
      </w:r>
    </w:p>
    <w:p>
      <w:pPr>
        <w:spacing w:after="0" w:line="126" w:lineRule="exact"/>
        <w:rPr>
          <w:sz w:val="20"/>
          <w:szCs w:val="20"/>
          <w:color w:val="auto"/>
        </w:rPr>
      </w:pPr>
    </w:p>
    <w:p>
      <w:pPr>
        <w:ind w:right="200" w:firstLine="518"/>
        <w:spacing w:after="0"/>
        <w:rPr>
          <w:sz w:val="20"/>
          <w:szCs w:val="20"/>
          <w:color w:val="auto"/>
        </w:rPr>
      </w:pPr>
      <w:r>
        <w:rPr>
          <w:rFonts w:ascii="Arial" w:cs="Arial" w:eastAsia="Arial" w:hAnsi="Arial"/>
          <w:sz w:val="18"/>
          <w:szCs w:val="18"/>
          <w:color w:val="auto"/>
        </w:rPr>
        <w:t>The information required by this item will be included in our Definitive Proxy Statement for the 2020 Annual Meeting of Stockholders to be filed with the Securities and Exchange Commission, or the SEC, within 120 days of the fiscal year ended December 31, 2019, and is incorporated herein by reference.</w:t>
      </w:r>
    </w:p>
    <w:p>
      <w:pPr>
        <w:spacing w:after="0" w:line="113"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11.</w:t>
      </w:r>
      <w:r>
        <w:rPr>
          <w:sz w:val="20"/>
          <w:szCs w:val="20"/>
          <w:color w:val="auto"/>
        </w:rPr>
        <w:tab/>
      </w:r>
      <w:r>
        <w:rPr>
          <w:rFonts w:ascii="Arial" w:cs="Arial" w:eastAsia="Arial" w:hAnsi="Arial"/>
          <w:sz w:val="17"/>
          <w:szCs w:val="17"/>
          <w:b w:val="1"/>
          <w:bCs w:val="1"/>
          <w:i w:val="1"/>
          <w:iCs w:val="1"/>
          <w:color w:val="auto"/>
        </w:rPr>
        <w:t>Executive Compensation</w:t>
      </w:r>
    </w:p>
    <w:p>
      <w:pPr>
        <w:spacing w:after="0" w:line="126" w:lineRule="exact"/>
        <w:rPr>
          <w:sz w:val="20"/>
          <w:szCs w:val="20"/>
          <w:color w:val="auto"/>
        </w:rPr>
      </w:pPr>
    </w:p>
    <w:p>
      <w:pPr>
        <w:ind w:right="200" w:firstLine="518"/>
        <w:spacing w:after="0" w:line="246" w:lineRule="auto"/>
        <w:rPr>
          <w:sz w:val="20"/>
          <w:szCs w:val="20"/>
          <w:color w:val="auto"/>
        </w:rPr>
      </w:pPr>
      <w:r>
        <w:rPr>
          <w:rFonts w:ascii="Arial" w:cs="Arial" w:eastAsia="Arial" w:hAnsi="Arial"/>
          <w:sz w:val="18"/>
          <w:szCs w:val="18"/>
          <w:color w:val="auto"/>
        </w:rPr>
        <w:t>The information required by this item will be included in our Definitive Proxy Statement for the 2020 Annual Meeting of Stockholders to be filed with the SEC within 120 days of the fiscal year ended December 31, 2019, and is incorporated herein by reference.</w:t>
      </w:r>
    </w:p>
    <w:p>
      <w:pPr>
        <w:spacing w:after="0" w:line="107"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12.</w:t>
      </w:r>
      <w:r>
        <w:rPr>
          <w:sz w:val="20"/>
          <w:szCs w:val="20"/>
          <w:color w:val="auto"/>
        </w:rPr>
        <w:tab/>
      </w:r>
      <w:r>
        <w:rPr>
          <w:rFonts w:ascii="Arial" w:cs="Arial" w:eastAsia="Arial" w:hAnsi="Arial"/>
          <w:sz w:val="17"/>
          <w:szCs w:val="17"/>
          <w:b w:val="1"/>
          <w:bCs w:val="1"/>
          <w:i w:val="1"/>
          <w:iCs w:val="1"/>
          <w:color w:val="auto"/>
        </w:rPr>
        <w:t>Security Ownership of Certain Beneficial Owners and Management and Related Stockholder Matters</w:t>
      </w:r>
    </w:p>
    <w:p>
      <w:pPr>
        <w:spacing w:after="0" w:line="126" w:lineRule="exact"/>
        <w:rPr>
          <w:sz w:val="20"/>
          <w:szCs w:val="20"/>
          <w:color w:val="auto"/>
        </w:rPr>
      </w:pPr>
    </w:p>
    <w:p>
      <w:pPr>
        <w:ind w:right="200" w:firstLine="518"/>
        <w:spacing w:after="0" w:line="246" w:lineRule="auto"/>
        <w:rPr>
          <w:sz w:val="20"/>
          <w:szCs w:val="20"/>
          <w:color w:val="auto"/>
        </w:rPr>
      </w:pPr>
      <w:r>
        <w:rPr>
          <w:rFonts w:ascii="Arial" w:cs="Arial" w:eastAsia="Arial" w:hAnsi="Arial"/>
          <w:sz w:val="18"/>
          <w:szCs w:val="18"/>
          <w:color w:val="auto"/>
        </w:rPr>
        <w:t>The information required by this item will be included in our Definitive Proxy Statement for the 2020 Annual Meeting of Stockholders to be filed with the SEC within 120 days of the fiscal year ended December 31, 2019, and is incorporated herein by reference.</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Securities Authorized for Issuance under Equity Compensation Plan</w:t>
      </w:r>
    </w:p>
    <w:p>
      <w:pPr>
        <w:spacing w:after="0" w:line="126" w:lineRule="exact"/>
        <w:rPr>
          <w:sz w:val="20"/>
          <w:szCs w:val="20"/>
          <w:color w:val="auto"/>
        </w:rPr>
      </w:pPr>
    </w:p>
    <w:p>
      <w:pPr>
        <w:ind w:firstLine="518"/>
        <w:spacing w:after="0" w:line="246" w:lineRule="auto"/>
        <w:rPr>
          <w:sz w:val="20"/>
          <w:szCs w:val="20"/>
          <w:color w:val="auto"/>
        </w:rPr>
      </w:pPr>
      <w:r>
        <w:rPr>
          <w:rFonts w:ascii="Arial" w:cs="Arial" w:eastAsia="Arial" w:hAnsi="Arial"/>
          <w:sz w:val="18"/>
          <w:szCs w:val="18"/>
          <w:color w:val="auto"/>
        </w:rPr>
        <w:t>The information required by this item will be included in our Proxy Statement for the 2020 Annual Meeting of Stockholders to be filed with the SEC within 120 days of the fiscal year ended December 31, 2019, and is incorporated herein by reference.</w:t>
      </w:r>
    </w:p>
    <w:p>
      <w:pPr>
        <w:spacing w:after="0" w:line="94"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13.</w:t>
      </w:r>
      <w:r>
        <w:rPr>
          <w:sz w:val="20"/>
          <w:szCs w:val="20"/>
          <w:color w:val="auto"/>
        </w:rPr>
        <w:tab/>
      </w:r>
      <w:r>
        <w:rPr>
          <w:rFonts w:ascii="Arial" w:cs="Arial" w:eastAsia="Arial" w:hAnsi="Arial"/>
          <w:sz w:val="17"/>
          <w:szCs w:val="17"/>
          <w:b w:val="1"/>
          <w:bCs w:val="1"/>
          <w:i w:val="1"/>
          <w:iCs w:val="1"/>
          <w:color w:val="auto"/>
        </w:rPr>
        <w:t>Certain Relationships and Related Transactions, and Director Independence</w:t>
      </w:r>
    </w:p>
    <w:p>
      <w:pPr>
        <w:spacing w:after="0" w:line="139" w:lineRule="exact"/>
        <w:rPr>
          <w:sz w:val="20"/>
          <w:szCs w:val="20"/>
          <w:color w:val="auto"/>
        </w:rPr>
      </w:pPr>
    </w:p>
    <w:p>
      <w:pPr>
        <w:ind w:right="200" w:firstLine="518"/>
        <w:spacing w:after="0" w:line="246" w:lineRule="auto"/>
        <w:rPr>
          <w:sz w:val="20"/>
          <w:szCs w:val="20"/>
          <w:color w:val="auto"/>
        </w:rPr>
      </w:pPr>
      <w:r>
        <w:rPr>
          <w:rFonts w:ascii="Arial" w:cs="Arial" w:eastAsia="Arial" w:hAnsi="Arial"/>
          <w:sz w:val="18"/>
          <w:szCs w:val="18"/>
          <w:color w:val="auto"/>
        </w:rPr>
        <w:t>The information required by this item will be included in our Definitive Proxy Statement for the 2020 Annual Meeting of Stockholders to be filed with the SEC within 120 days of the fiscal year ended December 31, 2019, and is incorporated herein by reference.</w:t>
      </w:r>
    </w:p>
    <w:p>
      <w:pPr>
        <w:spacing w:after="0" w:line="94"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14.</w:t>
      </w:r>
      <w:r>
        <w:rPr>
          <w:sz w:val="20"/>
          <w:szCs w:val="20"/>
          <w:color w:val="auto"/>
        </w:rPr>
        <w:tab/>
      </w:r>
      <w:r>
        <w:rPr>
          <w:rFonts w:ascii="Arial" w:cs="Arial" w:eastAsia="Arial" w:hAnsi="Arial"/>
          <w:sz w:val="17"/>
          <w:szCs w:val="17"/>
          <w:b w:val="1"/>
          <w:bCs w:val="1"/>
          <w:i w:val="1"/>
          <w:iCs w:val="1"/>
          <w:color w:val="auto"/>
        </w:rPr>
        <w:t>Principal Accounting Fees and Services</w:t>
      </w:r>
    </w:p>
    <w:p>
      <w:pPr>
        <w:spacing w:after="0" w:line="139" w:lineRule="exact"/>
        <w:rPr>
          <w:sz w:val="20"/>
          <w:szCs w:val="20"/>
          <w:color w:val="auto"/>
        </w:rPr>
      </w:pPr>
    </w:p>
    <w:p>
      <w:pPr>
        <w:ind w:right="200" w:firstLine="518"/>
        <w:spacing w:after="0" w:line="246" w:lineRule="auto"/>
        <w:rPr>
          <w:sz w:val="20"/>
          <w:szCs w:val="20"/>
          <w:color w:val="auto"/>
        </w:rPr>
      </w:pPr>
      <w:r>
        <w:rPr>
          <w:rFonts w:ascii="Arial" w:cs="Arial" w:eastAsia="Arial" w:hAnsi="Arial"/>
          <w:sz w:val="18"/>
          <w:szCs w:val="18"/>
          <w:color w:val="auto"/>
        </w:rPr>
        <w:t>The information required by this item will be included in our Definitive Proxy Statement for the 2020 Annual Meeting of Stockholders to be filed with the SEC within 120 days of the fiscal year ended December 31, 2019, and is incorporated herein by reference.</w:t>
      </w:r>
    </w:p>
    <w:p>
      <w:pPr>
        <w:spacing w:after="0" w:line="197" w:lineRule="exact"/>
        <w:rPr>
          <w:sz w:val="20"/>
          <w:szCs w:val="20"/>
          <w:color w:val="auto"/>
        </w:rPr>
      </w:pPr>
    </w:p>
    <w:p>
      <w:pPr>
        <w:ind w:firstLine="518"/>
        <w:spacing w:after="0"/>
        <w:rPr>
          <w:sz w:val="20"/>
          <w:szCs w:val="20"/>
          <w:color w:val="auto"/>
        </w:rPr>
      </w:pPr>
      <w:r>
        <w:rPr>
          <w:rFonts w:ascii="Arial" w:cs="Arial" w:eastAsia="Arial" w:hAnsi="Arial"/>
          <w:sz w:val="18"/>
          <w:szCs w:val="18"/>
          <w:color w:val="auto"/>
        </w:rPr>
        <w:t>With the exception of the information incorporated in Items 10, 11, 12, 13, and 14 of this Annual Report on Form 10-K, our Definitive Proxy Statement for the 2020 Annual Meeting of Stockholders to be filed with the SEC within 120 days of the fiscal year ended December 31, 2019 is not deemed “filed” as part of this Annual Report on Form 10-K.</w:t>
      </w: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272020" cy="425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00"/>
          </w:cols>
          <w:pgMar w:left="240" w:top="333" w:right="259" w:bottom="1440" w:gutter="0" w:footer="0" w:header="0"/>
        </w:sectPr>
      </w:pPr>
    </w:p>
    <w:bookmarkStart w:id="93" w:name="page94"/>
    <w:bookmarkEnd w:id="93"/>
    <w:p>
      <w:pPr>
        <w:jc w:val="center"/>
        <w:spacing w:after="0"/>
        <w:rPr>
          <w:sz w:val="20"/>
          <w:szCs w:val="20"/>
          <w:color w:val="auto"/>
        </w:rPr>
      </w:pPr>
      <w:r>
        <w:rPr>
          <w:rFonts w:ascii="Arial" w:cs="Arial" w:eastAsia="Arial" w:hAnsi="Arial"/>
          <w:sz w:val="18"/>
          <w:szCs w:val="18"/>
          <w:b w:val="1"/>
          <w:bCs w:val="1"/>
          <w:color w:val="auto"/>
        </w:rPr>
        <w:t>PART IV</w:t>
      </w:r>
    </w:p>
    <w:p>
      <w:pPr>
        <w:spacing w:after="0" w:line="212"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15.</w:t>
      </w:r>
      <w:r>
        <w:rPr>
          <w:sz w:val="20"/>
          <w:szCs w:val="20"/>
          <w:color w:val="auto"/>
        </w:rPr>
        <w:tab/>
      </w:r>
      <w:r>
        <w:rPr>
          <w:rFonts w:ascii="Arial" w:cs="Arial" w:eastAsia="Arial" w:hAnsi="Arial"/>
          <w:sz w:val="17"/>
          <w:szCs w:val="17"/>
          <w:b w:val="1"/>
          <w:bCs w:val="1"/>
          <w:i w:val="1"/>
          <w:iCs w:val="1"/>
          <w:color w:val="auto"/>
        </w:rPr>
        <w:t>Exhibits and Financial Statement Schedules</w:t>
      </w:r>
    </w:p>
    <w:p>
      <w:pPr>
        <w:spacing w:after="0" w:line="126" w:lineRule="exact"/>
        <w:rPr>
          <w:sz w:val="20"/>
          <w:szCs w:val="20"/>
          <w:color w:val="auto"/>
        </w:rPr>
      </w:pPr>
    </w:p>
    <w:p>
      <w:pPr>
        <w:ind w:left="520"/>
        <w:spacing w:after="0"/>
        <w:rPr>
          <w:sz w:val="20"/>
          <w:szCs w:val="20"/>
          <w:color w:val="auto"/>
        </w:rPr>
      </w:pPr>
      <w:r>
        <w:rPr>
          <w:rFonts w:ascii="Arial" w:cs="Arial" w:eastAsia="Arial" w:hAnsi="Arial"/>
          <w:sz w:val="18"/>
          <w:szCs w:val="18"/>
          <w:color w:val="auto"/>
        </w:rPr>
        <w:t>Documents filed as part of this report are as follows:</w:t>
      </w:r>
    </w:p>
    <w:p>
      <w:pPr>
        <w:spacing w:after="0" w:line="104" w:lineRule="exact"/>
        <w:rPr>
          <w:sz w:val="20"/>
          <w:szCs w:val="20"/>
          <w:color w:val="auto"/>
        </w:rPr>
      </w:pPr>
    </w:p>
    <w:p>
      <w:pPr>
        <w:ind w:left="1040" w:hanging="519"/>
        <w:spacing w:after="0"/>
        <w:tabs>
          <w:tab w:leader="none" w:pos="10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Consolidated Financial Statements:</w:t>
      </w:r>
    </w:p>
    <w:p>
      <w:pPr>
        <w:spacing w:after="0" w:line="103" w:lineRule="exact"/>
        <w:rPr>
          <w:rFonts w:ascii="Arial" w:cs="Arial" w:eastAsia="Arial" w:hAnsi="Arial"/>
          <w:sz w:val="18"/>
          <w:szCs w:val="18"/>
          <w:color w:val="auto"/>
        </w:rPr>
      </w:pPr>
    </w:p>
    <w:p>
      <w:pPr>
        <w:ind w:left="1040" w:right="160"/>
        <w:spacing w:after="0" w:line="246" w:lineRule="auto"/>
        <w:rPr>
          <w:rFonts w:ascii="Arial" w:cs="Arial" w:eastAsia="Arial" w:hAnsi="Arial"/>
          <w:sz w:val="18"/>
          <w:szCs w:val="18"/>
          <w:color w:val="auto"/>
        </w:rPr>
      </w:pPr>
      <w:r>
        <w:rPr>
          <w:rFonts w:ascii="Arial" w:cs="Arial" w:eastAsia="Arial" w:hAnsi="Arial"/>
          <w:sz w:val="18"/>
          <w:szCs w:val="18"/>
          <w:color w:val="auto"/>
        </w:rPr>
        <w:t>Our Consolidated Financial Statements are listed in the “Index to Consolidated Financial Statements” under Part II, Item 8 of this Annual Report on Form 10-K.</w:t>
      </w:r>
    </w:p>
    <w:p>
      <w:pPr>
        <w:spacing w:after="0" w:line="88" w:lineRule="exact"/>
        <w:rPr>
          <w:rFonts w:ascii="Arial" w:cs="Arial" w:eastAsia="Arial" w:hAnsi="Arial"/>
          <w:sz w:val="18"/>
          <w:szCs w:val="18"/>
          <w:color w:val="auto"/>
        </w:rPr>
      </w:pPr>
    </w:p>
    <w:p>
      <w:pPr>
        <w:ind w:left="1040" w:hanging="519"/>
        <w:spacing w:after="0"/>
        <w:tabs>
          <w:tab w:leader="none" w:pos="10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Financial Statement Schedules:</w:t>
      </w:r>
    </w:p>
    <w:p>
      <w:pPr>
        <w:spacing w:after="0" w:line="103" w:lineRule="exact"/>
        <w:rPr>
          <w:rFonts w:ascii="Arial" w:cs="Arial" w:eastAsia="Arial" w:hAnsi="Arial"/>
          <w:sz w:val="18"/>
          <w:szCs w:val="18"/>
          <w:color w:val="auto"/>
        </w:rPr>
      </w:pPr>
    </w:p>
    <w:p>
      <w:pPr>
        <w:ind w:left="1040" w:right="320"/>
        <w:spacing w:after="0" w:line="246" w:lineRule="auto"/>
        <w:rPr>
          <w:rFonts w:ascii="Arial" w:cs="Arial" w:eastAsia="Arial" w:hAnsi="Arial"/>
          <w:sz w:val="18"/>
          <w:szCs w:val="18"/>
          <w:color w:val="auto"/>
        </w:rPr>
      </w:pPr>
      <w:r>
        <w:rPr>
          <w:rFonts w:ascii="Arial" w:cs="Arial" w:eastAsia="Arial" w:hAnsi="Arial"/>
          <w:sz w:val="18"/>
          <w:szCs w:val="18"/>
          <w:color w:val="auto"/>
        </w:rPr>
        <w:t>Financial Statement Schedules have been omitted as information required is inapplicable or the information is presented in the consolidated financial statements and the related notes.</w:t>
      </w:r>
    </w:p>
    <w:p>
      <w:pPr>
        <w:spacing w:after="0" w:line="88" w:lineRule="exact"/>
        <w:rPr>
          <w:rFonts w:ascii="Arial" w:cs="Arial" w:eastAsia="Arial" w:hAnsi="Arial"/>
          <w:sz w:val="18"/>
          <w:szCs w:val="18"/>
          <w:color w:val="auto"/>
        </w:rPr>
      </w:pPr>
    </w:p>
    <w:p>
      <w:pPr>
        <w:ind w:left="1040" w:hanging="519"/>
        <w:spacing w:after="0"/>
        <w:tabs>
          <w:tab w:leader="none" w:pos="10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Exhibits:</w:t>
      </w:r>
    </w:p>
    <w:p>
      <w:pPr>
        <w:spacing w:after="0" w:line="104" w:lineRule="exact"/>
        <w:rPr>
          <w:sz w:val="20"/>
          <w:szCs w:val="20"/>
          <w:color w:val="auto"/>
        </w:rPr>
      </w:pPr>
    </w:p>
    <w:p>
      <w:pPr>
        <w:ind w:left="1040" w:right="40"/>
        <w:spacing w:after="0" w:line="246" w:lineRule="auto"/>
        <w:rPr>
          <w:sz w:val="20"/>
          <w:szCs w:val="20"/>
          <w:color w:val="auto"/>
        </w:rPr>
      </w:pPr>
      <w:r>
        <w:rPr>
          <w:rFonts w:ascii="Arial" w:cs="Arial" w:eastAsia="Arial" w:hAnsi="Arial"/>
          <w:sz w:val="18"/>
          <w:szCs w:val="18"/>
          <w:color w:val="auto"/>
        </w:rPr>
        <w:t>The documents listed in the accompanying index to exhibits are filed or incorporated by reference as part of this Annual Report on Form 10-K.</w:t>
      </w:r>
    </w:p>
    <w:p>
      <w:pPr>
        <w:spacing w:after="0" w:line="6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Exhibit Index</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80" w:type="dxa"/>
            <w:vAlign w:val="bottom"/>
          </w:tcPr>
          <w:p>
            <w:pPr>
              <w:spacing w:after="0"/>
              <w:rPr>
                <w:sz w:val="16"/>
                <w:szCs w:val="16"/>
                <w:color w:val="auto"/>
              </w:rPr>
            </w:pPr>
          </w:p>
        </w:tc>
        <w:tc>
          <w:tcPr>
            <w:tcW w:w="940" w:type="dxa"/>
            <w:vAlign w:val="bottom"/>
            <w:vMerge w:val="restart"/>
          </w:tcPr>
          <w:p>
            <w:pPr>
              <w:ind w:left="200"/>
              <w:spacing w:after="0"/>
              <w:rPr>
                <w:sz w:val="20"/>
                <w:szCs w:val="20"/>
                <w:color w:val="auto"/>
              </w:rPr>
            </w:pPr>
            <w:r>
              <w:rPr>
                <w:rFonts w:ascii="Arial" w:cs="Arial" w:eastAsia="Arial" w:hAnsi="Arial"/>
                <w:sz w:val="14"/>
                <w:szCs w:val="14"/>
                <w:b w:val="1"/>
                <w:bCs w:val="1"/>
                <w:color w:val="auto"/>
              </w:rPr>
              <w:t>Exhibit</w:t>
            </w:r>
          </w:p>
        </w:tc>
        <w:tc>
          <w:tcPr>
            <w:tcW w:w="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4000" w:type="dxa"/>
            <w:vAlign w:val="bottom"/>
            <w:tcBorders>
              <w:bottom w:val="single" w:sz="8" w:color="auto"/>
            </w:tcBorders>
            <w:gridSpan w:val="5"/>
          </w:tcPr>
          <w:p>
            <w:pPr>
              <w:ind w:left="600"/>
              <w:spacing w:after="0"/>
              <w:rPr>
                <w:sz w:val="20"/>
                <w:szCs w:val="20"/>
                <w:color w:val="auto"/>
              </w:rPr>
            </w:pPr>
            <w:r>
              <w:rPr>
                <w:rFonts w:ascii="Arial" w:cs="Arial" w:eastAsia="Arial" w:hAnsi="Arial"/>
                <w:sz w:val="14"/>
                <w:szCs w:val="14"/>
                <w:b w:val="1"/>
                <w:bCs w:val="1"/>
                <w:color w:val="auto"/>
              </w:rPr>
              <w:t>Incorporated by Reference</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2"/>
        </w:trPr>
        <w:tc>
          <w:tcPr>
            <w:tcW w:w="80" w:type="dxa"/>
            <w:vAlign w:val="bottom"/>
          </w:tcPr>
          <w:p>
            <w:pPr>
              <w:spacing w:after="0"/>
              <w:rPr>
                <w:sz w:val="12"/>
                <w:szCs w:val="12"/>
                <w:color w:val="auto"/>
              </w:rPr>
            </w:pPr>
          </w:p>
        </w:tc>
        <w:tc>
          <w:tcPr>
            <w:tcW w:w="940" w:type="dxa"/>
            <w:vAlign w:val="bottom"/>
            <w:vMerge w:val="continue"/>
          </w:tcPr>
          <w:p>
            <w:pPr>
              <w:spacing w:after="0"/>
              <w:rPr>
                <w:sz w:val="12"/>
                <w:szCs w:val="12"/>
                <w:color w:val="auto"/>
              </w:rPr>
            </w:pPr>
          </w:p>
        </w:tc>
        <w:tc>
          <w:tcPr>
            <w:tcW w:w="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8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9"/>
        </w:trPr>
        <w:tc>
          <w:tcPr>
            <w:tcW w:w="80" w:type="dxa"/>
            <w:vAlign w:val="bottom"/>
          </w:tcPr>
          <w:p>
            <w:pPr>
              <w:spacing w:after="0"/>
              <w:rPr>
                <w:sz w:val="16"/>
                <w:szCs w:val="16"/>
                <w:color w:val="auto"/>
              </w:rPr>
            </w:pPr>
          </w:p>
        </w:tc>
        <w:tc>
          <w:tcPr>
            <w:tcW w:w="940" w:type="dxa"/>
            <w:vAlign w:val="bottom"/>
            <w:tcBorders>
              <w:bottom w:val="single" w:sz="8" w:color="auto"/>
            </w:tcBorders>
          </w:tcPr>
          <w:p>
            <w:pPr>
              <w:ind w:left="200"/>
              <w:spacing w:after="0"/>
              <w:rPr>
                <w:sz w:val="20"/>
                <w:szCs w:val="20"/>
                <w:color w:val="auto"/>
              </w:rPr>
            </w:pPr>
            <w:r>
              <w:rPr>
                <w:rFonts w:ascii="Arial" w:cs="Arial" w:eastAsia="Arial" w:hAnsi="Arial"/>
                <w:sz w:val="14"/>
                <w:szCs w:val="14"/>
                <w:b w:val="1"/>
                <w:bCs w:val="1"/>
                <w:color w:val="auto"/>
              </w:rPr>
              <w:t>Number</w:t>
            </w:r>
          </w:p>
        </w:tc>
        <w:tc>
          <w:tcPr>
            <w:tcW w:w="60" w:type="dxa"/>
            <w:vAlign w:val="bottom"/>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3280" w:type="dxa"/>
            <w:vAlign w:val="bottom"/>
            <w:tcBorders>
              <w:bottom w:val="single" w:sz="8" w:color="auto"/>
            </w:tcBorders>
            <w:gridSpan w:val="20"/>
          </w:tcPr>
          <w:p>
            <w:pPr>
              <w:ind w:left="240"/>
              <w:spacing w:after="0"/>
              <w:rPr>
                <w:sz w:val="20"/>
                <w:szCs w:val="20"/>
                <w:color w:val="auto"/>
              </w:rPr>
            </w:pPr>
            <w:r>
              <w:rPr>
                <w:rFonts w:ascii="Arial" w:cs="Arial" w:eastAsia="Arial" w:hAnsi="Arial"/>
                <w:sz w:val="14"/>
                <w:szCs w:val="14"/>
                <w:b w:val="1"/>
                <w:bCs w:val="1"/>
                <w:color w:val="auto"/>
              </w:rPr>
              <w:t>Description</w:t>
            </w:r>
          </w:p>
        </w:tc>
        <w:tc>
          <w:tcPr>
            <w:tcW w:w="60" w:type="dxa"/>
            <w:vAlign w:val="bottom"/>
          </w:tcPr>
          <w:p>
            <w:pPr>
              <w:spacing w:after="0"/>
              <w:rPr>
                <w:sz w:val="16"/>
                <w:szCs w:val="16"/>
                <w:color w:val="auto"/>
              </w:rPr>
            </w:pPr>
          </w:p>
        </w:tc>
        <w:tc>
          <w:tcPr>
            <w:tcW w:w="900" w:type="dxa"/>
            <w:vAlign w:val="bottom"/>
            <w:tcBorders>
              <w:bottom w:val="single" w:sz="8" w:color="auto"/>
            </w:tcBorders>
          </w:tcPr>
          <w:p>
            <w:pPr>
              <w:ind w:left="280"/>
              <w:spacing w:after="0"/>
              <w:rPr>
                <w:sz w:val="20"/>
                <w:szCs w:val="20"/>
                <w:color w:val="auto"/>
              </w:rPr>
            </w:pPr>
            <w:r>
              <w:rPr>
                <w:rFonts w:ascii="Arial" w:cs="Arial" w:eastAsia="Arial" w:hAnsi="Arial"/>
                <w:sz w:val="14"/>
                <w:szCs w:val="14"/>
                <w:b w:val="1"/>
                <w:bCs w:val="1"/>
                <w:color w:val="auto"/>
              </w:rPr>
              <w:t>Form</w:t>
            </w:r>
          </w:p>
        </w:tc>
        <w:tc>
          <w:tcPr>
            <w:tcW w:w="80" w:type="dxa"/>
            <w:vAlign w:val="bottom"/>
          </w:tcPr>
          <w:p>
            <w:pPr>
              <w:spacing w:after="0"/>
              <w:rPr>
                <w:sz w:val="16"/>
                <w:szCs w:val="16"/>
                <w:color w:val="auto"/>
              </w:rPr>
            </w:pPr>
          </w:p>
        </w:tc>
        <w:tc>
          <w:tcPr>
            <w:tcW w:w="1220" w:type="dxa"/>
            <w:vAlign w:val="bottom"/>
            <w:tcBorders>
              <w:bottom w:val="single" w:sz="8" w:color="auto"/>
            </w:tcBorders>
          </w:tcPr>
          <w:p>
            <w:pPr>
              <w:ind w:left="360"/>
              <w:spacing w:after="0"/>
              <w:rPr>
                <w:sz w:val="20"/>
                <w:szCs w:val="20"/>
                <w:color w:val="auto"/>
              </w:rPr>
            </w:pPr>
            <w:r>
              <w:rPr>
                <w:rFonts w:ascii="Arial" w:cs="Arial" w:eastAsia="Arial" w:hAnsi="Arial"/>
                <w:sz w:val="14"/>
                <w:szCs w:val="14"/>
                <w:b w:val="1"/>
                <w:bCs w:val="1"/>
                <w:color w:val="auto"/>
              </w:rPr>
              <w:t>File No.</w:t>
            </w:r>
          </w:p>
        </w:tc>
        <w:tc>
          <w:tcPr>
            <w:tcW w:w="60" w:type="dxa"/>
            <w:vAlign w:val="bottom"/>
          </w:tcPr>
          <w:p>
            <w:pPr>
              <w:spacing w:after="0"/>
              <w:rPr>
                <w:sz w:val="16"/>
                <w:szCs w:val="16"/>
                <w:color w:val="auto"/>
              </w:rPr>
            </w:pPr>
          </w:p>
        </w:tc>
        <w:tc>
          <w:tcPr>
            <w:tcW w:w="780" w:type="dxa"/>
            <w:vAlign w:val="bottom"/>
            <w:tcBorders>
              <w:bottom w:val="single" w:sz="8" w:color="auto"/>
            </w:tcBorders>
          </w:tcPr>
          <w:p>
            <w:pPr>
              <w:ind w:left="140"/>
              <w:spacing w:after="0"/>
              <w:rPr>
                <w:sz w:val="20"/>
                <w:szCs w:val="20"/>
                <w:color w:val="auto"/>
              </w:rPr>
            </w:pPr>
            <w:r>
              <w:rPr>
                <w:rFonts w:ascii="Arial" w:cs="Arial" w:eastAsia="Arial" w:hAnsi="Arial"/>
                <w:sz w:val="14"/>
                <w:szCs w:val="14"/>
                <w:b w:val="1"/>
                <w:bCs w:val="1"/>
                <w:color w:val="auto"/>
              </w:rPr>
              <w:t>Exhibit</w:t>
            </w:r>
          </w:p>
        </w:tc>
        <w:tc>
          <w:tcPr>
            <w:tcW w:w="60" w:type="dxa"/>
            <w:vAlign w:val="bottom"/>
          </w:tcPr>
          <w:p>
            <w:pPr>
              <w:spacing w:after="0"/>
              <w:rPr>
                <w:sz w:val="16"/>
                <w:szCs w:val="16"/>
                <w:color w:val="auto"/>
              </w:rPr>
            </w:pPr>
          </w:p>
        </w:tc>
        <w:tc>
          <w:tcPr>
            <w:tcW w:w="1880" w:type="dxa"/>
            <w:vAlign w:val="bottom"/>
            <w:tcBorders>
              <w:bottom w:val="single" w:sz="8" w:color="auto"/>
            </w:tcBorders>
          </w:tcPr>
          <w:p>
            <w:pPr>
              <w:ind w:left="580"/>
              <w:spacing w:after="0"/>
              <w:rPr>
                <w:sz w:val="20"/>
                <w:szCs w:val="20"/>
                <w:color w:val="auto"/>
              </w:rPr>
            </w:pPr>
            <w:r>
              <w:rPr>
                <w:rFonts w:ascii="Arial" w:cs="Arial" w:eastAsia="Arial" w:hAnsi="Arial"/>
                <w:sz w:val="14"/>
                <w:szCs w:val="14"/>
                <w:b w:val="1"/>
                <w:bCs w:val="1"/>
                <w:color w:val="auto"/>
              </w:rPr>
              <w:t>Filing Date</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1020" w:type="dxa"/>
            <w:vAlign w:val="bottom"/>
            <w:gridSpan w:val="2"/>
          </w:tcPr>
          <w:p>
            <w:pPr>
              <w:spacing w:after="0" w:line="170" w:lineRule="exact"/>
              <w:rPr>
                <w:sz w:val="20"/>
                <w:szCs w:val="20"/>
                <w:color w:val="auto"/>
              </w:rPr>
            </w:pPr>
            <w:r>
              <w:rPr>
                <w:rFonts w:ascii="Arial" w:cs="Arial" w:eastAsia="Arial" w:hAnsi="Arial"/>
                <w:sz w:val="18"/>
                <w:szCs w:val="18"/>
                <w:color w:val="auto"/>
              </w:rPr>
              <w:t>2.1</w:t>
            </w:r>
          </w:p>
        </w:tc>
        <w:tc>
          <w:tcPr>
            <w:tcW w:w="5400" w:type="dxa"/>
            <w:vAlign w:val="bottom"/>
            <w:gridSpan w:val="28"/>
          </w:tcPr>
          <w:p>
            <w:pPr>
              <w:spacing w:after="0" w:line="170" w:lineRule="exact"/>
              <w:rPr>
                <w:rFonts w:ascii="Arial" w:cs="Arial" w:eastAsia="Arial" w:hAnsi="Arial"/>
                <w:sz w:val="18"/>
                <w:szCs w:val="18"/>
                <w:color w:val="0000EE"/>
              </w:rPr>
            </w:pPr>
            <w:hyperlink r:id="rId124">
              <w:r>
                <w:rPr>
                  <w:rFonts w:ascii="Arial" w:cs="Arial" w:eastAsia="Arial" w:hAnsi="Arial"/>
                  <w:sz w:val="18"/>
                  <w:szCs w:val="18"/>
                  <w:color w:val="0000EE"/>
                </w:rPr>
                <w:t>Agreement and Plan of Merger, by and among SLS Breeze</w:t>
              </w:r>
            </w:hyperlink>
          </w:p>
        </w:tc>
        <w:tc>
          <w:tcPr>
            <w:tcW w:w="900" w:type="dxa"/>
            <w:vAlign w:val="bottom"/>
          </w:tcPr>
          <w:p>
            <w:pPr>
              <w:jc w:val="center"/>
              <w:spacing w:after="0" w:line="170" w:lineRule="exact"/>
              <w:rPr>
                <w:sz w:val="20"/>
                <w:szCs w:val="20"/>
                <w:color w:val="auto"/>
              </w:rPr>
            </w:pPr>
            <w:r>
              <w:rPr>
                <w:rFonts w:ascii="Arial" w:cs="Arial" w:eastAsia="Arial" w:hAnsi="Arial"/>
                <w:sz w:val="18"/>
                <w:szCs w:val="18"/>
                <w:color w:val="auto"/>
                <w:w w:val="99"/>
              </w:rPr>
              <w:t>S-1</w:t>
            </w:r>
          </w:p>
        </w:tc>
        <w:tc>
          <w:tcPr>
            <w:tcW w:w="1300" w:type="dxa"/>
            <w:vAlign w:val="bottom"/>
            <w:gridSpan w:val="2"/>
          </w:tcPr>
          <w:p>
            <w:pPr>
              <w:jc w:val="center"/>
              <w:spacing w:after="0" w:line="170" w:lineRule="exact"/>
              <w:rPr>
                <w:sz w:val="20"/>
                <w:szCs w:val="20"/>
                <w:color w:val="auto"/>
              </w:rPr>
            </w:pPr>
            <w:r>
              <w:rPr>
                <w:rFonts w:ascii="Arial" w:cs="Arial" w:eastAsia="Arial" w:hAnsi="Arial"/>
                <w:sz w:val="18"/>
                <w:szCs w:val="18"/>
                <w:color w:val="auto"/>
                <w:w w:val="99"/>
              </w:rPr>
              <w:t>333-213899</w:t>
            </w:r>
          </w:p>
        </w:tc>
        <w:tc>
          <w:tcPr>
            <w:tcW w:w="840" w:type="dxa"/>
            <w:vAlign w:val="bottom"/>
            <w:gridSpan w:val="2"/>
          </w:tcPr>
          <w:p>
            <w:pPr>
              <w:jc w:val="center"/>
              <w:spacing w:after="0" w:line="170" w:lineRule="exact"/>
              <w:rPr>
                <w:sz w:val="20"/>
                <w:szCs w:val="20"/>
                <w:color w:val="auto"/>
              </w:rPr>
            </w:pPr>
            <w:r>
              <w:rPr>
                <w:rFonts w:ascii="Arial" w:cs="Arial" w:eastAsia="Arial" w:hAnsi="Arial"/>
                <w:sz w:val="18"/>
                <w:szCs w:val="18"/>
                <w:color w:val="auto"/>
              </w:rPr>
              <w:t>2.1</w:t>
            </w:r>
          </w:p>
        </w:tc>
        <w:tc>
          <w:tcPr>
            <w:tcW w:w="60" w:type="dxa"/>
            <w:vAlign w:val="bottom"/>
          </w:tcPr>
          <w:p>
            <w:pPr>
              <w:spacing w:after="0"/>
              <w:rPr>
                <w:sz w:val="14"/>
                <w:szCs w:val="14"/>
                <w:color w:val="auto"/>
              </w:rPr>
            </w:pPr>
          </w:p>
        </w:tc>
        <w:tc>
          <w:tcPr>
            <w:tcW w:w="1880" w:type="dxa"/>
            <w:vAlign w:val="bottom"/>
          </w:tcPr>
          <w:p>
            <w:pPr>
              <w:jc w:val="center"/>
              <w:spacing w:after="0" w:line="170" w:lineRule="exact"/>
              <w:rPr>
                <w:sz w:val="20"/>
                <w:szCs w:val="20"/>
                <w:color w:val="auto"/>
              </w:rPr>
            </w:pPr>
            <w:r>
              <w:rPr>
                <w:rFonts w:ascii="Arial" w:cs="Arial" w:eastAsia="Arial" w:hAnsi="Arial"/>
                <w:sz w:val="18"/>
                <w:szCs w:val="18"/>
                <w:color w:val="auto"/>
              </w:rPr>
              <w:t>September 30, 2016</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88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400" w:type="dxa"/>
            <w:vAlign w:val="bottom"/>
            <w:tcBorders>
              <w:right w:val="single" w:sz="8" w:color="0000EE"/>
            </w:tcBorders>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4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5400" w:type="dxa"/>
            <w:vAlign w:val="bottom"/>
            <w:gridSpan w:val="28"/>
          </w:tcPr>
          <w:p>
            <w:pPr>
              <w:spacing w:after="0" w:line="182" w:lineRule="exact"/>
              <w:rPr>
                <w:rFonts w:ascii="Arial" w:cs="Arial" w:eastAsia="Arial" w:hAnsi="Arial"/>
                <w:sz w:val="18"/>
                <w:szCs w:val="18"/>
                <w:color w:val="0000EE"/>
              </w:rPr>
            </w:pPr>
            <w:hyperlink r:id="rId124">
              <w:r>
                <w:rPr>
                  <w:rFonts w:ascii="Arial" w:cs="Arial" w:eastAsia="Arial" w:hAnsi="Arial"/>
                  <w:sz w:val="18"/>
                  <w:szCs w:val="18"/>
                  <w:color w:val="0000EE"/>
                </w:rPr>
                <w:t>Holdings, Inc., SLS Breeze Intermediate Holdings, Inc., SLS</w:t>
              </w:r>
            </w:hyperlink>
          </w:p>
        </w:tc>
        <w:tc>
          <w:tcPr>
            <w:tcW w:w="9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8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88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400" w:type="dxa"/>
            <w:vAlign w:val="bottom"/>
            <w:tcBorders>
              <w:right w:val="single" w:sz="8" w:color="0000EE"/>
            </w:tcBorders>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4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80" w:type="dxa"/>
            <w:vAlign w:val="bottom"/>
            <w:tcBorders>
              <w:left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5260" w:type="dxa"/>
            <w:vAlign w:val="bottom"/>
            <w:tcBorders>
              <w:bottom w:val="single" w:sz="8" w:color="0000EE"/>
            </w:tcBorders>
            <w:gridSpan w:val="25"/>
          </w:tcPr>
          <w:p>
            <w:pPr>
              <w:spacing w:after="0" w:line="182" w:lineRule="exact"/>
              <w:rPr>
                <w:rFonts w:ascii="Arial" w:cs="Arial" w:eastAsia="Arial" w:hAnsi="Arial"/>
                <w:sz w:val="18"/>
                <w:szCs w:val="18"/>
                <w:color w:val="0000EE"/>
                <w:w w:val="99"/>
              </w:rPr>
            </w:pPr>
            <w:hyperlink r:id="rId124">
              <w:r>
                <w:rPr>
                  <w:rFonts w:ascii="Arial" w:cs="Arial" w:eastAsia="Arial" w:hAnsi="Arial"/>
                  <w:sz w:val="18"/>
                  <w:szCs w:val="18"/>
                  <w:color w:val="0000EE"/>
                  <w:w w:val="99"/>
                </w:rPr>
                <w:t>Breeze Merger Sub, Inc. and BlackLine Systems, Inc., dated as of</w:t>
              </w:r>
            </w:hyperlink>
          </w:p>
        </w:tc>
        <w:tc>
          <w:tcPr>
            <w:tcW w:w="140" w:type="dxa"/>
            <w:vAlign w:val="bottom"/>
            <w:gridSpan w:val="3"/>
          </w:tcPr>
          <w:p>
            <w:pPr>
              <w:spacing w:after="0"/>
              <w:rPr>
                <w:sz w:val="15"/>
                <w:szCs w:val="15"/>
                <w:color w:val="auto"/>
              </w:rPr>
            </w:pPr>
          </w:p>
        </w:tc>
        <w:tc>
          <w:tcPr>
            <w:tcW w:w="9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8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220" w:type="dxa"/>
            <w:vAlign w:val="bottom"/>
            <w:tcBorders>
              <w:bottom w:val="single" w:sz="8" w:color="0000EE"/>
            </w:tcBorders>
            <w:gridSpan w:val="4"/>
          </w:tcPr>
          <w:p>
            <w:pPr>
              <w:spacing w:after="0" w:line="182" w:lineRule="exact"/>
              <w:rPr>
                <w:rFonts w:ascii="Arial" w:cs="Arial" w:eastAsia="Arial" w:hAnsi="Arial"/>
                <w:sz w:val="18"/>
                <w:szCs w:val="18"/>
                <w:color w:val="0000EE"/>
                <w:w w:val="99"/>
              </w:rPr>
            </w:pPr>
            <w:hyperlink r:id="rId124">
              <w:r>
                <w:rPr>
                  <w:rFonts w:ascii="Arial" w:cs="Arial" w:eastAsia="Arial" w:hAnsi="Arial"/>
                  <w:sz w:val="18"/>
                  <w:szCs w:val="18"/>
                  <w:color w:val="0000EE"/>
                  <w:w w:val="99"/>
                </w:rPr>
                <w:t>August 9, 2013</w:t>
              </w:r>
            </w:hyperlink>
          </w:p>
        </w:tc>
        <w:tc>
          <w:tcPr>
            <w:tcW w:w="4180" w:type="dxa"/>
            <w:vAlign w:val="bottom"/>
            <w:gridSpan w:val="24"/>
          </w:tcPr>
          <w:p>
            <w:pPr>
              <w:spacing w:after="0"/>
              <w:rPr>
                <w:sz w:val="15"/>
                <w:szCs w:val="15"/>
                <w:color w:val="auto"/>
              </w:rPr>
            </w:pPr>
          </w:p>
        </w:tc>
        <w:tc>
          <w:tcPr>
            <w:tcW w:w="9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8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4"/>
        </w:trPr>
        <w:tc>
          <w:tcPr>
            <w:tcW w:w="1020" w:type="dxa"/>
            <w:vAlign w:val="bottom"/>
            <w:gridSpan w:val="2"/>
          </w:tcPr>
          <w:p>
            <w:pPr>
              <w:spacing w:after="0"/>
              <w:rPr>
                <w:sz w:val="20"/>
                <w:szCs w:val="20"/>
                <w:color w:val="auto"/>
              </w:rPr>
            </w:pPr>
            <w:r>
              <w:rPr>
                <w:rFonts w:ascii="Arial" w:cs="Arial" w:eastAsia="Arial" w:hAnsi="Arial"/>
                <w:sz w:val="18"/>
                <w:szCs w:val="18"/>
                <w:color w:val="auto"/>
              </w:rPr>
              <w:t>3.1</w:t>
            </w:r>
          </w:p>
        </w:tc>
        <w:tc>
          <w:tcPr>
            <w:tcW w:w="5140" w:type="dxa"/>
            <w:vAlign w:val="bottom"/>
            <w:tcBorders>
              <w:bottom w:val="single" w:sz="8" w:color="0000EE"/>
            </w:tcBorders>
            <w:gridSpan w:val="22"/>
          </w:tcPr>
          <w:p>
            <w:pPr>
              <w:spacing w:after="0"/>
              <w:rPr>
                <w:rFonts w:ascii="Arial" w:cs="Arial" w:eastAsia="Arial" w:hAnsi="Arial"/>
                <w:sz w:val="18"/>
                <w:szCs w:val="18"/>
                <w:color w:val="0000EE"/>
                <w:w w:val="99"/>
              </w:rPr>
            </w:pPr>
            <w:hyperlink r:id="rId125">
              <w:r>
                <w:rPr>
                  <w:rFonts w:ascii="Arial" w:cs="Arial" w:eastAsia="Arial" w:hAnsi="Arial"/>
                  <w:sz w:val="18"/>
                  <w:szCs w:val="18"/>
                  <w:color w:val="0000EE"/>
                  <w:w w:val="99"/>
                </w:rPr>
                <w:t>Certificate of Amendment to the Second Amended and Restated</w:t>
              </w:r>
            </w:hyperlink>
          </w:p>
        </w:tc>
        <w:tc>
          <w:tcPr>
            <w:tcW w:w="260" w:type="dxa"/>
            <w:vAlign w:val="bottom"/>
            <w:gridSpan w:val="6"/>
          </w:tcPr>
          <w:p>
            <w:pPr>
              <w:spacing w:after="0"/>
              <w:rPr>
                <w:sz w:val="24"/>
                <w:szCs w:val="24"/>
                <w:color w:val="auto"/>
              </w:rPr>
            </w:pPr>
          </w:p>
        </w:tc>
        <w:tc>
          <w:tcPr>
            <w:tcW w:w="900" w:type="dxa"/>
            <w:vAlign w:val="bottom"/>
          </w:tcPr>
          <w:p>
            <w:pPr>
              <w:jc w:val="center"/>
              <w:spacing w:after="0"/>
              <w:rPr>
                <w:sz w:val="20"/>
                <w:szCs w:val="20"/>
                <w:color w:val="auto"/>
              </w:rPr>
            </w:pPr>
            <w:r>
              <w:rPr>
                <w:rFonts w:ascii="Arial" w:cs="Arial" w:eastAsia="Arial" w:hAnsi="Arial"/>
                <w:sz w:val="18"/>
                <w:szCs w:val="18"/>
                <w:color w:val="auto"/>
                <w:w w:val="97"/>
              </w:rPr>
              <w:t>S-1/A</w:t>
            </w:r>
          </w:p>
        </w:tc>
        <w:tc>
          <w:tcPr>
            <w:tcW w:w="1300" w:type="dxa"/>
            <w:vAlign w:val="bottom"/>
            <w:gridSpan w:val="2"/>
          </w:tcPr>
          <w:p>
            <w:pPr>
              <w:jc w:val="center"/>
              <w:spacing w:after="0"/>
              <w:rPr>
                <w:sz w:val="20"/>
                <w:szCs w:val="20"/>
                <w:color w:val="auto"/>
              </w:rPr>
            </w:pPr>
            <w:r>
              <w:rPr>
                <w:rFonts w:ascii="Arial" w:cs="Arial" w:eastAsia="Arial" w:hAnsi="Arial"/>
                <w:sz w:val="18"/>
                <w:szCs w:val="18"/>
                <w:color w:val="auto"/>
                <w:w w:val="99"/>
              </w:rPr>
              <w:t>333-213899</w:t>
            </w:r>
          </w:p>
        </w:tc>
        <w:tc>
          <w:tcPr>
            <w:tcW w:w="840" w:type="dxa"/>
            <w:vAlign w:val="bottom"/>
            <w:gridSpan w:val="2"/>
          </w:tcPr>
          <w:p>
            <w:pPr>
              <w:jc w:val="center"/>
              <w:spacing w:after="0"/>
              <w:rPr>
                <w:sz w:val="20"/>
                <w:szCs w:val="20"/>
                <w:color w:val="auto"/>
              </w:rPr>
            </w:pPr>
            <w:r>
              <w:rPr>
                <w:rFonts w:ascii="Arial" w:cs="Arial" w:eastAsia="Arial" w:hAnsi="Arial"/>
                <w:sz w:val="18"/>
                <w:szCs w:val="18"/>
                <w:color w:val="auto"/>
              </w:rPr>
              <w:t>3.2</w:t>
            </w:r>
          </w:p>
        </w:tc>
        <w:tc>
          <w:tcPr>
            <w:tcW w:w="60" w:type="dxa"/>
            <w:vAlign w:val="bottom"/>
          </w:tcPr>
          <w:p>
            <w:pPr>
              <w:spacing w:after="0"/>
              <w:rPr>
                <w:sz w:val="24"/>
                <w:szCs w:val="24"/>
                <w:color w:val="auto"/>
              </w:rPr>
            </w:pPr>
          </w:p>
        </w:tc>
        <w:tc>
          <w:tcPr>
            <w:tcW w:w="1880" w:type="dxa"/>
            <w:vAlign w:val="bottom"/>
          </w:tcPr>
          <w:p>
            <w:pPr>
              <w:jc w:val="center"/>
              <w:spacing w:after="0"/>
              <w:rPr>
                <w:sz w:val="20"/>
                <w:szCs w:val="20"/>
                <w:color w:val="auto"/>
              </w:rPr>
            </w:pPr>
            <w:r>
              <w:rPr>
                <w:rFonts w:ascii="Arial" w:cs="Arial" w:eastAsia="Arial" w:hAnsi="Arial"/>
                <w:sz w:val="18"/>
                <w:szCs w:val="18"/>
                <w:color w:val="auto"/>
              </w:rPr>
              <w:t>October 17, 2016</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3"/>
        </w:trPr>
        <w:tc>
          <w:tcPr>
            <w:tcW w:w="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5100" w:type="dxa"/>
            <w:vAlign w:val="bottom"/>
            <w:tcBorders>
              <w:bottom w:val="single" w:sz="8" w:color="0000EE"/>
            </w:tcBorders>
            <w:gridSpan w:val="21"/>
          </w:tcPr>
          <w:p>
            <w:pPr>
              <w:spacing w:after="0" w:line="182" w:lineRule="exact"/>
              <w:rPr>
                <w:rFonts w:ascii="Arial" w:cs="Arial" w:eastAsia="Arial" w:hAnsi="Arial"/>
                <w:sz w:val="18"/>
                <w:szCs w:val="18"/>
                <w:color w:val="0000EE"/>
                <w:w w:val="99"/>
              </w:rPr>
            </w:pPr>
            <w:hyperlink r:id="rId125">
              <w:r>
                <w:rPr>
                  <w:rFonts w:ascii="Arial" w:cs="Arial" w:eastAsia="Arial" w:hAnsi="Arial"/>
                  <w:sz w:val="18"/>
                  <w:szCs w:val="18"/>
                  <w:color w:val="0000EE"/>
                  <w:w w:val="99"/>
                </w:rPr>
                <w:t>Certificate of Incorporation of the Registrant, effecting a one-for-</w:t>
              </w:r>
            </w:hyperlink>
          </w:p>
        </w:tc>
        <w:tc>
          <w:tcPr>
            <w:tcW w:w="300" w:type="dxa"/>
            <w:vAlign w:val="bottom"/>
            <w:gridSpan w:val="7"/>
          </w:tcPr>
          <w:p>
            <w:pPr>
              <w:spacing w:after="0"/>
              <w:rPr>
                <w:sz w:val="15"/>
                <w:szCs w:val="15"/>
                <w:color w:val="auto"/>
              </w:rPr>
            </w:pPr>
          </w:p>
        </w:tc>
        <w:tc>
          <w:tcPr>
            <w:tcW w:w="9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8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5400" w:type="dxa"/>
            <w:vAlign w:val="bottom"/>
            <w:gridSpan w:val="28"/>
          </w:tcPr>
          <w:p>
            <w:pPr>
              <w:spacing w:after="0" w:line="182" w:lineRule="exact"/>
              <w:rPr>
                <w:rFonts w:ascii="Arial" w:cs="Arial" w:eastAsia="Arial" w:hAnsi="Arial"/>
                <w:sz w:val="18"/>
                <w:szCs w:val="18"/>
                <w:color w:val="0000EE"/>
              </w:rPr>
            </w:pPr>
            <w:hyperlink r:id="rId125">
              <w:r>
                <w:rPr>
                  <w:rFonts w:ascii="Arial" w:cs="Arial" w:eastAsia="Arial" w:hAnsi="Arial"/>
                  <w:sz w:val="18"/>
                  <w:szCs w:val="18"/>
                  <w:color w:val="0000EE"/>
                </w:rPr>
                <w:t>five reverse stock split.</w:t>
              </w:r>
            </w:hyperlink>
          </w:p>
        </w:tc>
        <w:tc>
          <w:tcPr>
            <w:tcW w:w="9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8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020" w:type="dxa"/>
            <w:vAlign w:val="bottom"/>
            <w:gridSpan w:val="2"/>
          </w:tcPr>
          <w:p>
            <w:pPr>
              <w:spacing w:after="0" w:line="20" w:lineRule="exact"/>
              <w:rPr>
                <w:sz w:val="1"/>
                <w:szCs w:val="1"/>
                <w:color w:val="auto"/>
              </w:rPr>
            </w:pPr>
          </w:p>
        </w:tc>
        <w:tc>
          <w:tcPr>
            <w:tcW w:w="88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60" w:type="dxa"/>
            <w:vAlign w:val="bottom"/>
            <w:gridSpan w:val="2"/>
            <w:shd w:val="clear" w:color="auto" w:fill="0000EE"/>
          </w:tcPr>
          <w:p>
            <w:pPr>
              <w:spacing w:after="0" w:line="20" w:lineRule="exact"/>
              <w:rPr>
                <w:sz w:val="1"/>
                <w:szCs w:val="1"/>
                <w:color w:val="auto"/>
              </w:rPr>
            </w:pPr>
          </w:p>
        </w:tc>
        <w:tc>
          <w:tcPr>
            <w:tcW w:w="400" w:type="dxa"/>
            <w:vAlign w:val="bottom"/>
            <w:tcBorders>
              <w:right w:val="single" w:sz="8" w:color="0000EE"/>
            </w:tcBorders>
            <w:shd w:val="clear" w:color="auto" w:fill="0000E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300" w:type="dxa"/>
            <w:vAlign w:val="bottom"/>
            <w:gridSpan w:val="2"/>
          </w:tcPr>
          <w:p>
            <w:pPr>
              <w:spacing w:after="0" w:line="20" w:lineRule="exact"/>
              <w:rPr>
                <w:sz w:val="1"/>
                <w:szCs w:val="1"/>
                <w:color w:val="auto"/>
              </w:rPr>
            </w:pPr>
          </w:p>
        </w:tc>
        <w:tc>
          <w:tcPr>
            <w:tcW w:w="8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1020" w:type="dxa"/>
            <w:vAlign w:val="bottom"/>
            <w:gridSpan w:val="2"/>
          </w:tcPr>
          <w:p>
            <w:pPr>
              <w:spacing w:after="0"/>
              <w:rPr>
                <w:sz w:val="20"/>
                <w:szCs w:val="20"/>
                <w:color w:val="auto"/>
              </w:rPr>
            </w:pPr>
            <w:r>
              <w:rPr>
                <w:rFonts w:ascii="Arial" w:cs="Arial" w:eastAsia="Arial" w:hAnsi="Arial"/>
                <w:sz w:val="18"/>
                <w:szCs w:val="18"/>
                <w:color w:val="auto"/>
              </w:rPr>
              <w:t>3.2</w:t>
            </w:r>
          </w:p>
        </w:tc>
        <w:tc>
          <w:tcPr>
            <w:tcW w:w="4560" w:type="dxa"/>
            <w:vAlign w:val="bottom"/>
            <w:tcBorders>
              <w:bottom w:val="single" w:sz="8" w:color="0000EE"/>
            </w:tcBorders>
            <w:gridSpan w:val="14"/>
          </w:tcPr>
          <w:p>
            <w:pPr>
              <w:spacing w:after="0"/>
              <w:rPr>
                <w:rFonts w:ascii="Arial" w:cs="Arial" w:eastAsia="Arial" w:hAnsi="Arial"/>
                <w:sz w:val="18"/>
                <w:szCs w:val="18"/>
                <w:color w:val="0000EE"/>
                <w:w w:val="99"/>
              </w:rPr>
            </w:pPr>
            <w:hyperlink r:id="rId126">
              <w:r>
                <w:rPr>
                  <w:rFonts w:ascii="Arial" w:cs="Arial" w:eastAsia="Arial" w:hAnsi="Arial"/>
                  <w:sz w:val="18"/>
                  <w:szCs w:val="18"/>
                  <w:color w:val="0000EE"/>
                  <w:w w:val="99"/>
                </w:rPr>
                <w:t>Amended and Restated Certificate of Incorporation of the</w:t>
              </w:r>
            </w:hyperlink>
          </w:p>
        </w:tc>
        <w:tc>
          <w:tcPr>
            <w:tcW w:w="840" w:type="dxa"/>
            <w:vAlign w:val="bottom"/>
            <w:gridSpan w:val="14"/>
          </w:tcPr>
          <w:p>
            <w:pPr>
              <w:spacing w:after="0"/>
              <w:rPr>
                <w:sz w:val="24"/>
                <w:szCs w:val="24"/>
                <w:color w:val="auto"/>
              </w:rPr>
            </w:pPr>
          </w:p>
        </w:tc>
        <w:tc>
          <w:tcPr>
            <w:tcW w:w="900" w:type="dxa"/>
            <w:vAlign w:val="bottom"/>
          </w:tcPr>
          <w:p>
            <w:pPr>
              <w:jc w:val="center"/>
              <w:spacing w:after="0"/>
              <w:rPr>
                <w:sz w:val="20"/>
                <w:szCs w:val="20"/>
                <w:color w:val="auto"/>
              </w:rPr>
            </w:pPr>
            <w:r>
              <w:rPr>
                <w:rFonts w:ascii="Arial" w:cs="Arial" w:eastAsia="Arial" w:hAnsi="Arial"/>
                <w:sz w:val="18"/>
                <w:szCs w:val="18"/>
                <w:color w:val="auto"/>
                <w:w w:val="99"/>
              </w:rPr>
              <w:t>10-Q</w:t>
            </w:r>
          </w:p>
        </w:tc>
        <w:tc>
          <w:tcPr>
            <w:tcW w:w="1300" w:type="dxa"/>
            <w:vAlign w:val="bottom"/>
            <w:gridSpan w:val="2"/>
          </w:tcPr>
          <w:p>
            <w:pPr>
              <w:jc w:val="center"/>
              <w:spacing w:after="0"/>
              <w:rPr>
                <w:sz w:val="20"/>
                <w:szCs w:val="20"/>
                <w:color w:val="auto"/>
              </w:rPr>
            </w:pPr>
            <w:r>
              <w:rPr>
                <w:rFonts w:ascii="Arial" w:cs="Arial" w:eastAsia="Arial" w:hAnsi="Arial"/>
                <w:sz w:val="18"/>
                <w:szCs w:val="18"/>
                <w:color w:val="auto"/>
                <w:w w:val="99"/>
              </w:rPr>
              <w:t>001-37924</w:t>
            </w:r>
          </w:p>
        </w:tc>
        <w:tc>
          <w:tcPr>
            <w:tcW w:w="840" w:type="dxa"/>
            <w:vAlign w:val="bottom"/>
            <w:gridSpan w:val="2"/>
          </w:tcPr>
          <w:p>
            <w:pPr>
              <w:jc w:val="center"/>
              <w:spacing w:after="0"/>
              <w:rPr>
                <w:sz w:val="20"/>
                <w:szCs w:val="20"/>
                <w:color w:val="auto"/>
              </w:rPr>
            </w:pPr>
            <w:r>
              <w:rPr>
                <w:rFonts w:ascii="Arial" w:cs="Arial" w:eastAsia="Arial" w:hAnsi="Arial"/>
                <w:sz w:val="18"/>
                <w:szCs w:val="18"/>
                <w:color w:val="auto"/>
              </w:rPr>
              <w:t>3.2</w:t>
            </w:r>
          </w:p>
        </w:tc>
        <w:tc>
          <w:tcPr>
            <w:tcW w:w="60" w:type="dxa"/>
            <w:vAlign w:val="bottom"/>
          </w:tcPr>
          <w:p>
            <w:pPr>
              <w:spacing w:after="0"/>
              <w:rPr>
                <w:sz w:val="24"/>
                <w:szCs w:val="24"/>
                <w:color w:val="auto"/>
              </w:rPr>
            </w:pPr>
          </w:p>
        </w:tc>
        <w:tc>
          <w:tcPr>
            <w:tcW w:w="1880" w:type="dxa"/>
            <w:vAlign w:val="bottom"/>
          </w:tcPr>
          <w:p>
            <w:pPr>
              <w:jc w:val="center"/>
              <w:spacing w:after="0"/>
              <w:rPr>
                <w:sz w:val="20"/>
                <w:szCs w:val="20"/>
                <w:color w:val="auto"/>
              </w:rPr>
            </w:pPr>
            <w:r>
              <w:rPr>
                <w:rFonts w:ascii="Arial" w:cs="Arial" w:eastAsia="Arial" w:hAnsi="Arial"/>
                <w:sz w:val="18"/>
                <w:szCs w:val="18"/>
                <w:color w:val="auto"/>
                <w:w w:val="99"/>
              </w:rPr>
              <w:t>December 12, 2016</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3"/>
        </w:trPr>
        <w:tc>
          <w:tcPr>
            <w:tcW w:w="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880" w:type="dxa"/>
            <w:vAlign w:val="bottom"/>
            <w:tcBorders>
              <w:bottom w:val="single" w:sz="8" w:color="0000EE"/>
            </w:tcBorders>
            <w:gridSpan w:val="2"/>
          </w:tcPr>
          <w:p>
            <w:pPr>
              <w:spacing w:after="0" w:line="182" w:lineRule="exact"/>
              <w:rPr>
                <w:rFonts w:ascii="Arial" w:cs="Arial" w:eastAsia="Arial" w:hAnsi="Arial"/>
                <w:sz w:val="18"/>
                <w:szCs w:val="18"/>
                <w:color w:val="0000EE"/>
                <w:w w:val="98"/>
              </w:rPr>
            </w:pPr>
            <w:hyperlink r:id="rId126">
              <w:r>
                <w:rPr>
                  <w:rFonts w:ascii="Arial" w:cs="Arial" w:eastAsia="Arial" w:hAnsi="Arial"/>
                  <w:sz w:val="18"/>
                  <w:szCs w:val="18"/>
                  <w:color w:val="0000EE"/>
                  <w:w w:val="98"/>
                </w:rPr>
                <w:t>Registrant.</w:t>
              </w:r>
            </w:hyperlink>
          </w:p>
        </w:tc>
        <w:tc>
          <w:tcPr>
            <w:tcW w:w="4520" w:type="dxa"/>
            <w:vAlign w:val="bottom"/>
            <w:gridSpan w:val="26"/>
          </w:tcPr>
          <w:p>
            <w:pPr>
              <w:spacing w:after="0"/>
              <w:rPr>
                <w:sz w:val="15"/>
                <w:szCs w:val="15"/>
                <w:color w:val="auto"/>
              </w:rPr>
            </w:pPr>
          </w:p>
        </w:tc>
        <w:tc>
          <w:tcPr>
            <w:tcW w:w="9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8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4"/>
        </w:trPr>
        <w:tc>
          <w:tcPr>
            <w:tcW w:w="1020" w:type="dxa"/>
            <w:vAlign w:val="bottom"/>
            <w:gridSpan w:val="2"/>
          </w:tcPr>
          <w:p>
            <w:pPr>
              <w:spacing w:after="0"/>
              <w:rPr>
                <w:sz w:val="20"/>
                <w:szCs w:val="20"/>
                <w:color w:val="auto"/>
              </w:rPr>
            </w:pPr>
            <w:r>
              <w:rPr>
                <w:rFonts w:ascii="Arial" w:cs="Arial" w:eastAsia="Arial" w:hAnsi="Arial"/>
                <w:sz w:val="18"/>
                <w:szCs w:val="18"/>
                <w:color w:val="auto"/>
              </w:rPr>
              <w:t>3.3</w:t>
            </w:r>
          </w:p>
        </w:tc>
        <w:tc>
          <w:tcPr>
            <w:tcW w:w="3940" w:type="dxa"/>
            <w:vAlign w:val="bottom"/>
            <w:tcBorders>
              <w:bottom w:val="single" w:sz="8" w:color="0000EE"/>
            </w:tcBorders>
            <w:gridSpan w:val="12"/>
          </w:tcPr>
          <w:p>
            <w:pPr>
              <w:spacing w:after="0"/>
              <w:rPr>
                <w:rFonts w:ascii="Arial" w:cs="Arial" w:eastAsia="Arial" w:hAnsi="Arial"/>
                <w:sz w:val="18"/>
                <w:szCs w:val="18"/>
                <w:color w:val="0000EE"/>
                <w:w w:val="99"/>
              </w:rPr>
            </w:pPr>
            <w:hyperlink r:id="rId127">
              <w:r>
                <w:rPr>
                  <w:rFonts w:ascii="Arial" w:cs="Arial" w:eastAsia="Arial" w:hAnsi="Arial"/>
                  <w:sz w:val="18"/>
                  <w:szCs w:val="18"/>
                  <w:color w:val="0000EE"/>
                  <w:w w:val="99"/>
                </w:rPr>
                <w:t>Amended and Restated Bylaws of the Registrant.</w:t>
              </w:r>
            </w:hyperlink>
          </w:p>
        </w:tc>
        <w:tc>
          <w:tcPr>
            <w:tcW w:w="1460" w:type="dxa"/>
            <w:vAlign w:val="bottom"/>
            <w:gridSpan w:val="16"/>
          </w:tcPr>
          <w:p>
            <w:pPr>
              <w:spacing w:after="0"/>
              <w:rPr>
                <w:sz w:val="24"/>
                <w:szCs w:val="24"/>
                <w:color w:val="auto"/>
              </w:rPr>
            </w:pPr>
          </w:p>
        </w:tc>
        <w:tc>
          <w:tcPr>
            <w:tcW w:w="900" w:type="dxa"/>
            <w:vAlign w:val="bottom"/>
          </w:tcPr>
          <w:p>
            <w:pPr>
              <w:jc w:val="center"/>
              <w:spacing w:after="0"/>
              <w:rPr>
                <w:sz w:val="20"/>
                <w:szCs w:val="20"/>
                <w:color w:val="auto"/>
              </w:rPr>
            </w:pPr>
            <w:r>
              <w:rPr>
                <w:rFonts w:ascii="Arial" w:cs="Arial" w:eastAsia="Arial" w:hAnsi="Arial"/>
                <w:sz w:val="18"/>
                <w:szCs w:val="18"/>
                <w:color w:val="auto"/>
                <w:w w:val="99"/>
              </w:rPr>
              <w:t>10-Q</w:t>
            </w:r>
          </w:p>
        </w:tc>
        <w:tc>
          <w:tcPr>
            <w:tcW w:w="1300" w:type="dxa"/>
            <w:vAlign w:val="bottom"/>
            <w:gridSpan w:val="2"/>
          </w:tcPr>
          <w:p>
            <w:pPr>
              <w:jc w:val="center"/>
              <w:spacing w:after="0"/>
              <w:rPr>
                <w:sz w:val="20"/>
                <w:szCs w:val="20"/>
                <w:color w:val="auto"/>
              </w:rPr>
            </w:pPr>
            <w:r>
              <w:rPr>
                <w:rFonts w:ascii="Arial" w:cs="Arial" w:eastAsia="Arial" w:hAnsi="Arial"/>
                <w:sz w:val="18"/>
                <w:szCs w:val="18"/>
                <w:color w:val="auto"/>
                <w:w w:val="99"/>
              </w:rPr>
              <w:t>001-37924</w:t>
            </w:r>
          </w:p>
        </w:tc>
        <w:tc>
          <w:tcPr>
            <w:tcW w:w="840" w:type="dxa"/>
            <w:vAlign w:val="bottom"/>
            <w:gridSpan w:val="2"/>
          </w:tcPr>
          <w:p>
            <w:pPr>
              <w:jc w:val="center"/>
              <w:spacing w:after="0"/>
              <w:rPr>
                <w:sz w:val="20"/>
                <w:szCs w:val="20"/>
                <w:color w:val="auto"/>
              </w:rPr>
            </w:pPr>
            <w:r>
              <w:rPr>
                <w:rFonts w:ascii="Arial" w:cs="Arial" w:eastAsia="Arial" w:hAnsi="Arial"/>
                <w:sz w:val="18"/>
                <w:szCs w:val="18"/>
                <w:color w:val="auto"/>
              </w:rPr>
              <w:t>3.3</w:t>
            </w:r>
          </w:p>
        </w:tc>
        <w:tc>
          <w:tcPr>
            <w:tcW w:w="60" w:type="dxa"/>
            <w:vAlign w:val="bottom"/>
          </w:tcPr>
          <w:p>
            <w:pPr>
              <w:spacing w:after="0"/>
              <w:rPr>
                <w:sz w:val="24"/>
                <w:szCs w:val="24"/>
                <w:color w:val="auto"/>
              </w:rPr>
            </w:pPr>
          </w:p>
        </w:tc>
        <w:tc>
          <w:tcPr>
            <w:tcW w:w="1880" w:type="dxa"/>
            <w:vAlign w:val="bottom"/>
          </w:tcPr>
          <w:p>
            <w:pPr>
              <w:jc w:val="center"/>
              <w:spacing w:after="0"/>
              <w:rPr>
                <w:sz w:val="20"/>
                <w:szCs w:val="20"/>
                <w:color w:val="auto"/>
              </w:rPr>
            </w:pPr>
            <w:r>
              <w:rPr>
                <w:rFonts w:ascii="Arial" w:cs="Arial" w:eastAsia="Arial" w:hAnsi="Arial"/>
                <w:sz w:val="18"/>
                <w:szCs w:val="18"/>
                <w:color w:val="auto"/>
                <w:w w:val="99"/>
              </w:rPr>
              <w:t>December 12, 2016</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1020" w:type="dxa"/>
            <w:vAlign w:val="bottom"/>
            <w:gridSpan w:val="2"/>
          </w:tcPr>
          <w:p>
            <w:pPr>
              <w:spacing w:after="0"/>
              <w:rPr>
                <w:sz w:val="20"/>
                <w:szCs w:val="20"/>
                <w:color w:val="auto"/>
              </w:rPr>
            </w:pPr>
            <w:r>
              <w:rPr>
                <w:rFonts w:ascii="Arial" w:cs="Arial" w:eastAsia="Arial" w:hAnsi="Arial"/>
                <w:sz w:val="18"/>
                <w:szCs w:val="18"/>
                <w:color w:val="auto"/>
              </w:rPr>
              <w:t>4.1</w:t>
            </w:r>
          </w:p>
        </w:tc>
        <w:tc>
          <w:tcPr>
            <w:tcW w:w="4300" w:type="dxa"/>
            <w:vAlign w:val="bottom"/>
            <w:tcBorders>
              <w:bottom w:val="single" w:sz="8" w:color="0000EE"/>
            </w:tcBorders>
            <w:gridSpan w:val="13"/>
          </w:tcPr>
          <w:p>
            <w:pPr>
              <w:spacing w:after="0"/>
              <w:rPr>
                <w:rFonts w:ascii="Arial" w:cs="Arial" w:eastAsia="Arial" w:hAnsi="Arial"/>
                <w:sz w:val="18"/>
                <w:szCs w:val="18"/>
                <w:color w:val="0000EE"/>
                <w:w w:val="99"/>
              </w:rPr>
            </w:pPr>
            <w:hyperlink r:id="rId128">
              <w:r>
                <w:rPr>
                  <w:rFonts w:ascii="Arial" w:cs="Arial" w:eastAsia="Arial" w:hAnsi="Arial"/>
                  <w:sz w:val="18"/>
                  <w:szCs w:val="18"/>
                  <w:color w:val="0000EE"/>
                  <w:w w:val="99"/>
                </w:rPr>
                <w:t>Specimen Common Stock Certificate of the Company.</w:t>
              </w:r>
            </w:hyperlink>
          </w:p>
        </w:tc>
        <w:tc>
          <w:tcPr>
            <w:tcW w:w="1100" w:type="dxa"/>
            <w:vAlign w:val="bottom"/>
            <w:gridSpan w:val="15"/>
          </w:tcPr>
          <w:p>
            <w:pPr>
              <w:spacing w:after="0"/>
              <w:rPr>
                <w:sz w:val="24"/>
                <w:szCs w:val="24"/>
                <w:color w:val="auto"/>
              </w:rPr>
            </w:pPr>
          </w:p>
        </w:tc>
        <w:tc>
          <w:tcPr>
            <w:tcW w:w="900" w:type="dxa"/>
            <w:vAlign w:val="bottom"/>
          </w:tcPr>
          <w:p>
            <w:pPr>
              <w:jc w:val="center"/>
              <w:spacing w:after="0"/>
              <w:rPr>
                <w:sz w:val="20"/>
                <w:szCs w:val="20"/>
                <w:color w:val="auto"/>
              </w:rPr>
            </w:pPr>
            <w:r>
              <w:rPr>
                <w:rFonts w:ascii="Arial" w:cs="Arial" w:eastAsia="Arial" w:hAnsi="Arial"/>
                <w:sz w:val="18"/>
                <w:szCs w:val="18"/>
                <w:color w:val="auto"/>
                <w:w w:val="99"/>
              </w:rPr>
              <w:t>S-1</w:t>
            </w:r>
          </w:p>
        </w:tc>
        <w:tc>
          <w:tcPr>
            <w:tcW w:w="1300" w:type="dxa"/>
            <w:vAlign w:val="bottom"/>
            <w:gridSpan w:val="2"/>
          </w:tcPr>
          <w:p>
            <w:pPr>
              <w:jc w:val="center"/>
              <w:spacing w:after="0"/>
              <w:rPr>
                <w:sz w:val="20"/>
                <w:szCs w:val="20"/>
                <w:color w:val="auto"/>
              </w:rPr>
            </w:pPr>
            <w:r>
              <w:rPr>
                <w:rFonts w:ascii="Arial" w:cs="Arial" w:eastAsia="Arial" w:hAnsi="Arial"/>
                <w:sz w:val="18"/>
                <w:szCs w:val="18"/>
                <w:color w:val="auto"/>
                <w:w w:val="99"/>
              </w:rPr>
              <w:t>333-213899</w:t>
            </w:r>
          </w:p>
        </w:tc>
        <w:tc>
          <w:tcPr>
            <w:tcW w:w="840" w:type="dxa"/>
            <w:vAlign w:val="bottom"/>
            <w:gridSpan w:val="2"/>
          </w:tcPr>
          <w:p>
            <w:pPr>
              <w:jc w:val="center"/>
              <w:spacing w:after="0"/>
              <w:rPr>
                <w:sz w:val="20"/>
                <w:szCs w:val="20"/>
                <w:color w:val="auto"/>
              </w:rPr>
            </w:pPr>
            <w:r>
              <w:rPr>
                <w:rFonts w:ascii="Arial" w:cs="Arial" w:eastAsia="Arial" w:hAnsi="Arial"/>
                <w:sz w:val="18"/>
                <w:szCs w:val="18"/>
                <w:color w:val="auto"/>
              </w:rPr>
              <w:t>4.1</w:t>
            </w:r>
          </w:p>
        </w:tc>
        <w:tc>
          <w:tcPr>
            <w:tcW w:w="60" w:type="dxa"/>
            <w:vAlign w:val="bottom"/>
          </w:tcPr>
          <w:p>
            <w:pPr>
              <w:spacing w:after="0"/>
              <w:rPr>
                <w:sz w:val="24"/>
                <w:szCs w:val="24"/>
                <w:color w:val="auto"/>
              </w:rPr>
            </w:pPr>
          </w:p>
        </w:tc>
        <w:tc>
          <w:tcPr>
            <w:tcW w:w="1880" w:type="dxa"/>
            <w:vAlign w:val="bottom"/>
          </w:tcPr>
          <w:p>
            <w:pPr>
              <w:jc w:val="center"/>
              <w:spacing w:after="0"/>
              <w:rPr>
                <w:sz w:val="20"/>
                <w:szCs w:val="20"/>
                <w:color w:val="auto"/>
              </w:rPr>
            </w:pPr>
            <w:r>
              <w:rPr>
                <w:rFonts w:ascii="Arial" w:cs="Arial" w:eastAsia="Arial" w:hAnsi="Arial"/>
                <w:sz w:val="18"/>
                <w:szCs w:val="18"/>
                <w:color w:val="auto"/>
              </w:rPr>
              <w:t>September 30, 2016</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1020" w:type="dxa"/>
            <w:vAlign w:val="bottom"/>
            <w:gridSpan w:val="2"/>
          </w:tcPr>
          <w:p>
            <w:pPr>
              <w:spacing w:after="0"/>
              <w:rPr>
                <w:sz w:val="20"/>
                <w:szCs w:val="20"/>
                <w:color w:val="auto"/>
              </w:rPr>
            </w:pPr>
            <w:r>
              <w:rPr>
                <w:rFonts w:ascii="Arial" w:cs="Arial" w:eastAsia="Arial" w:hAnsi="Arial"/>
                <w:sz w:val="18"/>
                <w:szCs w:val="18"/>
                <w:color w:val="auto"/>
              </w:rPr>
              <w:t>4.2**</w:t>
            </w:r>
          </w:p>
        </w:tc>
        <w:tc>
          <w:tcPr>
            <w:tcW w:w="5400" w:type="dxa"/>
            <w:vAlign w:val="bottom"/>
            <w:gridSpan w:val="28"/>
          </w:tcPr>
          <w:p>
            <w:pPr>
              <w:spacing w:after="0"/>
              <w:rPr>
                <w:rFonts w:ascii="Arial" w:cs="Arial" w:eastAsia="Arial" w:hAnsi="Arial"/>
                <w:sz w:val="18"/>
                <w:szCs w:val="18"/>
                <w:color w:val="0000EE"/>
              </w:rPr>
            </w:pPr>
            <w:hyperlink w:anchor="page100">
              <w:r>
                <w:rPr>
                  <w:rFonts w:ascii="Arial" w:cs="Arial" w:eastAsia="Arial" w:hAnsi="Arial"/>
                  <w:sz w:val="18"/>
                  <w:szCs w:val="18"/>
                  <w:color w:val="0000EE"/>
                </w:rPr>
                <w:t>Description of Company’s Securities</w:t>
              </w:r>
            </w:hyperlink>
          </w:p>
        </w:tc>
        <w:tc>
          <w:tcPr>
            <w:tcW w:w="9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020" w:type="dxa"/>
            <w:vAlign w:val="bottom"/>
            <w:gridSpan w:val="2"/>
          </w:tcPr>
          <w:p>
            <w:pPr>
              <w:spacing w:after="0" w:line="20" w:lineRule="exact"/>
              <w:rPr>
                <w:sz w:val="1"/>
                <w:szCs w:val="1"/>
                <w:color w:val="auto"/>
              </w:rPr>
            </w:pPr>
          </w:p>
        </w:tc>
        <w:tc>
          <w:tcPr>
            <w:tcW w:w="960" w:type="dxa"/>
            <w:vAlign w:val="bottom"/>
            <w:gridSpan w:val="3"/>
            <w:shd w:val="clear" w:color="auto" w:fill="0000EE"/>
          </w:tcPr>
          <w:p>
            <w:pPr>
              <w:spacing w:after="0" w:line="20" w:lineRule="exact"/>
              <w:rPr>
                <w:sz w:val="1"/>
                <w:szCs w:val="1"/>
                <w:color w:val="auto"/>
              </w:rPr>
            </w:pPr>
          </w:p>
        </w:tc>
        <w:tc>
          <w:tcPr>
            <w:tcW w:w="460" w:type="dxa"/>
            <w:vAlign w:val="bottom"/>
            <w:gridSpan w:val="2"/>
            <w:shd w:val="clear" w:color="auto" w:fill="0000EE"/>
          </w:tcPr>
          <w:p>
            <w:pPr>
              <w:spacing w:after="0" w:line="20" w:lineRule="exact"/>
              <w:rPr>
                <w:sz w:val="1"/>
                <w:szCs w:val="1"/>
                <w:color w:val="auto"/>
              </w:rPr>
            </w:pPr>
          </w:p>
        </w:tc>
        <w:tc>
          <w:tcPr>
            <w:tcW w:w="400" w:type="dxa"/>
            <w:vAlign w:val="bottom"/>
            <w:tcBorders>
              <w:right w:val="single" w:sz="8" w:color="0000EE"/>
            </w:tcBorders>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40" w:type="dxa"/>
            <w:vAlign w:val="bottom"/>
            <w:gridSpan w:val="5"/>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8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5"/>
        </w:trPr>
        <w:tc>
          <w:tcPr>
            <w:tcW w:w="1020" w:type="dxa"/>
            <w:vAlign w:val="bottom"/>
            <w:gridSpan w:val="2"/>
          </w:tcPr>
          <w:p>
            <w:pPr>
              <w:spacing w:after="0"/>
              <w:rPr>
                <w:sz w:val="20"/>
                <w:szCs w:val="20"/>
                <w:color w:val="auto"/>
              </w:rPr>
            </w:pPr>
            <w:r>
              <w:rPr>
                <w:rFonts w:ascii="Arial" w:cs="Arial" w:eastAsia="Arial" w:hAnsi="Arial"/>
                <w:sz w:val="18"/>
                <w:szCs w:val="18"/>
                <w:color w:val="auto"/>
              </w:rPr>
              <w:t>4.3</w:t>
            </w:r>
          </w:p>
        </w:tc>
        <w:tc>
          <w:tcPr>
            <w:tcW w:w="5200" w:type="dxa"/>
            <w:vAlign w:val="bottom"/>
            <w:tcBorders>
              <w:bottom w:val="single" w:sz="8" w:color="0000EE"/>
            </w:tcBorders>
            <w:gridSpan w:val="24"/>
          </w:tcPr>
          <w:p>
            <w:pPr>
              <w:spacing w:after="0"/>
              <w:rPr>
                <w:rFonts w:ascii="Arial" w:cs="Arial" w:eastAsia="Arial" w:hAnsi="Arial"/>
                <w:sz w:val="18"/>
                <w:szCs w:val="18"/>
                <w:color w:val="0000EE"/>
                <w:w w:val="99"/>
              </w:rPr>
            </w:pPr>
            <w:hyperlink r:id="rId129">
              <w:r>
                <w:rPr>
                  <w:rFonts w:ascii="Arial" w:cs="Arial" w:eastAsia="Arial" w:hAnsi="Arial"/>
                  <w:sz w:val="18"/>
                  <w:szCs w:val="18"/>
                  <w:color w:val="0000EE"/>
                  <w:w w:val="99"/>
                </w:rPr>
                <w:t>Amended and Restated Stockholders’ Agreement, by and among</w:t>
              </w:r>
            </w:hyperlink>
          </w:p>
        </w:tc>
        <w:tc>
          <w:tcPr>
            <w:tcW w:w="200" w:type="dxa"/>
            <w:vAlign w:val="bottom"/>
            <w:gridSpan w:val="4"/>
          </w:tcPr>
          <w:p>
            <w:pPr>
              <w:spacing w:after="0"/>
              <w:rPr>
                <w:sz w:val="24"/>
                <w:szCs w:val="24"/>
                <w:color w:val="auto"/>
              </w:rPr>
            </w:pPr>
          </w:p>
        </w:tc>
        <w:tc>
          <w:tcPr>
            <w:tcW w:w="900" w:type="dxa"/>
            <w:vAlign w:val="bottom"/>
          </w:tcPr>
          <w:p>
            <w:pPr>
              <w:jc w:val="center"/>
              <w:spacing w:after="0"/>
              <w:rPr>
                <w:sz w:val="20"/>
                <w:szCs w:val="20"/>
                <w:color w:val="auto"/>
              </w:rPr>
            </w:pPr>
            <w:r>
              <w:rPr>
                <w:rFonts w:ascii="Arial" w:cs="Arial" w:eastAsia="Arial" w:hAnsi="Arial"/>
                <w:sz w:val="18"/>
                <w:szCs w:val="18"/>
                <w:color w:val="auto"/>
                <w:w w:val="99"/>
              </w:rPr>
              <w:t>10-Q</w:t>
            </w:r>
          </w:p>
        </w:tc>
        <w:tc>
          <w:tcPr>
            <w:tcW w:w="1300" w:type="dxa"/>
            <w:vAlign w:val="bottom"/>
            <w:gridSpan w:val="2"/>
            <w:vMerge w:val="restart"/>
          </w:tcPr>
          <w:p>
            <w:pPr>
              <w:jc w:val="center"/>
              <w:spacing w:after="0"/>
              <w:rPr>
                <w:sz w:val="20"/>
                <w:szCs w:val="20"/>
                <w:color w:val="auto"/>
              </w:rPr>
            </w:pPr>
            <w:r>
              <w:rPr>
                <w:rFonts w:ascii="Arial" w:cs="Arial" w:eastAsia="Arial" w:hAnsi="Arial"/>
                <w:sz w:val="18"/>
                <w:szCs w:val="18"/>
                <w:color w:val="auto"/>
                <w:w w:val="99"/>
              </w:rPr>
              <w:t>001-37924</w:t>
            </w:r>
          </w:p>
        </w:tc>
        <w:tc>
          <w:tcPr>
            <w:tcW w:w="840" w:type="dxa"/>
            <w:vAlign w:val="bottom"/>
            <w:gridSpan w:val="2"/>
          </w:tcPr>
          <w:p>
            <w:pPr>
              <w:jc w:val="center"/>
              <w:spacing w:after="0"/>
              <w:rPr>
                <w:sz w:val="20"/>
                <w:szCs w:val="20"/>
                <w:color w:val="auto"/>
              </w:rPr>
            </w:pPr>
            <w:r>
              <w:rPr>
                <w:rFonts w:ascii="Arial" w:cs="Arial" w:eastAsia="Arial" w:hAnsi="Arial"/>
                <w:sz w:val="18"/>
                <w:szCs w:val="18"/>
                <w:color w:val="auto"/>
              </w:rPr>
              <w:t>4.2</w:t>
            </w:r>
          </w:p>
        </w:tc>
        <w:tc>
          <w:tcPr>
            <w:tcW w:w="60" w:type="dxa"/>
            <w:vAlign w:val="bottom"/>
          </w:tcPr>
          <w:p>
            <w:pPr>
              <w:spacing w:after="0"/>
              <w:rPr>
                <w:sz w:val="24"/>
                <w:szCs w:val="24"/>
                <w:color w:val="auto"/>
              </w:rPr>
            </w:pPr>
          </w:p>
        </w:tc>
        <w:tc>
          <w:tcPr>
            <w:tcW w:w="1880" w:type="dxa"/>
            <w:vAlign w:val="bottom"/>
          </w:tcPr>
          <w:p>
            <w:pPr>
              <w:jc w:val="center"/>
              <w:spacing w:after="0"/>
              <w:rPr>
                <w:sz w:val="20"/>
                <w:szCs w:val="20"/>
                <w:color w:val="auto"/>
              </w:rPr>
            </w:pPr>
            <w:r>
              <w:rPr>
                <w:rFonts w:ascii="Arial" w:cs="Arial" w:eastAsia="Arial" w:hAnsi="Arial"/>
                <w:sz w:val="18"/>
                <w:szCs w:val="18"/>
                <w:color w:val="auto"/>
                <w:w w:val="99"/>
              </w:rPr>
              <w:t>December 12, 2016</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8"/>
        </w:trPr>
        <w:tc>
          <w:tcPr>
            <w:tcW w:w="80" w:type="dxa"/>
            <w:vAlign w:val="bottom"/>
          </w:tcPr>
          <w:p>
            <w:pPr>
              <w:spacing w:after="0"/>
              <w:rPr>
                <w:sz w:val="7"/>
                <w:szCs w:val="7"/>
                <w:color w:val="auto"/>
              </w:rPr>
            </w:pPr>
          </w:p>
        </w:tc>
        <w:tc>
          <w:tcPr>
            <w:tcW w:w="940" w:type="dxa"/>
            <w:vAlign w:val="bottom"/>
          </w:tcPr>
          <w:p>
            <w:pPr>
              <w:spacing w:after="0"/>
              <w:rPr>
                <w:sz w:val="7"/>
                <w:szCs w:val="7"/>
                <w:color w:val="auto"/>
              </w:rPr>
            </w:pPr>
          </w:p>
        </w:tc>
        <w:tc>
          <w:tcPr>
            <w:tcW w:w="5080" w:type="dxa"/>
            <w:vAlign w:val="bottom"/>
            <w:gridSpan w:val="20"/>
            <w:vMerge w:val="restart"/>
          </w:tcPr>
          <w:p>
            <w:pPr>
              <w:spacing w:after="0" w:line="182" w:lineRule="exact"/>
              <w:rPr>
                <w:rFonts w:ascii="Arial" w:cs="Arial" w:eastAsia="Arial" w:hAnsi="Arial"/>
                <w:sz w:val="18"/>
                <w:szCs w:val="18"/>
                <w:color w:val="0000EE"/>
                <w:w w:val="99"/>
              </w:rPr>
            </w:pPr>
            <w:hyperlink r:id="rId129">
              <w:r>
                <w:rPr>
                  <w:rFonts w:ascii="Arial" w:cs="Arial" w:eastAsia="Arial" w:hAnsi="Arial"/>
                  <w:sz w:val="18"/>
                  <w:szCs w:val="18"/>
                  <w:color w:val="0000EE"/>
                  <w:w w:val="99"/>
                </w:rPr>
                <w:t>the Registrant, Silver Lake Sumeru, Iconiq, Therese Tucker and</w:t>
              </w:r>
            </w:hyperlink>
          </w:p>
        </w:tc>
        <w:tc>
          <w:tcPr>
            <w:tcW w:w="320" w:type="dxa"/>
            <w:vAlign w:val="bottom"/>
            <w:gridSpan w:val="8"/>
            <w:vMerge w:val="restart"/>
          </w:tcPr>
          <w:p>
            <w:pPr>
              <w:spacing w:after="0"/>
              <w:rPr>
                <w:sz w:val="7"/>
                <w:szCs w:val="7"/>
                <w:color w:val="auto"/>
              </w:rPr>
            </w:pPr>
          </w:p>
        </w:tc>
        <w:tc>
          <w:tcPr>
            <w:tcW w:w="900" w:type="dxa"/>
            <w:vAlign w:val="bottom"/>
          </w:tcPr>
          <w:p>
            <w:pPr>
              <w:spacing w:after="0"/>
              <w:rPr>
                <w:sz w:val="7"/>
                <w:szCs w:val="7"/>
                <w:color w:val="auto"/>
              </w:rPr>
            </w:pPr>
          </w:p>
        </w:tc>
        <w:tc>
          <w:tcPr>
            <w:tcW w:w="1300" w:type="dxa"/>
            <w:vAlign w:val="bottom"/>
            <w:gridSpan w:val="2"/>
            <w:vMerge w:val="continue"/>
          </w:tcPr>
          <w:p>
            <w:pPr>
              <w:spacing w:after="0"/>
              <w:rPr>
                <w:sz w:val="7"/>
                <w:szCs w:val="7"/>
                <w:color w:val="auto"/>
              </w:rPr>
            </w:pPr>
          </w:p>
        </w:tc>
        <w:tc>
          <w:tcPr>
            <w:tcW w:w="60" w:type="dxa"/>
            <w:vAlign w:val="bottom"/>
          </w:tcPr>
          <w:p>
            <w:pPr>
              <w:spacing w:after="0"/>
              <w:rPr>
                <w:sz w:val="7"/>
                <w:szCs w:val="7"/>
                <w:color w:val="auto"/>
              </w:rPr>
            </w:pPr>
          </w:p>
        </w:tc>
        <w:tc>
          <w:tcPr>
            <w:tcW w:w="780" w:type="dxa"/>
            <w:vAlign w:val="bottom"/>
          </w:tcPr>
          <w:p>
            <w:pPr>
              <w:spacing w:after="0"/>
              <w:rPr>
                <w:sz w:val="7"/>
                <w:szCs w:val="7"/>
                <w:color w:val="auto"/>
              </w:rPr>
            </w:pPr>
          </w:p>
        </w:tc>
        <w:tc>
          <w:tcPr>
            <w:tcW w:w="60" w:type="dxa"/>
            <w:vAlign w:val="bottom"/>
          </w:tcPr>
          <w:p>
            <w:pPr>
              <w:spacing w:after="0"/>
              <w:rPr>
                <w:sz w:val="7"/>
                <w:szCs w:val="7"/>
                <w:color w:val="auto"/>
              </w:rPr>
            </w:pPr>
          </w:p>
        </w:tc>
        <w:tc>
          <w:tcPr>
            <w:tcW w:w="18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00"/>
        </w:trPr>
        <w:tc>
          <w:tcPr>
            <w:tcW w:w="80" w:type="dxa"/>
            <w:vAlign w:val="bottom"/>
          </w:tcPr>
          <w:p>
            <w:pPr>
              <w:spacing w:after="0"/>
              <w:rPr>
                <w:sz w:val="8"/>
                <w:szCs w:val="8"/>
                <w:color w:val="auto"/>
              </w:rPr>
            </w:pPr>
          </w:p>
        </w:tc>
        <w:tc>
          <w:tcPr>
            <w:tcW w:w="940" w:type="dxa"/>
            <w:vAlign w:val="bottom"/>
          </w:tcPr>
          <w:p>
            <w:pPr>
              <w:spacing w:after="0"/>
              <w:rPr>
                <w:sz w:val="8"/>
                <w:szCs w:val="8"/>
                <w:color w:val="auto"/>
              </w:rPr>
            </w:pPr>
          </w:p>
        </w:tc>
        <w:tc>
          <w:tcPr>
            <w:tcW w:w="5080" w:type="dxa"/>
            <w:vAlign w:val="bottom"/>
            <w:tcBorders>
              <w:bottom w:val="single" w:sz="8" w:color="0000EE"/>
            </w:tcBorders>
            <w:gridSpan w:val="20"/>
            <w:vMerge w:val="continue"/>
          </w:tcPr>
          <w:p>
            <w:pPr>
              <w:spacing w:after="0"/>
              <w:rPr>
                <w:sz w:val="8"/>
                <w:szCs w:val="8"/>
                <w:color w:val="auto"/>
              </w:rPr>
            </w:pPr>
          </w:p>
        </w:tc>
        <w:tc>
          <w:tcPr>
            <w:tcW w:w="320" w:type="dxa"/>
            <w:vAlign w:val="bottom"/>
            <w:gridSpan w:val="8"/>
            <w:vMerge w:val="continue"/>
          </w:tcPr>
          <w:p>
            <w:pPr>
              <w:spacing w:after="0"/>
              <w:rPr>
                <w:sz w:val="8"/>
                <w:szCs w:val="8"/>
                <w:color w:val="auto"/>
              </w:rPr>
            </w:pPr>
          </w:p>
        </w:tc>
        <w:tc>
          <w:tcPr>
            <w:tcW w:w="900" w:type="dxa"/>
            <w:vAlign w:val="bottom"/>
          </w:tcPr>
          <w:p>
            <w:pPr>
              <w:spacing w:after="0"/>
              <w:rPr>
                <w:sz w:val="8"/>
                <w:szCs w:val="8"/>
                <w:color w:val="auto"/>
              </w:rPr>
            </w:pPr>
          </w:p>
        </w:tc>
        <w:tc>
          <w:tcPr>
            <w:tcW w:w="80" w:type="dxa"/>
            <w:vAlign w:val="bottom"/>
          </w:tcPr>
          <w:p>
            <w:pPr>
              <w:spacing w:after="0"/>
              <w:rPr>
                <w:sz w:val="8"/>
                <w:szCs w:val="8"/>
                <w:color w:val="auto"/>
              </w:rPr>
            </w:pPr>
          </w:p>
        </w:tc>
        <w:tc>
          <w:tcPr>
            <w:tcW w:w="1220" w:type="dxa"/>
            <w:vAlign w:val="bottom"/>
          </w:tcPr>
          <w:p>
            <w:pPr>
              <w:spacing w:after="0"/>
              <w:rPr>
                <w:sz w:val="8"/>
                <w:szCs w:val="8"/>
                <w:color w:val="auto"/>
              </w:rPr>
            </w:pPr>
          </w:p>
        </w:tc>
        <w:tc>
          <w:tcPr>
            <w:tcW w:w="60" w:type="dxa"/>
            <w:vAlign w:val="bottom"/>
          </w:tcPr>
          <w:p>
            <w:pPr>
              <w:spacing w:after="0"/>
              <w:rPr>
                <w:sz w:val="8"/>
                <w:szCs w:val="8"/>
                <w:color w:val="auto"/>
              </w:rPr>
            </w:pPr>
          </w:p>
        </w:tc>
        <w:tc>
          <w:tcPr>
            <w:tcW w:w="780" w:type="dxa"/>
            <w:vAlign w:val="bottom"/>
          </w:tcPr>
          <w:p>
            <w:pPr>
              <w:spacing w:after="0"/>
              <w:rPr>
                <w:sz w:val="8"/>
                <w:szCs w:val="8"/>
                <w:color w:val="auto"/>
              </w:rPr>
            </w:pPr>
          </w:p>
        </w:tc>
        <w:tc>
          <w:tcPr>
            <w:tcW w:w="60" w:type="dxa"/>
            <w:vAlign w:val="bottom"/>
          </w:tcPr>
          <w:p>
            <w:pPr>
              <w:spacing w:after="0"/>
              <w:rPr>
                <w:sz w:val="8"/>
                <w:szCs w:val="8"/>
                <w:color w:val="auto"/>
              </w:rPr>
            </w:pPr>
          </w:p>
        </w:tc>
        <w:tc>
          <w:tcPr>
            <w:tcW w:w="18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83"/>
        </w:trPr>
        <w:tc>
          <w:tcPr>
            <w:tcW w:w="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5400" w:type="dxa"/>
            <w:vAlign w:val="bottom"/>
            <w:gridSpan w:val="28"/>
          </w:tcPr>
          <w:p>
            <w:pPr>
              <w:spacing w:after="0" w:line="182" w:lineRule="exact"/>
              <w:rPr>
                <w:rFonts w:ascii="Arial" w:cs="Arial" w:eastAsia="Arial" w:hAnsi="Arial"/>
                <w:sz w:val="18"/>
                <w:szCs w:val="18"/>
                <w:color w:val="0000EE"/>
              </w:rPr>
            </w:pPr>
            <w:hyperlink r:id="rId129">
              <w:r>
                <w:rPr>
                  <w:rFonts w:ascii="Arial" w:cs="Arial" w:eastAsia="Arial" w:hAnsi="Arial"/>
                  <w:sz w:val="18"/>
                  <w:szCs w:val="18"/>
                  <w:color w:val="0000EE"/>
                </w:rPr>
                <w:t>Mario Spanicciati.</w:t>
              </w:r>
            </w:hyperlink>
          </w:p>
        </w:tc>
        <w:tc>
          <w:tcPr>
            <w:tcW w:w="9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8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020" w:type="dxa"/>
            <w:vAlign w:val="bottom"/>
            <w:gridSpan w:val="2"/>
          </w:tcPr>
          <w:p>
            <w:pPr>
              <w:spacing w:after="0" w:line="20" w:lineRule="exact"/>
              <w:rPr>
                <w:sz w:val="1"/>
                <w:szCs w:val="1"/>
                <w:color w:val="auto"/>
              </w:rPr>
            </w:pPr>
          </w:p>
        </w:tc>
        <w:tc>
          <w:tcPr>
            <w:tcW w:w="960" w:type="dxa"/>
            <w:vAlign w:val="bottom"/>
            <w:gridSpan w:val="3"/>
            <w:shd w:val="clear" w:color="auto" w:fill="0000EE"/>
          </w:tcPr>
          <w:p>
            <w:pPr>
              <w:spacing w:after="0" w:line="20" w:lineRule="exact"/>
              <w:rPr>
                <w:sz w:val="1"/>
                <w:szCs w:val="1"/>
                <w:color w:val="auto"/>
              </w:rPr>
            </w:pPr>
          </w:p>
        </w:tc>
        <w:tc>
          <w:tcPr>
            <w:tcW w:w="460" w:type="dxa"/>
            <w:vAlign w:val="bottom"/>
            <w:gridSpan w:val="2"/>
            <w:shd w:val="clear" w:color="auto" w:fill="0000EE"/>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1840" w:type="dxa"/>
            <w:vAlign w:val="bottom"/>
            <w:gridSpan w:val="5"/>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4"/>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300" w:type="dxa"/>
            <w:vAlign w:val="bottom"/>
            <w:gridSpan w:val="2"/>
          </w:tcPr>
          <w:p>
            <w:pPr>
              <w:spacing w:after="0" w:line="20" w:lineRule="exact"/>
              <w:rPr>
                <w:sz w:val="1"/>
                <w:szCs w:val="1"/>
                <w:color w:val="auto"/>
              </w:rPr>
            </w:pPr>
          </w:p>
        </w:tc>
        <w:tc>
          <w:tcPr>
            <w:tcW w:w="8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1020" w:type="dxa"/>
            <w:vAlign w:val="bottom"/>
            <w:gridSpan w:val="2"/>
          </w:tcPr>
          <w:p>
            <w:pPr>
              <w:spacing w:after="0"/>
              <w:rPr>
                <w:sz w:val="20"/>
                <w:szCs w:val="20"/>
                <w:color w:val="auto"/>
              </w:rPr>
            </w:pPr>
            <w:r>
              <w:rPr>
                <w:rFonts w:ascii="Arial" w:cs="Arial" w:eastAsia="Arial" w:hAnsi="Arial"/>
                <w:sz w:val="18"/>
                <w:szCs w:val="18"/>
                <w:color w:val="auto"/>
              </w:rPr>
              <w:t>4.4</w:t>
            </w:r>
          </w:p>
        </w:tc>
        <w:tc>
          <w:tcPr>
            <w:tcW w:w="5060" w:type="dxa"/>
            <w:vAlign w:val="bottom"/>
            <w:tcBorders>
              <w:bottom w:val="single" w:sz="8" w:color="0000EE"/>
            </w:tcBorders>
            <w:gridSpan w:val="19"/>
          </w:tcPr>
          <w:p>
            <w:pPr>
              <w:spacing w:after="0"/>
              <w:rPr>
                <w:rFonts w:ascii="Arial" w:cs="Arial" w:eastAsia="Arial" w:hAnsi="Arial"/>
                <w:sz w:val="18"/>
                <w:szCs w:val="18"/>
                <w:color w:val="0000EE"/>
              </w:rPr>
            </w:pPr>
            <w:hyperlink r:id="rId130">
              <w:r>
                <w:rPr>
                  <w:rFonts w:ascii="Arial" w:cs="Arial" w:eastAsia="Arial" w:hAnsi="Arial"/>
                  <w:sz w:val="18"/>
                  <w:szCs w:val="18"/>
                  <w:color w:val="0000EE"/>
                </w:rPr>
                <w:t>Amended and Restated Registration Rights Agreement, by and</w:t>
              </w:r>
            </w:hyperlink>
          </w:p>
        </w:tc>
        <w:tc>
          <w:tcPr>
            <w:tcW w:w="340" w:type="dxa"/>
            <w:vAlign w:val="bottom"/>
            <w:gridSpan w:val="9"/>
          </w:tcPr>
          <w:p>
            <w:pPr>
              <w:spacing w:after="0"/>
              <w:rPr>
                <w:sz w:val="24"/>
                <w:szCs w:val="24"/>
                <w:color w:val="auto"/>
              </w:rPr>
            </w:pPr>
          </w:p>
        </w:tc>
        <w:tc>
          <w:tcPr>
            <w:tcW w:w="900" w:type="dxa"/>
            <w:vAlign w:val="bottom"/>
          </w:tcPr>
          <w:p>
            <w:pPr>
              <w:jc w:val="center"/>
              <w:spacing w:after="0"/>
              <w:rPr>
                <w:sz w:val="20"/>
                <w:szCs w:val="20"/>
                <w:color w:val="auto"/>
              </w:rPr>
            </w:pPr>
            <w:r>
              <w:rPr>
                <w:rFonts w:ascii="Arial" w:cs="Arial" w:eastAsia="Arial" w:hAnsi="Arial"/>
                <w:sz w:val="18"/>
                <w:szCs w:val="18"/>
                <w:color w:val="auto"/>
                <w:w w:val="99"/>
              </w:rPr>
              <w:t>10-Q</w:t>
            </w:r>
          </w:p>
        </w:tc>
        <w:tc>
          <w:tcPr>
            <w:tcW w:w="1300" w:type="dxa"/>
            <w:vAlign w:val="bottom"/>
            <w:gridSpan w:val="2"/>
          </w:tcPr>
          <w:p>
            <w:pPr>
              <w:jc w:val="center"/>
              <w:spacing w:after="0"/>
              <w:rPr>
                <w:sz w:val="20"/>
                <w:szCs w:val="20"/>
                <w:color w:val="auto"/>
              </w:rPr>
            </w:pPr>
            <w:r>
              <w:rPr>
                <w:rFonts w:ascii="Arial" w:cs="Arial" w:eastAsia="Arial" w:hAnsi="Arial"/>
                <w:sz w:val="18"/>
                <w:szCs w:val="18"/>
                <w:color w:val="auto"/>
                <w:w w:val="99"/>
              </w:rPr>
              <w:t>001-37924</w:t>
            </w:r>
          </w:p>
        </w:tc>
        <w:tc>
          <w:tcPr>
            <w:tcW w:w="840" w:type="dxa"/>
            <w:vAlign w:val="bottom"/>
            <w:gridSpan w:val="2"/>
          </w:tcPr>
          <w:p>
            <w:pPr>
              <w:jc w:val="center"/>
              <w:spacing w:after="0"/>
              <w:rPr>
                <w:sz w:val="20"/>
                <w:szCs w:val="20"/>
                <w:color w:val="auto"/>
              </w:rPr>
            </w:pPr>
            <w:r>
              <w:rPr>
                <w:rFonts w:ascii="Arial" w:cs="Arial" w:eastAsia="Arial" w:hAnsi="Arial"/>
                <w:sz w:val="18"/>
                <w:szCs w:val="18"/>
                <w:color w:val="auto"/>
              </w:rPr>
              <w:t>4.3</w:t>
            </w:r>
          </w:p>
        </w:tc>
        <w:tc>
          <w:tcPr>
            <w:tcW w:w="60" w:type="dxa"/>
            <w:vAlign w:val="bottom"/>
          </w:tcPr>
          <w:p>
            <w:pPr>
              <w:spacing w:after="0"/>
              <w:rPr>
                <w:sz w:val="24"/>
                <w:szCs w:val="24"/>
                <w:color w:val="auto"/>
              </w:rPr>
            </w:pPr>
          </w:p>
        </w:tc>
        <w:tc>
          <w:tcPr>
            <w:tcW w:w="1880" w:type="dxa"/>
            <w:vAlign w:val="bottom"/>
          </w:tcPr>
          <w:p>
            <w:pPr>
              <w:jc w:val="center"/>
              <w:spacing w:after="0"/>
              <w:rPr>
                <w:sz w:val="20"/>
                <w:szCs w:val="20"/>
                <w:color w:val="auto"/>
              </w:rPr>
            </w:pPr>
            <w:r>
              <w:rPr>
                <w:rFonts w:ascii="Arial" w:cs="Arial" w:eastAsia="Arial" w:hAnsi="Arial"/>
                <w:sz w:val="18"/>
                <w:szCs w:val="18"/>
                <w:color w:val="auto"/>
                <w:w w:val="99"/>
              </w:rPr>
              <w:t>December 12, 2016</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3"/>
        </w:trPr>
        <w:tc>
          <w:tcPr>
            <w:tcW w:w="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5400" w:type="dxa"/>
            <w:vAlign w:val="bottom"/>
            <w:gridSpan w:val="28"/>
          </w:tcPr>
          <w:p>
            <w:pPr>
              <w:spacing w:after="0" w:line="182" w:lineRule="exact"/>
              <w:rPr>
                <w:rFonts w:ascii="Arial" w:cs="Arial" w:eastAsia="Arial" w:hAnsi="Arial"/>
                <w:sz w:val="18"/>
                <w:szCs w:val="18"/>
                <w:color w:val="0000EE"/>
              </w:rPr>
            </w:pPr>
            <w:hyperlink r:id="rId130">
              <w:r>
                <w:rPr>
                  <w:rFonts w:ascii="Arial" w:cs="Arial" w:eastAsia="Arial" w:hAnsi="Arial"/>
                  <w:sz w:val="18"/>
                  <w:szCs w:val="18"/>
                  <w:color w:val="0000EE"/>
                </w:rPr>
                <w:t>among the Registrant, Silver Lake Sumeru, Iconiq, Therese Tucker</w:t>
              </w:r>
            </w:hyperlink>
          </w:p>
        </w:tc>
        <w:tc>
          <w:tcPr>
            <w:tcW w:w="9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8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820" w:type="dxa"/>
            <w:vAlign w:val="bottom"/>
            <w:tcBorders>
              <w:top w:val="single" w:sz="8" w:color="0000EE"/>
              <w:bottom w:val="single" w:sz="8" w:color="0000EE"/>
            </w:tcBorders>
            <w:gridSpan w:val="6"/>
          </w:tcPr>
          <w:p>
            <w:pPr>
              <w:spacing w:after="0" w:line="182" w:lineRule="exact"/>
              <w:rPr>
                <w:rFonts w:ascii="Arial" w:cs="Arial" w:eastAsia="Arial" w:hAnsi="Arial"/>
                <w:sz w:val="18"/>
                <w:szCs w:val="18"/>
                <w:color w:val="0000EE"/>
              </w:rPr>
            </w:pPr>
            <w:hyperlink r:id="rId130">
              <w:r>
                <w:rPr>
                  <w:rFonts w:ascii="Arial" w:cs="Arial" w:eastAsia="Arial" w:hAnsi="Arial"/>
                  <w:sz w:val="18"/>
                  <w:szCs w:val="18"/>
                  <w:color w:val="0000EE"/>
                </w:rPr>
                <w:t>and Mario Spanicciati.</w:t>
              </w:r>
            </w:hyperlink>
          </w:p>
        </w:tc>
        <w:tc>
          <w:tcPr>
            <w:tcW w:w="3500" w:type="dxa"/>
            <w:vAlign w:val="bottom"/>
            <w:tcBorders>
              <w:top w:val="single" w:sz="8" w:color="0000EE"/>
            </w:tcBorders>
            <w:gridSpan w:val="20"/>
          </w:tcPr>
          <w:p>
            <w:pPr>
              <w:spacing w:after="0"/>
              <w:rPr>
                <w:sz w:val="15"/>
                <w:szCs w:val="15"/>
                <w:color w:val="auto"/>
              </w:rPr>
            </w:pPr>
          </w:p>
        </w:tc>
        <w:tc>
          <w:tcPr>
            <w:tcW w:w="80" w:type="dxa"/>
            <w:vAlign w:val="bottom"/>
            <w:gridSpan w:val="2"/>
          </w:tcPr>
          <w:p>
            <w:pPr>
              <w:spacing w:after="0"/>
              <w:rPr>
                <w:sz w:val="15"/>
                <w:szCs w:val="15"/>
                <w:color w:val="auto"/>
              </w:rPr>
            </w:pPr>
          </w:p>
        </w:tc>
        <w:tc>
          <w:tcPr>
            <w:tcW w:w="9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8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4"/>
        </w:trPr>
        <w:tc>
          <w:tcPr>
            <w:tcW w:w="1020" w:type="dxa"/>
            <w:vAlign w:val="bottom"/>
            <w:gridSpan w:val="2"/>
          </w:tcPr>
          <w:p>
            <w:pPr>
              <w:spacing w:after="0"/>
              <w:rPr>
                <w:sz w:val="20"/>
                <w:szCs w:val="20"/>
                <w:color w:val="auto"/>
              </w:rPr>
            </w:pPr>
            <w:r>
              <w:rPr>
                <w:rFonts w:ascii="Arial" w:cs="Arial" w:eastAsia="Arial" w:hAnsi="Arial"/>
                <w:sz w:val="18"/>
                <w:szCs w:val="18"/>
                <w:color w:val="auto"/>
              </w:rPr>
              <w:t>4.5</w:t>
            </w:r>
          </w:p>
        </w:tc>
        <w:tc>
          <w:tcPr>
            <w:tcW w:w="5400" w:type="dxa"/>
            <w:vAlign w:val="bottom"/>
            <w:gridSpan w:val="28"/>
          </w:tcPr>
          <w:p>
            <w:pPr>
              <w:spacing w:after="0"/>
              <w:rPr>
                <w:rFonts w:ascii="Arial" w:cs="Arial" w:eastAsia="Arial" w:hAnsi="Arial"/>
                <w:sz w:val="18"/>
                <w:szCs w:val="18"/>
                <w:color w:val="0000EE"/>
              </w:rPr>
            </w:pPr>
            <w:hyperlink r:id="rId131">
              <w:r>
                <w:rPr>
                  <w:rFonts w:ascii="Arial" w:cs="Arial" w:eastAsia="Arial" w:hAnsi="Arial"/>
                  <w:sz w:val="18"/>
                  <w:szCs w:val="18"/>
                  <w:color w:val="0000EE"/>
                </w:rPr>
                <w:t>Subscription Agreement, by and between the Company and Iconiq,</w:t>
              </w:r>
            </w:hyperlink>
          </w:p>
        </w:tc>
        <w:tc>
          <w:tcPr>
            <w:tcW w:w="900" w:type="dxa"/>
            <w:vAlign w:val="bottom"/>
          </w:tcPr>
          <w:p>
            <w:pPr>
              <w:jc w:val="center"/>
              <w:spacing w:after="0"/>
              <w:rPr>
                <w:sz w:val="20"/>
                <w:szCs w:val="20"/>
                <w:color w:val="auto"/>
              </w:rPr>
            </w:pPr>
            <w:r>
              <w:rPr>
                <w:rFonts w:ascii="Arial" w:cs="Arial" w:eastAsia="Arial" w:hAnsi="Arial"/>
                <w:sz w:val="18"/>
                <w:szCs w:val="18"/>
                <w:color w:val="auto"/>
                <w:w w:val="99"/>
              </w:rPr>
              <w:t>S-1</w:t>
            </w:r>
          </w:p>
        </w:tc>
        <w:tc>
          <w:tcPr>
            <w:tcW w:w="1300" w:type="dxa"/>
            <w:vAlign w:val="bottom"/>
            <w:gridSpan w:val="2"/>
          </w:tcPr>
          <w:p>
            <w:pPr>
              <w:jc w:val="center"/>
              <w:spacing w:after="0"/>
              <w:rPr>
                <w:sz w:val="20"/>
                <w:szCs w:val="20"/>
                <w:color w:val="auto"/>
              </w:rPr>
            </w:pPr>
            <w:r>
              <w:rPr>
                <w:rFonts w:ascii="Arial" w:cs="Arial" w:eastAsia="Arial" w:hAnsi="Arial"/>
                <w:sz w:val="18"/>
                <w:szCs w:val="18"/>
                <w:color w:val="auto"/>
                <w:w w:val="99"/>
              </w:rPr>
              <w:t>333-213899</w:t>
            </w:r>
          </w:p>
        </w:tc>
        <w:tc>
          <w:tcPr>
            <w:tcW w:w="840" w:type="dxa"/>
            <w:vAlign w:val="bottom"/>
            <w:gridSpan w:val="2"/>
          </w:tcPr>
          <w:p>
            <w:pPr>
              <w:jc w:val="center"/>
              <w:spacing w:after="0"/>
              <w:rPr>
                <w:sz w:val="20"/>
                <w:szCs w:val="20"/>
                <w:color w:val="auto"/>
              </w:rPr>
            </w:pPr>
            <w:r>
              <w:rPr>
                <w:rFonts w:ascii="Arial" w:cs="Arial" w:eastAsia="Arial" w:hAnsi="Arial"/>
                <w:sz w:val="18"/>
                <w:szCs w:val="18"/>
                <w:color w:val="auto"/>
              </w:rPr>
              <w:t>4.7</w:t>
            </w:r>
          </w:p>
        </w:tc>
        <w:tc>
          <w:tcPr>
            <w:tcW w:w="60" w:type="dxa"/>
            <w:vAlign w:val="bottom"/>
          </w:tcPr>
          <w:p>
            <w:pPr>
              <w:spacing w:after="0"/>
              <w:rPr>
                <w:sz w:val="24"/>
                <w:szCs w:val="24"/>
                <w:color w:val="auto"/>
              </w:rPr>
            </w:pPr>
          </w:p>
        </w:tc>
        <w:tc>
          <w:tcPr>
            <w:tcW w:w="1880" w:type="dxa"/>
            <w:vAlign w:val="bottom"/>
          </w:tcPr>
          <w:p>
            <w:pPr>
              <w:jc w:val="center"/>
              <w:spacing w:after="0"/>
              <w:rPr>
                <w:sz w:val="20"/>
                <w:szCs w:val="20"/>
                <w:color w:val="auto"/>
              </w:rPr>
            </w:pPr>
            <w:r>
              <w:rPr>
                <w:rFonts w:ascii="Arial" w:cs="Arial" w:eastAsia="Arial" w:hAnsi="Arial"/>
                <w:sz w:val="18"/>
                <w:szCs w:val="18"/>
                <w:color w:val="auto"/>
              </w:rPr>
              <w:t>September 30, 2016</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3"/>
        </w:trPr>
        <w:tc>
          <w:tcPr>
            <w:tcW w:w="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5340" w:type="dxa"/>
            <w:vAlign w:val="bottom"/>
            <w:tcBorders>
              <w:top w:val="single" w:sz="8" w:color="0000EE"/>
            </w:tcBorders>
            <w:gridSpan w:val="27"/>
          </w:tcPr>
          <w:p>
            <w:pPr>
              <w:spacing w:after="0" w:line="182" w:lineRule="exact"/>
              <w:rPr>
                <w:rFonts w:ascii="Arial" w:cs="Arial" w:eastAsia="Arial" w:hAnsi="Arial"/>
                <w:sz w:val="18"/>
                <w:szCs w:val="18"/>
                <w:color w:val="0000EE"/>
              </w:rPr>
            </w:pPr>
            <w:hyperlink r:id="rId131">
              <w:r>
                <w:rPr>
                  <w:rFonts w:ascii="Arial" w:cs="Arial" w:eastAsia="Arial" w:hAnsi="Arial"/>
                  <w:sz w:val="18"/>
                  <w:szCs w:val="18"/>
                  <w:color w:val="0000EE"/>
                </w:rPr>
                <w:t>dated as of October 21, 2014.</w:t>
              </w:r>
            </w:hyperlink>
          </w:p>
        </w:tc>
        <w:tc>
          <w:tcPr>
            <w:tcW w:w="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8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4"/>
        </w:trPr>
        <w:tc>
          <w:tcPr>
            <w:tcW w:w="1020" w:type="dxa"/>
            <w:vAlign w:val="bottom"/>
            <w:gridSpan w:val="2"/>
          </w:tcPr>
          <w:p>
            <w:pPr>
              <w:spacing w:after="0"/>
              <w:rPr>
                <w:sz w:val="20"/>
                <w:szCs w:val="20"/>
                <w:color w:val="auto"/>
              </w:rPr>
            </w:pPr>
            <w:r>
              <w:rPr>
                <w:rFonts w:ascii="Arial" w:cs="Arial" w:eastAsia="Arial" w:hAnsi="Arial"/>
                <w:sz w:val="18"/>
                <w:szCs w:val="18"/>
                <w:color w:val="auto"/>
              </w:rPr>
              <w:t>4.6</w:t>
            </w:r>
          </w:p>
        </w:tc>
        <w:tc>
          <w:tcPr>
            <w:tcW w:w="2060" w:type="dxa"/>
            <w:vAlign w:val="bottom"/>
            <w:tcBorders>
              <w:top w:val="single" w:sz="8" w:color="0000EE"/>
              <w:bottom w:val="single" w:sz="8" w:color="0000EE"/>
            </w:tcBorders>
            <w:gridSpan w:val="7"/>
          </w:tcPr>
          <w:p>
            <w:pPr>
              <w:spacing w:after="0"/>
              <w:rPr>
                <w:rFonts w:ascii="Arial" w:cs="Arial" w:eastAsia="Arial" w:hAnsi="Arial"/>
                <w:sz w:val="18"/>
                <w:szCs w:val="18"/>
                <w:color w:val="0000EE"/>
                <w:w w:val="99"/>
              </w:rPr>
            </w:pPr>
            <w:hyperlink r:id="rId132">
              <w:r>
                <w:rPr>
                  <w:rFonts w:ascii="Arial" w:cs="Arial" w:eastAsia="Arial" w:hAnsi="Arial"/>
                  <w:sz w:val="18"/>
                  <w:szCs w:val="18"/>
                  <w:color w:val="0000EE"/>
                  <w:w w:val="99"/>
                </w:rPr>
                <w:t>Form of Senior Indenture.</w:t>
              </w:r>
            </w:hyperlink>
          </w:p>
        </w:tc>
        <w:tc>
          <w:tcPr>
            <w:tcW w:w="320" w:type="dxa"/>
            <w:vAlign w:val="bottom"/>
            <w:tcBorders>
              <w:top w:val="single" w:sz="8" w:color="0000EE"/>
            </w:tcBorders>
          </w:tcPr>
          <w:p>
            <w:pPr>
              <w:spacing w:after="0"/>
              <w:rPr>
                <w:sz w:val="24"/>
                <w:szCs w:val="24"/>
                <w:color w:val="auto"/>
              </w:rPr>
            </w:pPr>
          </w:p>
        </w:tc>
        <w:tc>
          <w:tcPr>
            <w:tcW w:w="3020" w:type="dxa"/>
            <w:vAlign w:val="bottom"/>
            <w:gridSpan w:val="20"/>
          </w:tcPr>
          <w:p>
            <w:pPr>
              <w:spacing w:after="0"/>
              <w:rPr>
                <w:sz w:val="24"/>
                <w:szCs w:val="24"/>
                <w:color w:val="auto"/>
              </w:rPr>
            </w:pPr>
          </w:p>
        </w:tc>
        <w:tc>
          <w:tcPr>
            <w:tcW w:w="900" w:type="dxa"/>
            <w:vAlign w:val="bottom"/>
          </w:tcPr>
          <w:p>
            <w:pPr>
              <w:jc w:val="center"/>
              <w:spacing w:after="0"/>
              <w:rPr>
                <w:sz w:val="20"/>
                <w:szCs w:val="20"/>
                <w:color w:val="auto"/>
              </w:rPr>
            </w:pPr>
            <w:r>
              <w:rPr>
                <w:rFonts w:ascii="Arial" w:cs="Arial" w:eastAsia="Arial" w:hAnsi="Arial"/>
                <w:sz w:val="18"/>
                <w:szCs w:val="18"/>
                <w:color w:val="auto"/>
                <w:w w:val="99"/>
              </w:rPr>
              <w:t>S-3</w:t>
            </w:r>
          </w:p>
        </w:tc>
        <w:tc>
          <w:tcPr>
            <w:tcW w:w="1300" w:type="dxa"/>
            <w:vAlign w:val="bottom"/>
            <w:gridSpan w:val="2"/>
          </w:tcPr>
          <w:p>
            <w:pPr>
              <w:jc w:val="center"/>
              <w:spacing w:after="0"/>
              <w:rPr>
                <w:sz w:val="20"/>
                <w:szCs w:val="20"/>
                <w:color w:val="auto"/>
              </w:rPr>
            </w:pPr>
            <w:r>
              <w:rPr>
                <w:rFonts w:ascii="Arial" w:cs="Arial" w:eastAsia="Arial" w:hAnsi="Arial"/>
                <w:sz w:val="18"/>
                <w:szCs w:val="18"/>
                <w:color w:val="auto"/>
                <w:w w:val="98"/>
              </w:rPr>
              <w:t>333- 221500</w:t>
            </w:r>
          </w:p>
        </w:tc>
        <w:tc>
          <w:tcPr>
            <w:tcW w:w="840" w:type="dxa"/>
            <w:vAlign w:val="bottom"/>
            <w:gridSpan w:val="2"/>
          </w:tcPr>
          <w:p>
            <w:pPr>
              <w:jc w:val="center"/>
              <w:spacing w:after="0"/>
              <w:rPr>
                <w:sz w:val="20"/>
                <w:szCs w:val="20"/>
                <w:color w:val="auto"/>
              </w:rPr>
            </w:pPr>
            <w:r>
              <w:rPr>
                <w:rFonts w:ascii="Arial" w:cs="Arial" w:eastAsia="Arial" w:hAnsi="Arial"/>
                <w:sz w:val="18"/>
                <w:szCs w:val="18"/>
                <w:color w:val="auto"/>
              </w:rPr>
              <w:t>4.5</w:t>
            </w:r>
          </w:p>
        </w:tc>
        <w:tc>
          <w:tcPr>
            <w:tcW w:w="60" w:type="dxa"/>
            <w:vAlign w:val="bottom"/>
          </w:tcPr>
          <w:p>
            <w:pPr>
              <w:spacing w:after="0"/>
              <w:rPr>
                <w:sz w:val="24"/>
                <w:szCs w:val="24"/>
                <w:color w:val="auto"/>
              </w:rPr>
            </w:pPr>
          </w:p>
        </w:tc>
        <w:tc>
          <w:tcPr>
            <w:tcW w:w="1880" w:type="dxa"/>
            <w:vAlign w:val="bottom"/>
          </w:tcPr>
          <w:p>
            <w:pPr>
              <w:jc w:val="center"/>
              <w:spacing w:after="0"/>
              <w:rPr>
                <w:sz w:val="20"/>
                <w:szCs w:val="20"/>
                <w:color w:val="auto"/>
              </w:rPr>
            </w:pPr>
            <w:r>
              <w:rPr>
                <w:rFonts w:ascii="Arial" w:cs="Arial" w:eastAsia="Arial" w:hAnsi="Arial"/>
                <w:sz w:val="18"/>
                <w:szCs w:val="18"/>
                <w:color w:val="auto"/>
                <w:w w:val="99"/>
              </w:rPr>
              <w:t>November 13, 2017</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1020" w:type="dxa"/>
            <w:vAlign w:val="bottom"/>
            <w:gridSpan w:val="2"/>
          </w:tcPr>
          <w:p>
            <w:pPr>
              <w:spacing w:after="0"/>
              <w:rPr>
                <w:sz w:val="20"/>
                <w:szCs w:val="20"/>
                <w:color w:val="auto"/>
              </w:rPr>
            </w:pPr>
            <w:r>
              <w:rPr>
                <w:rFonts w:ascii="Arial" w:cs="Arial" w:eastAsia="Arial" w:hAnsi="Arial"/>
                <w:sz w:val="18"/>
                <w:szCs w:val="18"/>
                <w:color w:val="auto"/>
              </w:rPr>
              <w:t>4.7</w:t>
            </w:r>
          </w:p>
        </w:tc>
        <w:tc>
          <w:tcPr>
            <w:tcW w:w="5400" w:type="dxa"/>
            <w:vAlign w:val="bottom"/>
            <w:gridSpan w:val="28"/>
          </w:tcPr>
          <w:p>
            <w:pPr>
              <w:spacing w:after="0"/>
              <w:rPr>
                <w:rFonts w:ascii="Arial" w:cs="Arial" w:eastAsia="Arial" w:hAnsi="Arial"/>
                <w:sz w:val="18"/>
                <w:szCs w:val="18"/>
                <w:color w:val="0000EE"/>
              </w:rPr>
            </w:pPr>
            <w:hyperlink r:id="rId133">
              <w:r>
                <w:rPr>
                  <w:rFonts w:ascii="Arial" w:cs="Arial" w:eastAsia="Arial" w:hAnsi="Arial"/>
                  <w:sz w:val="18"/>
                  <w:szCs w:val="18"/>
                  <w:color w:val="0000EE"/>
                </w:rPr>
                <w:t>Form of Subordinated Indenture.</w:t>
              </w:r>
            </w:hyperlink>
          </w:p>
        </w:tc>
        <w:tc>
          <w:tcPr>
            <w:tcW w:w="900" w:type="dxa"/>
            <w:vAlign w:val="bottom"/>
          </w:tcPr>
          <w:p>
            <w:pPr>
              <w:jc w:val="center"/>
              <w:spacing w:after="0"/>
              <w:rPr>
                <w:sz w:val="20"/>
                <w:szCs w:val="20"/>
                <w:color w:val="auto"/>
              </w:rPr>
            </w:pPr>
            <w:r>
              <w:rPr>
                <w:rFonts w:ascii="Arial" w:cs="Arial" w:eastAsia="Arial" w:hAnsi="Arial"/>
                <w:sz w:val="18"/>
                <w:szCs w:val="18"/>
                <w:color w:val="auto"/>
                <w:w w:val="99"/>
              </w:rPr>
              <w:t>S-3</w:t>
            </w:r>
          </w:p>
        </w:tc>
        <w:tc>
          <w:tcPr>
            <w:tcW w:w="1300" w:type="dxa"/>
            <w:vAlign w:val="bottom"/>
            <w:gridSpan w:val="2"/>
          </w:tcPr>
          <w:p>
            <w:pPr>
              <w:jc w:val="center"/>
              <w:spacing w:after="0"/>
              <w:rPr>
                <w:sz w:val="20"/>
                <w:szCs w:val="20"/>
                <w:color w:val="auto"/>
              </w:rPr>
            </w:pPr>
            <w:r>
              <w:rPr>
                <w:rFonts w:ascii="Arial" w:cs="Arial" w:eastAsia="Arial" w:hAnsi="Arial"/>
                <w:sz w:val="18"/>
                <w:szCs w:val="18"/>
                <w:color w:val="auto"/>
                <w:w w:val="98"/>
              </w:rPr>
              <w:t>333- 221500</w:t>
            </w:r>
          </w:p>
        </w:tc>
        <w:tc>
          <w:tcPr>
            <w:tcW w:w="840" w:type="dxa"/>
            <w:vAlign w:val="bottom"/>
            <w:gridSpan w:val="2"/>
          </w:tcPr>
          <w:p>
            <w:pPr>
              <w:jc w:val="center"/>
              <w:spacing w:after="0"/>
              <w:rPr>
                <w:sz w:val="20"/>
                <w:szCs w:val="20"/>
                <w:color w:val="auto"/>
              </w:rPr>
            </w:pPr>
            <w:r>
              <w:rPr>
                <w:rFonts w:ascii="Arial" w:cs="Arial" w:eastAsia="Arial" w:hAnsi="Arial"/>
                <w:sz w:val="18"/>
                <w:szCs w:val="18"/>
                <w:color w:val="auto"/>
              </w:rPr>
              <w:t>4.6</w:t>
            </w:r>
          </w:p>
        </w:tc>
        <w:tc>
          <w:tcPr>
            <w:tcW w:w="60" w:type="dxa"/>
            <w:vAlign w:val="bottom"/>
          </w:tcPr>
          <w:p>
            <w:pPr>
              <w:spacing w:after="0"/>
              <w:rPr>
                <w:sz w:val="24"/>
                <w:szCs w:val="24"/>
                <w:color w:val="auto"/>
              </w:rPr>
            </w:pPr>
          </w:p>
        </w:tc>
        <w:tc>
          <w:tcPr>
            <w:tcW w:w="1880" w:type="dxa"/>
            <w:vAlign w:val="bottom"/>
          </w:tcPr>
          <w:p>
            <w:pPr>
              <w:jc w:val="center"/>
              <w:spacing w:after="0"/>
              <w:rPr>
                <w:sz w:val="20"/>
                <w:szCs w:val="20"/>
                <w:color w:val="auto"/>
              </w:rPr>
            </w:pPr>
            <w:r>
              <w:rPr>
                <w:rFonts w:ascii="Arial" w:cs="Arial" w:eastAsia="Arial" w:hAnsi="Arial"/>
                <w:sz w:val="18"/>
                <w:szCs w:val="18"/>
                <w:color w:val="auto"/>
                <w:w w:val="99"/>
              </w:rPr>
              <w:t>November 13, 2017</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020" w:type="dxa"/>
            <w:vAlign w:val="bottom"/>
            <w:gridSpan w:val="2"/>
          </w:tcPr>
          <w:p>
            <w:pPr>
              <w:spacing w:after="0" w:line="20" w:lineRule="exact"/>
              <w:rPr>
                <w:sz w:val="1"/>
                <w:szCs w:val="1"/>
                <w:color w:val="auto"/>
              </w:rPr>
            </w:pPr>
          </w:p>
        </w:tc>
        <w:tc>
          <w:tcPr>
            <w:tcW w:w="960" w:type="dxa"/>
            <w:vAlign w:val="bottom"/>
            <w:gridSpan w:val="3"/>
            <w:shd w:val="clear" w:color="auto" w:fill="0000EE"/>
          </w:tcPr>
          <w:p>
            <w:pPr>
              <w:spacing w:after="0" w:line="20" w:lineRule="exact"/>
              <w:rPr>
                <w:sz w:val="1"/>
                <w:szCs w:val="1"/>
                <w:color w:val="auto"/>
              </w:rPr>
            </w:pPr>
          </w:p>
        </w:tc>
        <w:tc>
          <w:tcPr>
            <w:tcW w:w="1640" w:type="dxa"/>
            <w:vAlign w:val="bottom"/>
            <w:gridSpan w:val="6"/>
            <w:shd w:val="clear" w:color="auto" w:fill="0000EE"/>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1840" w:type="dxa"/>
            <w:vAlign w:val="bottom"/>
            <w:gridSpan w:val="5"/>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5"/>
          </w:tcPr>
          <w:p>
            <w:pPr>
              <w:spacing w:after="0" w:line="20" w:lineRule="exact"/>
              <w:rPr>
                <w:sz w:val="1"/>
                <w:szCs w:val="1"/>
                <w:color w:val="auto"/>
              </w:rPr>
            </w:pPr>
          </w:p>
        </w:tc>
        <w:tc>
          <w:tcPr>
            <w:tcW w:w="240" w:type="dxa"/>
            <w:vAlign w:val="bottom"/>
            <w:gridSpan w:val="5"/>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300" w:type="dxa"/>
            <w:vAlign w:val="bottom"/>
            <w:gridSpan w:val="2"/>
          </w:tcPr>
          <w:p>
            <w:pPr>
              <w:spacing w:after="0" w:line="20" w:lineRule="exact"/>
              <w:rPr>
                <w:sz w:val="1"/>
                <w:szCs w:val="1"/>
                <w:color w:val="auto"/>
              </w:rPr>
            </w:pPr>
          </w:p>
        </w:tc>
        <w:tc>
          <w:tcPr>
            <w:tcW w:w="8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1020" w:type="dxa"/>
            <w:vAlign w:val="bottom"/>
            <w:gridSpan w:val="2"/>
          </w:tcPr>
          <w:p>
            <w:pPr>
              <w:spacing w:after="0"/>
              <w:rPr>
                <w:sz w:val="20"/>
                <w:szCs w:val="20"/>
                <w:color w:val="auto"/>
              </w:rPr>
            </w:pPr>
            <w:r>
              <w:rPr>
                <w:rFonts w:ascii="Arial" w:cs="Arial" w:eastAsia="Arial" w:hAnsi="Arial"/>
                <w:sz w:val="18"/>
                <w:szCs w:val="18"/>
                <w:color w:val="auto"/>
              </w:rPr>
              <w:t>4.8</w:t>
            </w:r>
          </w:p>
        </w:tc>
        <w:tc>
          <w:tcPr>
            <w:tcW w:w="5040" w:type="dxa"/>
            <w:vAlign w:val="bottom"/>
            <w:tcBorders>
              <w:bottom w:val="single" w:sz="8" w:color="0000EE"/>
            </w:tcBorders>
            <w:gridSpan w:val="18"/>
          </w:tcPr>
          <w:p>
            <w:pPr>
              <w:spacing w:after="0"/>
              <w:rPr>
                <w:rFonts w:ascii="Arial" w:cs="Arial" w:eastAsia="Arial" w:hAnsi="Arial"/>
                <w:sz w:val="18"/>
                <w:szCs w:val="18"/>
                <w:color w:val="0000EE"/>
              </w:rPr>
            </w:pPr>
            <w:hyperlink r:id="rId134">
              <w:r>
                <w:rPr>
                  <w:rFonts w:ascii="Arial" w:cs="Arial" w:eastAsia="Arial" w:hAnsi="Arial"/>
                  <w:sz w:val="18"/>
                  <w:szCs w:val="18"/>
                  <w:color w:val="0000EE"/>
                </w:rPr>
                <w:t>Indenture, dated as of August 13, 2019, between the Company</w:t>
              </w:r>
            </w:hyperlink>
          </w:p>
        </w:tc>
        <w:tc>
          <w:tcPr>
            <w:tcW w:w="360" w:type="dxa"/>
            <w:vAlign w:val="bottom"/>
            <w:gridSpan w:val="10"/>
          </w:tcPr>
          <w:p>
            <w:pPr>
              <w:spacing w:after="0"/>
              <w:rPr>
                <w:sz w:val="24"/>
                <w:szCs w:val="24"/>
                <w:color w:val="auto"/>
              </w:rPr>
            </w:pPr>
          </w:p>
        </w:tc>
        <w:tc>
          <w:tcPr>
            <w:tcW w:w="900" w:type="dxa"/>
            <w:vAlign w:val="bottom"/>
          </w:tcPr>
          <w:p>
            <w:pPr>
              <w:jc w:val="center"/>
              <w:spacing w:after="0"/>
              <w:rPr>
                <w:sz w:val="20"/>
                <w:szCs w:val="20"/>
                <w:color w:val="auto"/>
              </w:rPr>
            </w:pPr>
            <w:r>
              <w:rPr>
                <w:rFonts w:ascii="Arial" w:cs="Arial" w:eastAsia="Arial" w:hAnsi="Arial"/>
                <w:sz w:val="18"/>
                <w:szCs w:val="18"/>
                <w:color w:val="auto"/>
                <w:w w:val="99"/>
              </w:rPr>
              <w:t>8-K</w:t>
            </w:r>
          </w:p>
        </w:tc>
        <w:tc>
          <w:tcPr>
            <w:tcW w:w="1300" w:type="dxa"/>
            <w:vAlign w:val="bottom"/>
            <w:gridSpan w:val="2"/>
          </w:tcPr>
          <w:p>
            <w:pPr>
              <w:jc w:val="center"/>
              <w:spacing w:after="0"/>
              <w:rPr>
                <w:sz w:val="20"/>
                <w:szCs w:val="20"/>
                <w:color w:val="auto"/>
              </w:rPr>
            </w:pPr>
            <w:r>
              <w:rPr>
                <w:rFonts w:ascii="Arial" w:cs="Arial" w:eastAsia="Arial" w:hAnsi="Arial"/>
                <w:sz w:val="18"/>
                <w:szCs w:val="18"/>
                <w:color w:val="auto"/>
                <w:w w:val="99"/>
              </w:rPr>
              <w:t>001-37924</w:t>
            </w:r>
          </w:p>
        </w:tc>
        <w:tc>
          <w:tcPr>
            <w:tcW w:w="840" w:type="dxa"/>
            <w:vAlign w:val="bottom"/>
            <w:gridSpan w:val="2"/>
          </w:tcPr>
          <w:p>
            <w:pPr>
              <w:jc w:val="center"/>
              <w:spacing w:after="0"/>
              <w:rPr>
                <w:sz w:val="20"/>
                <w:szCs w:val="20"/>
                <w:color w:val="auto"/>
              </w:rPr>
            </w:pPr>
            <w:r>
              <w:rPr>
                <w:rFonts w:ascii="Arial" w:cs="Arial" w:eastAsia="Arial" w:hAnsi="Arial"/>
                <w:sz w:val="18"/>
                <w:szCs w:val="18"/>
                <w:color w:val="auto"/>
              </w:rPr>
              <w:t>4.1</w:t>
            </w:r>
          </w:p>
        </w:tc>
        <w:tc>
          <w:tcPr>
            <w:tcW w:w="60" w:type="dxa"/>
            <w:vAlign w:val="bottom"/>
          </w:tcPr>
          <w:p>
            <w:pPr>
              <w:spacing w:after="0"/>
              <w:rPr>
                <w:sz w:val="24"/>
                <w:szCs w:val="24"/>
                <w:color w:val="auto"/>
              </w:rPr>
            </w:pPr>
          </w:p>
        </w:tc>
        <w:tc>
          <w:tcPr>
            <w:tcW w:w="1880" w:type="dxa"/>
            <w:vAlign w:val="bottom"/>
          </w:tcPr>
          <w:p>
            <w:pPr>
              <w:jc w:val="center"/>
              <w:spacing w:after="0"/>
              <w:rPr>
                <w:sz w:val="20"/>
                <w:szCs w:val="20"/>
                <w:color w:val="auto"/>
              </w:rPr>
            </w:pPr>
            <w:r>
              <w:rPr>
                <w:rFonts w:ascii="Arial" w:cs="Arial" w:eastAsia="Arial" w:hAnsi="Arial"/>
                <w:sz w:val="18"/>
                <w:szCs w:val="18"/>
                <w:color w:val="auto"/>
              </w:rPr>
              <w:t>August 13, 2019</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3"/>
        </w:trPr>
        <w:tc>
          <w:tcPr>
            <w:tcW w:w="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2900" w:type="dxa"/>
            <w:vAlign w:val="bottom"/>
            <w:tcBorders>
              <w:bottom w:val="single" w:sz="8" w:color="0000EE"/>
            </w:tcBorders>
            <w:gridSpan w:val="11"/>
          </w:tcPr>
          <w:p>
            <w:pPr>
              <w:spacing w:after="0" w:line="182" w:lineRule="exact"/>
              <w:rPr>
                <w:rFonts w:ascii="Arial" w:cs="Arial" w:eastAsia="Arial" w:hAnsi="Arial"/>
                <w:sz w:val="18"/>
                <w:szCs w:val="18"/>
                <w:color w:val="0000EE"/>
                <w:w w:val="99"/>
              </w:rPr>
            </w:pPr>
            <w:hyperlink r:id="rId134">
              <w:r>
                <w:rPr>
                  <w:rFonts w:ascii="Arial" w:cs="Arial" w:eastAsia="Arial" w:hAnsi="Arial"/>
                  <w:sz w:val="18"/>
                  <w:szCs w:val="18"/>
                  <w:color w:val="0000EE"/>
                  <w:w w:val="99"/>
                </w:rPr>
                <w:t>and U.S. Bank National Association.</w:t>
              </w:r>
            </w:hyperlink>
          </w:p>
        </w:tc>
        <w:tc>
          <w:tcPr>
            <w:tcW w:w="2500" w:type="dxa"/>
            <w:vAlign w:val="bottom"/>
            <w:gridSpan w:val="17"/>
          </w:tcPr>
          <w:p>
            <w:pPr>
              <w:spacing w:after="0"/>
              <w:rPr>
                <w:sz w:val="15"/>
                <w:szCs w:val="15"/>
                <w:color w:val="auto"/>
              </w:rPr>
            </w:pPr>
          </w:p>
        </w:tc>
        <w:tc>
          <w:tcPr>
            <w:tcW w:w="9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8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4"/>
        </w:trPr>
        <w:tc>
          <w:tcPr>
            <w:tcW w:w="1020" w:type="dxa"/>
            <w:vAlign w:val="bottom"/>
            <w:gridSpan w:val="2"/>
          </w:tcPr>
          <w:p>
            <w:pPr>
              <w:spacing w:after="0"/>
              <w:rPr>
                <w:sz w:val="20"/>
                <w:szCs w:val="20"/>
                <w:color w:val="auto"/>
              </w:rPr>
            </w:pPr>
            <w:r>
              <w:rPr>
                <w:rFonts w:ascii="Arial" w:cs="Arial" w:eastAsia="Arial" w:hAnsi="Arial"/>
                <w:sz w:val="18"/>
                <w:szCs w:val="18"/>
                <w:color w:val="auto"/>
              </w:rPr>
              <w:t>4.9</w:t>
            </w:r>
          </w:p>
        </w:tc>
        <w:tc>
          <w:tcPr>
            <w:tcW w:w="5020" w:type="dxa"/>
            <w:vAlign w:val="bottom"/>
            <w:tcBorders>
              <w:bottom w:val="single" w:sz="8" w:color="0000EE"/>
            </w:tcBorders>
            <w:gridSpan w:val="17"/>
          </w:tcPr>
          <w:p>
            <w:pPr>
              <w:spacing w:after="0"/>
              <w:rPr>
                <w:rFonts w:ascii="Arial" w:cs="Arial" w:eastAsia="Arial" w:hAnsi="Arial"/>
                <w:sz w:val="18"/>
                <w:szCs w:val="18"/>
                <w:color w:val="0000EE"/>
                <w:w w:val="99"/>
              </w:rPr>
            </w:pPr>
            <w:hyperlink r:id="rId134">
              <w:r>
                <w:rPr>
                  <w:rFonts w:ascii="Arial" w:cs="Arial" w:eastAsia="Arial" w:hAnsi="Arial"/>
                  <w:sz w:val="18"/>
                  <w:szCs w:val="18"/>
                  <w:color w:val="0000EE"/>
                  <w:w w:val="99"/>
                </w:rPr>
                <w:t>Form of 0.125% Convertible Senior Note due 2024 (included in</w:t>
              </w:r>
            </w:hyperlink>
          </w:p>
        </w:tc>
        <w:tc>
          <w:tcPr>
            <w:tcW w:w="380" w:type="dxa"/>
            <w:vAlign w:val="bottom"/>
            <w:gridSpan w:val="11"/>
          </w:tcPr>
          <w:p>
            <w:pPr>
              <w:spacing w:after="0"/>
              <w:rPr>
                <w:sz w:val="24"/>
                <w:szCs w:val="24"/>
                <w:color w:val="auto"/>
              </w:rPr>
            </w:pPr>
          </w:p>
        </w:tc>
        <w:tc>
          <w:tcPr>
            <w:tcW w:w="900" w:type="dxa"/>
            <w:vAlign w:val="bottom"/>
          </w:tcPr>
          <w:p>
            <w:pPr>
              <w:jc w:val="center"/>
              <w:spacing w:after="0"/>
              <w:rPr>
                <w:sz w:val="20"/>
                <w:szCs w:val="20"/>
                <w:color w:val="auto"/>
              </w:rPr>
            </w:pPr>
            <w:r>
              <w:rPr>
                <w:rFonts w:ascii="Arial" w:cs="Arial" w:eastAsia="Arial" w:hAnsi="Arial"/>
                <w:sz w:val="18"/>
                <w:szCs w:val="18"/>
                <w:color w:val="auto"/>
                <w:w w:val="99"/>
              </w:rPr>
              <w:t>8-K</w:t>
            </w:r>
          </w:p>
        </w:tc>
        <w:tc>
          <w:tcPr>
            <w:tcW w:w="1300" w:type="dxa"/>
            <w:vAlign w:val="bottom"/>
            <w:gridSpan w:val="2"/>
          </w:tcPr>
          <w:p>
            <w:pPr>
              <w:jc w:val="center"/>
              <w:spacing w:after="0"/>
              <w:rPr>
                <w:sz w:val="20"/>
                <w:szCs w:val="20"/>
                <w:color w:val="auto"/>
              </w:rPr>
            </w:pPr>
            <w:r>
              <w:rPr>
                <w:rFonts w:ascii="Arial" w:cs="Arial" w:eastAsia="Arial" w:hAnsi="Arial"/>
                <w:sz w:val="18"/>
                <w:szCs w:val="18"/>
                <w:color w:val="auto"/>
                <w:w w:val="99"/>
              </w:rPr>
              <w:t>001-37924</w:t>
            </w:r>
          </w:p>
        </w:tc>
        <w:tc>
          <w:tcPr>
            <w:tcW w:w="840" w:type="dxa"/>
            <w:vAlign w:val="bottom"/>
            <w:gridSpan w:val="2"/>
          </w:tcPr>
          <w:p>
            <w:pPr>
              <w:jc w:val="center"/>
              <w:spacing w:after="0"/>
              <w:rPr>
                <w:sz w:val="20"/>
                <w:szCs w:val="20"/>
                <w:color w:val="auto"/>
              </w:rPr>
            </w:pPr>
            <w:r>
              <w:rPr>
                <w:rFonts w:ascii="Arial" w:cs="Arial" w:eastAsia="Arial" w:hAnsi="Arial"/>
                <w:sz w:val="18"/>
                <w:szCs w:val="18"/>
                <w:color w:val="auto"/>
              </w:rPr>
              <w:t>4.2</w:t>
            </w:r>
          </w:p>
        </w:tc>
        <w:tc>
          <w:tcPr>
            <w:tcW w:w="60" w:type="dxa"/>
            <w:vAlign w:val="bottom"/>
          </w:tcPr>
          <w:p>
            <w:pPr>
              <w:spacing w:after="0"/>
              <w:rPr>
                <w:sz w:val="24"/>
                <w:szCs w:val="24"/>
                <w:color w:val="auto"/>
              </w:rPr>
            </w:pPr>
          </w:p>
        </w:tc>
        <w:tc>
          <w:tcPr>
            <w:tcW w:w="1880" w:type="dxa"/>
            <w:vAlign w:val="bottom"/>
          </w:tcPr>
          <w:p>
            <w:pPr>
              <w:jc w:val="center"/>
              <w:spacing w:after="0"/>
              <w:rPr>
                <w:sz w:val="20"/>
                <w:szCs w:val="20"/>
                <w:color w:val="auto"/>
              </w:rPr>
            </w:pPr>
            <w:r>
              <w:rPr>
                <w:rFonts w:ascii="Arial" w:cs="Arial" w:eastAsia="Arial" w:hAnsi="Arial"/>
                <w:sz w:val="18"/>
                <w:szCs w:val="18"/>
                <w:color w:val="auto"/>
              </w:rPr>
              <w:t>August 13, 2019</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3"/>
        </w:trPr>
        <w:tc>
          <w:tcPr>
            <w:tcW w:w="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960" w:type="dxa"/>
            <w:vAlign w:val="bottom"/>
            <w:tcBorders>
              <w:bottom w:val="single" w:sz="8" w:color="0000EE"/>
            </w:tcBorders>
            <w:gridSpan w:val="3"/>
          </w:tcPr>
          <w:p>
            <w:pPr>
              <w:spacing w:after="0" w:line="182" w:lineRule="exact"/>
              <w:rPr>
                <w:rFonts w:ascii="Arial" w:cs="Arial" w:eastAsia="Arial" w:hAnsi="Arial"/>
                <w:sz w:val="18"/>
                <w:szCs w:val="18"/>
                <w:color w:val="0000EE"/>
                <w:w w:val="98"/>
              </w:rPr>
            </w:pPr>
            <w:hyperlink r:id="rId134">
              <w:r>
                <w:rPr>
                  <w:rFonts w:ascii="Arial" w:cs="Arial" w:eastAsia="Arial" w:hAnsi="Arial"/>
                  <w:sz w:val="18"/>
                  <w:szCs w:val="18"/>
                  <w:color w:val="0000EE"/>
                  <w:w w:val="98"/>
                </w:rPr>
                <w:t>Exhibit 4.8).</w:t>
              </w:r>
            </w:hyperlink>
          </w:p>
        </w:tc>
        <w:tc>
          <w:tcPr>
            <w:tcW w:w="4440" w:type="dxa"/>
            <w:vAlign w:val="bottom"/>
            <w:gridSpan w:val="25"/>
          </w:tcPr>
          <w:p>
            <w:pPr>
              <w:spacing w:after="0"/>
              <w:rPr>
                <w:sz w:val="15"/>
                <w:szCs w:val="15"/>
                <w:color w:val="auto"/>
              </w:rPr>
            </w:pPr>
          </w:p>
        </w:tc>
        <w:tc>
          <w:tcPr>
            <w:tcW w:w="9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8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4"/>
        </w:trPr>
        <w:tc>
          <w:tcPr>
            <w:tcW w:w="1020" w:type="dxa"/>
            <w:vAlign w:val="bottom"/>
            <w:gridSpan w:val="2"/>
          </w:tcPr>
          <w:p>
            <w:pPr>
              <w:spacing w:after="0"/>
              <w:rPr>
                <w:sz w:val="20"/>
                <w:szCs w:val="20"/>
                <w:color w:val="auto"/>
              </w:rPr>
            </w:pPr>
            <w:r>
              <w:rPr>
                <w:rFonts w:ascii="Arial" w:cs="Arial" w:eastAsia="Arial" w:hAnsi="Arial"/>
                <w:sz w:val="18"/>
                <w:szCs w:val="18"/>
                <w:color w:val="auto"/>
              </w:rPr>
              <w:t>10.1*</w:t>
            </w:r>
          </w:p>
        </w:tc>
        <w:tc>
          <w:tcPr>
            <w:tcW w:w="5160" w:type="dxa"/>
            <w:vAlign w:val="bottom"/>
            <w:tcBorders>
              <w:bottom w:val="single" w:sz="8" w:color="0000EE"/>
            </w:tcBorders>
            <w:gridSpan w:val="23"/>
          </w:tcPr>
          <w:p>
            <w:pPr>
              <w:spacing w:after="0"/>
              <w:rPr>
                <w:rFonts w:ascii="Arial" w:cs="Arial" w:eastAsia="Arial" w:hAnsi="Arial"/>
                <w:sz w:val="18"/>
                <w:szCs w:val="18"/>
                <w:color w:val="0000EE"/>
                <w:w w:val="99"/>
              </w:rPr>
            </w:pPr>
            <w:hyperlink r:id="rId135">
              <w:r>
                <w:rPr>
                  <w:rFonts w:ascii="Arial" w:cs="Arial" w:eastAsia="Arial" w:hAnsi="Arial"/>
                  <w:sz w:val="18"/>
                  <w:szCs w:val="18"/>
                  <w:color w:val="0000EE"/>
                  <w:w w:val="99"/>
                </w:rPr>
                <w:t>Software Development Cooperation Agreement, by and between</w:t>
              </w:r>
            </w:hyperlink>
          </w:p>
        </w:tc>
        <w:tc>
          <w:tcPr>
            <w:tcW w:w="240" w:type="dxa"/>
            <w:vAlign w:val="bottom"/>
            <w:gridSpan w:val="5"/>
          </w:tcPr>
          <w:p>
            <w:pPr>
              <w:spacing w:after="0"/>
              <w:rPr>
                <w:sz w:val="24"/>
                <w:szCs w:val="24"/>
                <w:color w:val="auto"/>
              </w:rPr>
            </w:pPr>
          </w:p>
        </w:tc>
        <w:tc>
          <w:tcPr>
            <w:tcW w:w="900" w:type="dxa"/>
            <w:vAlign w:val="bottom"/>
          </w:tcPr>
          <w:p>
            <w:pPr>
              <w:jc w:val="center"/>
              <w:spacing w:after="0"/>
              <w:rPr>
                <w:sz w:val="20"/>
                <w:szCs w:val="20"/>
                <w:color w:val="auto"/>
              </w:rPr>
            </w:pPr>
            <w:r>
              <w:rPr>
                <w:rFonts w:ascii="Arial" w:cs="Arial" w:eastAsia="Arial" w:hAnsi="Arial"/>
                <w:sz w:val="18"/>
                <w:szCs w:val="18"/>
                <w:color w:val="auto"/>
                <w:w w:val="99"/>
              </w:rPr>
              <w:t>S-1</w:t>
            </w:r>
          </w:p>
        </w:tc>
        <w:tc>
          <w:tcPr>
            <w:tcW w:w="1300" w:type="dxa"/>
            <w:vAlign w:val="bottom"/>
            <w:gridSpan w:val="2"/>
          </w:tcPr>
          <w:p>
            <w:pPr>
              <w:jc w:val="center"/>
              <w:spacing w:after="0"/>
              <w:rPr>
                <w:sz w:val="20"/>
                <w:szCs w:val="20"/>
                <w:color w:val="auto"/>
              </w:rPr>
            </w:pPr>
            <w:r>
              <w:rPr>
                <w:rFonts w:ascii="Arial" w:cs="Arial" w:eastAsia="Arial" w:hAnsi="Arial"/>
                <w:sz w:val="18"/>
                <w:szCs w:val="18"/>
                <w:color w:val="auto"/>
                <w:w w:val="99"/>
              </w:rPr>
              <w:t>333-213899</w:t>
            </w:r>
          </w:p>
        </w:tc>
        <w:tc>
          <w:tcPr>
            <w:tcW w:w="840" w:type="dxa"/>
            <w:vAlign w:val="bottom"/>
            <w:gridSpan w:val="2"/>
          </w:tcPr>
          <w:p>
            <w:pPr>
              <w:jc w:val="center"/>
              <w:spacing w:after="0"/>
              <w:rPr>
                <w:sz w:val="20"/>
                <w:szCs w:val="20"/>
                <w:color w:val="auto"/>
              </w:rPr>
            </w:pPr>
            <w:r>
              <w:rPr>
                <w:rFonts w:ascii="Arial" w:cs="Arial" w:eastAsia="Arial" w:hAnsi="Arial"/>
                <w:sz w:val="18"/>
                <w:szCs w:val="18"/>
                <w:color w:val="auto"/>
                <w:w w:val="96"/>
              </w:rPr>
              <w:t>10.1</w:t>
            </w:r>
          </w:p>
        </w:tc>
        <w:tc>
          <w:tcPr>
            <w:tcW w:w="60" w:type="dxa"/>
            <w:vAlign w:val="bottom"/>
          </w:tcPr>
          <w:p>
            <w:pPr>
              <w:spacing w:after="0"/>
              <w:rPr>
                <w:sz w:val="24"/>
                <w:szCs w:val="24"/>
                <w:color w:val="auto"/>
              </w:rPr>
            </w:pPr>
          </w:p>
        </w:tc>
        <w:tc>
          <w:tcPr>
            <w:tcW w:w="1880" w:type="dxa"/>
            <w:vAlign w:val="bottom"/>
          </w:tcPr>
          <w:p>
            <w:pPr>
              <w:jc w:val="center"/>
              <w:spacing w:after="0"/>
              <w:rPr>
                <w:sz w:val="20"/>
                <w:szCs w:val="20"/>
                <w:color w:val="auto"/>
              </w:rPr>
            </w:pPr>
            <w:r>
              <w:rPr>
                <w:rFonts w:ascii="Arial" w:cs="Arial" w:eastAsia="Arial" w:hAnsi="Arial"/>
                <w:sz w:val="18"/>
                <w:szCs w:val="18"/>
                <w:color w:val="auto"/>
              </w:rPr>
              <w:t>September 30, 2016</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3"/>
        </w:trPr>
        <w:tc>
          <w:tcPr>
            <w:tcW w:w="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5400" w:type="dxa"/>
            <w:vAlign w:val="bottom"/>
            <w:gridSpan w:val="28"/>
          </w:tcPr>
          <w:p>
            <w:pPr>
              <w:spacing w:after="0" w:line="182" w:lineRule="exact"/>
              <w:rPr>
                <w:rFonts w:ascii="Arial" w:cs="Arial" w:eastAsia="Arial" w:hAnsi="Arial"/>
                <w:sz w:val="18"/>
                <w:szCs w:val="18"/>
                <w:color w:val="0000EE"/>
              </w:rPr>
            </w:pPr>
            <w:hyperlink r:id="rId135">
              <w:r>
                <w:rPr>
                  <w:rFonts w:ascii="Arial" w:cs="Arial" w:eastAsia="Arial" w:hAnsi="Arial"/>
                  <w:sz w:val="18"/>
                  <w:szCs w:val="18"/>
                  <w:color w:val="0000EE"/>
                </w:rPr>
                <w:t>the Company and SAP AG, effective as of October 1, 2013.</w:t>
              </w:r>
            </w:hyperlink>
          </w:p>
        </w:tc>
        <w:tc>
          <w:tcPr>
            <w:tcW w:w="9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8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4740" w:type="dxa"/>
            <w:vAlign w:val="bottom"/>
            <w:gridSpan w:val="16"/>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5020" w:type="dxa"/>
            <w:vAlign w:val="bottom"/>
            <w:gridSpan w:val="17"/>
          </w:tcPr>
          <w:p>
            <w:pPr>
              <w:ind w:left="4600"/>
              <w:spacing w:after="0"/>
              <w:rPr>
                <w:sz w:val="20"/>
                <w:szCs w:val="20"/>
                <w:color w:val="auto"/>
              </w:rPr>
            </w:pPr>
            <w:r>
              <w:rPr>
                <w:rFonts w:ascii="Arial" w:cs="Arial" w:eastAsia="Arial" w:hAnsi="Arial"/>
                <w:sz w:val="18"/>
                <w:szCs w:val="18"/>
                <w:color w:val="auto"/>
              </w:rPr>
              <w:t>94</w:t>
            </w: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2"/>
        </w:trPr>
        <w:tc>
          <w:tcPr>
            <w:tcW w:w="80" w:type="dxa"/>
            <w:vAlign w:val="bottom"/>
            <w:tcBorders>
              <w:bottom w:val="single" w:sz="8" w:color="9A9A9A"/>
            </w:tcBorders>
          </w:tcPr>
          <w:p>
            <w:pPr>
              <w:spacing w:after="0"/>
              <w:rPr>
                <w:sz w:val="8"/>
                <w:szCs w:val="8"/>
                <w:color w:val="auto"/>
              </w:rPr>
            </w:pPr>
          </w:p>
        </w:tc>
        <w:tc>
          <w:tcPr>
            <w:tcW w:w="940" w:type="dxa"/>
            <w:vAlign w:val="bottom"/>
            <w:tcBorders>
              <w:bottom w:val="single" w:sz="8" w:color="9A9A9A"/>
            </w:tcBorders>
          </w:tcPr>
          <w:p>
            <w:pPr>
              <w:spacing w:after="0"/>
              <w:rPr>
                <w:sz w:val="8"/>
                <w:szCs w:val="8"/>
                <w:color w:val="auto"/>
              </w:rPr>
            </w:pPr>
          </w:p>
        </w:tc>
        <w:tc>
          <w:tcPr>
            <w:tcW w:w="60" w:type="dxa"/>
            <w:vAlign w:val="bottom"/>
            <w:tcBorders>
              <w:bottom w:val="single" w:sz="8" w:color="9A9A9A"/>
            </w:tcBorders>
          </w:tcPr>
          <w:p>
            <w:pPr>
              <w:spacing w:after="0"/>
              <w:rPr>
                <w:sz w:val="8"/>
                <w:szCs w:val="8"/>
                <w:color w:val="auto"/>
              </w:rPr>
            </w:pPr>
          </w:p>
        </w:tc>
        <w:tc>
          <w:tcPr>
            <w:tcW w:w="820" w:type="dxa"/>
            <w:vAlign w:val="bottom"/>
            <w:tcBorders>
              <w:bottom w:val="single" w:sz="8" w:color="9A9A9A"/>
            </w:tcBorders>
          </w:tcPr>
          <w:p>
            <w:pPr>
              <w:spacing w:after="0"/>
              <w:rPr>
                <w:sz w:val="8"/>
                <w:szCs w:val="8"/>
                <w:color w:val="auto"/>
              </w:rPr>
            </w:pPr>
          </w:p>
        </w:tc>
        <w:tc>
          <w:tcPr>
            <w:tcW w:w="80" w:type="dxa"/>
            <w:vAlign w:val="bottom"/>
            <w:tcBorders>
              <w:bottom w:val="single" w:sz="8" w:color="9A9A9A"/>
            </w:tcBorders>
          </w:tcPr>
          <w:p>
            <w:pPr>
              <w:spacing w:after="0"/>
              <w:rPr>
                <w:sz w:val="8"/>
                <w:szCs w:val="8"/>
                <w:color w:val="auto"/>
              </w:rPr>
            </w:pPr>
          </w:p>
        </w:tc>
        <w:tc>
          <w:tcPr>
            <w:tcW w:w="260" w:type="dxa"/>
            <w:vAlign w:val="bottom"/>
            <w:tcBorders>
              <w:bottom w:val="single" w:sz="8" w:color="9A9A9A"/>
            </w:tcBorders>
          </w:tcPr>
          <w:p>
            <w:pPr>
              <w:spacing w:after="0"/>
              <w:rPr>
                <w:sz w:val="8"/>
                <w:szCs w:val="8"/>
                <w:color w:val="auto"/>
              </w:rPr>
            </w:pPr>
          </w:p>
        </w:tc>
        <w:tc>
          <w:tcPr>
            <w:tcW w:w="200" w:type="dxa"/>
            <w:vAlign w:val="bottom"/>
            <w:tcBorders>
              <w:bottom w:val="single" w:sz="8" w:color="9A9A9A"/>
            </w:tcBorders>
          </w:tcPr>
          <w:p>
            <w:pPr>
              <w:spacing w:after="0"/>
              <w:rPr>
                <w:sz w:val="8"/>
                <w:szCs w:val="8"/>
                <w:color w:val="auto"/>
              </w:rPr>
            </w:pPr>
          </w:p>
        </w:tc>
        <w:tc>
          <w:tcPr>
            <w:tcW w:w="400" w:type="dxa"/>
            <w:vAlign w:val="bottom"/>
            <w:tcBorders>
              <w:bottom w:val="single" w:sz="8" w:color="9A9A9A"/>
            </w:tcBorders>
          </w:tcPr>
          <w:p>
            <w:pPr>
              <w:spacing w:after="0"/>
              <w:rPr>
                <w:sz w:val="8"/>
                <w:szCs w:val="8"/>
                <w:color w:val="auto"/>
              </w:rPr>
            </w:pPr>
          </w:p>
        </w:tc>
        <w:tc>
          <w:tcPr>
            <w:tcW w:w="240" w:type="dxa"/>
            <w:vAlign w:val="bottom"/>
            <w:tcBorders>
              <w:bottom w:val="single" w:sz="8" w:color="9A9A9A"/>
            </w:tcBorders>
          </w:tcPr>
          <w:p>
            <w:pPr>
              <w:spacing w:after="0"/>
              <w:rPr>
                <w:sz w:val="8"/>
                <w:szCs w:val="8"/>
                <w:color w:val="auto"/>
              </w:rPr>
            </w:pPr>
          </w:p>
        </w:tc>
        <w:tc>
          <w:tcPr>
            <w:tcW w:w="320" w:type="dxa"/>
            <w:vAlign w:val="bottom"/>
            <w:tcBorders>
              <w:bottom w:val="single" w:sz="8" w:color="9A9A9A"/>
            </w:tcBorders>
          </w:tcPr>
          <w:p>
            <w:pPr>
              <w:spacing w:after="0"/>
              <w:rPr>
                <w:sz w:val="8"/>
                <w:szCs w:val="8"/>
                <w:color w:val="auto"/>
              </w:rPr>
            </w:pPr>
          </w:p>
        </w:tc>
        <w:tc>
          <w:tcPr>
            <w:tcW w:w="220" w:type="dxa"/>
            <w:vAlign w:val="bottom"/>
            <w:tcBorders>
              <w:bottom w:val="single" w:sz="8" w:color="9A9A9A"/>
            </w:tcBorders>
          </w:tcPr>
          <w:p>
            <w:pPr>
              <w:spacing w:after="0"/>
              <w:rPr>
                <w:sz w:val="8"/>
                <w:szCs w:val="8"/>
                <w:color w:val="auto"/>
              </w:rPr>
            </w:pPr>
          </w:p>
        </w:tc>
        <w:tc>
          <w:tcPr>
            <w:tcW w:w="28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1040" w:type="dxa"/>
            <w:vAlign w:val="bottom"/>
            <w:tcBorders>
              <w:bottom w:val="single" w:sz="8" w:color="9A9A9A"/>
            </w:tcBorders>
          </w:tcPr>
          <w:p>
            <w:pPr>
              <w:spacing w:after="0"/>
              <w:rPr>
                <w:sz w:val="8"/>
                <w:szCs w:val="8"/>
                <w:color w:val="auto"/>
              </w:rPr>
            </w:pPr>
          </w:p>
        </w:tc>
        <w:tc>
          <w:tcPr>
            <w:tcW w:w="360" w:type="dxa"/>
            <w:vAlign w:val="bottom"/>
            <w:tcBorders>
              <w:bottom w:val="single" w:sz="8" w:color="9A9A9A"/>
            </w:tcBorders>
          </w:tcPr>
          <w:p>
            <w:pPr>
              <w:spacing w:after="0"/>
              <w:rPr>
                <w:sz w:val="8"/>
                <w:szCs w:val="8"/>
                <w:color w:val="auto"/>
              </w:rPr>
            </w:pPr>
          </w:p>
        </w:tc>
        <w:tc>
          <w:tcPr>
            <w:tcW w:w="260" w:type="dxa"/>
            <w:vAlign w:val="bottom"/>
            <w:tcBorders>
              <w:bottom w:val="single" w:sz="8" w:color="9A9A9A"/>
            </w:tcBorders>
          </w:tcPr>
          <w:p>
            <w:pPr>
              <w:spacing w:after="0"/>
              <w:rPr>
                <w:sz w:val="8"/>
                <w:szCs w:val="8"/>
                <w:color w:val="auto"/>
              </w:rPr>
            </w:pPr>
          </w:p>
        </w:tc>
        <w:tc>
          <w:tcPr>
            <w:tcW w:w="140" w:type="dxa"/>
            <w:vAlign w:val="bottom"/>
            <w:tcBorders>
              <w:bottom w:val="single" w:sz="8" w:color="9A9A9A"/>
            </w:tcBorders>
          </w:tcPr>
          <w:p>
            <w:pPr>
              <w:spacing w:after="0"/>
              <w:rPr>
                <w:sz w:val="8"/>
                <w:szCs w:val="8"/>
                <w:color w:val="auto"/>
              </w:rPr>
            </w:pPr>
          </w:p>
        </w:tc>
        <w:tc>
          <w:tcPr>
            <w:tcW w:w="40" w:type="dxa"/>
            <w:vAlign w:val="bottom"/>
            <w:tcBorders>
              <w:bottom w:val="single" w:sz="8" w:color="9A9A9A"/>
            </w:tcBorders>
          </w:tcPr>
          <w:p>
            <w:pPr>
              <w:spacing w:after="0"/>
              <w:rPr>
                <w:sz w:val="8"/>
                <w:szCs w:val="8"/>
                <w:color w:val="auto"/>
              </w:rPr>
            </w:pPr>
          </w:p>
        </w:tc>
        <w:tc>
          <w:tcPr>
            <w:tcW w:w="28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4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40" w:type="dxa"/>
            <w:vAlign w:val="bottom"/>
            <w:tcBorders>
              <w:bottom w:val="single" w:sz="8" w:color="9A9A9A"/>
            </w:tcBorders>
          </w:tcPr>
          <w:p>
            <w:pPr>
              <w:spacing w:after="0"/>
              <w:rPr>
                <w:sz w:val="8"/>
                <w:szCs w:val="8"/>
                <w:color w:val="auto"/>
              </w:rPr>
            </w:pPr>
          </w:p>
        </w:tc>
        <w:tc>
          <w:tcPr>
            <w:tcW w:w="60" w:type="dxa"/>
            <w:vAlign w:val="bottom"/>
            <w:tcBorders>
              <w:bottom w:val="single" w:sz="8" w:color="9A9A9A"/>
            </w:tcBorders>
          </w:tcPr>
          <w:p>
            <w:pPr>
              <w:spacing w:after="0"/>
              <w:rPr>
                <w:sz w:val="8"/>
                <w:szCs w:val="8"/>
                <w:color w:val="auto"/>
              </w:rPr>
            </w:pPr>
          </w:p>
        </w:tc>
        <w:tc>
          <w:tcPr>
            <w:tcW w:w="6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60" w:type="dxa"/>
            <w:vAlign w:val="bottom"/>
            <w:tcBorders>
              <w:bottom w:val="single" w:sz="8" w:color="9A9A9A"/>
            </w:tcBorders>
          </w:tcPr>
          <w:p>
            <w:pPr>
              <w:spacing w:after="0"/>
              <w:rPr>
                <w:sz w:val="8"/>
                <w:szCs w:val="8"/>
                <w:color w:val="auto"/>
              </w:rPr>
            </w:pPr>
          </w:p>
        </w:tc>
        <w:tc>
          <w:tcPr>
            <w:tcW w:w="900" w:type="dxa"/>
            <w:vAlign w:val="bottom"/>
            <w:tcBorders>
              <w:bottom w:val="single" w:sz="8" w:color="9A9A9A"/>
            </w:tcBorders>
          </w:tcPr>
          <w:p>
            <w:pPr>
              <w:spacing w:after="0"/>
              <w:rPr>
                <w:sz w:val="8"/>
                <w:szCs w:val="8"/>
                <w:color w:val="auto"/>
              </w:rPr>
            </w:pPr>
          </w:p>
        </w:tc>
        <w:tc>
          <w:tcPr>
            <w:tcW w:w="80" w:type="dxa"/>
            <w:vAlign w:val="bottom"/>
            <w:tcBorders>
              <w:bottom w:val="single" w:sz="8" w:color="9A9A9A"/>
            </w:tcBorders>
          </w:tcPr>
          <w:p>
            <w:pPr>
              <w:spacing w:after="0"/>
              <w:rPr>
                <w:sz w:val="8"/>
                <w:szCs w:val="8"/>
                <w:color w:val="auto"/>
              </w:rPr>
            </w:pPr>
          </w:p>
        </w:tc>
        <w:tc>
          <w:tcPr>
            <w:tcW w:w="1220" w:type="dxa"/>
            <w:vAlign w:val="bottom"/>
            <w:tcBorders>
              <w:bottom w:val="single" w:sz="8" w:color="9A9A9A"/>
            </w:tcBorders>
          </w:tcPr>
          <w:p>
            <w:pPr>
              <w:spacing w:after="0"/>
              <w:rPr>
                <w:sz w:val="8"/>
                <w:szCs w:val="8"/>
                <w:color w:val="auto"/>
              </w:rPr>
            </w:pPr>
          </w:p>
        </w:tc>
        <w:tc>
          <w:tcPr>
            <w:tcW w:w="60" w:type="dxa"/>
            <w:vAlign w:val="bottom"/>
            <w:tcBorders>
              <w:bottom w:val="single" w:sz="8" w:color="9A9A9A"/>
            </w:tcBorders>
          </w:tcPr>
          <w:p>
            <w:pPr>
              <w:spacing w:after="0"/>
              <w:rPr>
                <w:sz w:val="8"/>
                <w:szCs w:val="8"/>
                <w:color w:val="auto"/>
              </w:rPr>
            </w:pPr>
          </w:p>
        </w:tc>
        <w:tc>
          <w:tcPr>
            <w:tcW w:w="780" w:type="dxa"/>
            <w:vAlign w:val="bottom"/>
            <w:tcBorders>
              <w:bottom w:val="single" w:sz="8" w:color="9A9A9A"/>
            </w:tcBorders>
          </w:tcPr>
          <w:p>
            <w:pPr>
              <w:spacing w:after="0"/>
              <w:rPr>
                <w:sz w:val="8"/>
                <w:szCs w:val="8"/>
                <w:color w:val="auto"/>
              </w:rPr>
            </w:pPr>
          </w:p>
        </w:tc>
        <w:tc>
          <w:tcPr>
            <w:tcW w:w="60" w:type="dxa"/>
            <w:vAlign w:val="bottom"/>
            <w:tcBorders>
              <w:bottom w:val="single" w:sz="8" w:color="9A9A9A"/>
            </w:tcBorders>
          </w:tcPr>
          <w:p>
            <w:pPr>
              <w:spacing w:after="0"/>
              <w:rPr>
                <w:sz w:val="8"/>
                <w:szCs w:val="8"/>
                <w:color w:val="auto"/>
              </w:rPr>
            </w:pPr>
          </w:p>
        </w:tc>
        <w:tc>
          <w:tcPr>
            <w:tcW w:w="188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7230110</wp:posOffset>
            </wp:positionH>
            <wp:positionV relativeFrom="paragraph">
              <wp:posOffset>-29210</wp:posOffset>
            </wp:positionV>
            <wp:extent cx="34290" cy="425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36">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3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20"/>
          </w:cols>
          <w:pgMar w:left="240" w:top="333" w:right="239" w:bottom="1440" w:gutter="0" w:footer="0" w:header="0"/>
        </w:sectPr>
      </w:pPr>
    </w:p>
    <w:bookmarkStart w:id="94" w:name="page95"/>
    <w:bookmarkEnd w:id="94"/>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80" w:type="dxa"/>
            <w:vAlign w:val="bottom"/>
          </w:tcPr>
          <w:p>
            <w:pPr>
              <w:spacing w:after="0"/>
              <w:rPr>
                <w:sz w:val="14"/>
                <w:szCs w:val="14"/>
                <w:color w:val="auto"/>
              </w:rPr>
            </w:pPr>
          </w:p>
        </w:tc>
        <w:tc>
          <w:tcPr>
            <w:tcW w:w="940" w:type="dxa"/>
            <w:vAlign w:val="bottom"/>
          </w:tcPr>
          <w:p>
            <w:pPr>
              <w:ind w:left="200"/>
              <w:spacing w:after="0"/>
              <w:rPr>
                <w:sz w:val="20"/>
                <w:szCs w:val="20"/>
                <w:color w:val="auto"/>
              </w:rPr>
            </w:pPr>
            <w:r>
              <w:rPr>
                <w:rFonts w:ascii="Arial" w:cs="Arial" w:eastAsia="Arial" w:hAnsi="Arial"/>
                <w:sz w:val="14"/>
                <w:szCs w:val="14"/>
                <w:b w:val="1"/>
                <w:bCs w:val="1"/>
                <w:color w:val="auto"/>
              </w:rPr>
              <w:t>Exhibit</w:t>
            </w:r>
          </w:p>
        </w:tc>
        <w:tc>
          <w:tcPr>
            <w:tcW w:w="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89"/>
        </w:trPr>
        <w:tc>
          <w:tcPr>
            <w:tcW w:w="80" w:type="dxa"/>
            <w:vAlign w:val="bottom"/>
          </w:tcPr>
          <w:p>
            <w:pPr>
              <w:spacing w:after="0"/>
              <w:rPr>
                <w:sz w:val="16"/>
                <w:szCs w:val="16"/>
                <w:color w:val="auto"/>
              </w:rPr>
            </w:pPr>
          </w:p>
        </w:tc>
        <w:tc>
          <w:tcPr>
            <w:tcW w:w="940" w:type="dxa"/>
            <w:vAlign w:val="bottom"/>
            <w:tcBorders>
              <w:bottom w:val="single" w:sz="8" w:color="auto"/>
            </w:tcBorders>
          </w:tcPr>
          <w:p>
            <w:pPr>
              <w:ind w:left="200"/>
              <w:spacing w:after="0"/>
              <w:rPr>
                <w:sz w:val="20"/>
                <w:szCs w:val="20"/>
                <w:color w:val="auto"/>
              </w:rPr>
            </w:pPr>
            <w:r>
              <w:rPr>
                <w:rFonts w:ascii="Arial" w:cs="Arial" w:eastAsia="Arial" w:hAnsi="Arial"/>
                <w:sz w:val="14"/>
                <w:szCs w:val="14"/>
                <w:b w:val="1"/>
                <w:bCs w:val="1"/>
                <w:color w:val="auto"/>
              </w:rPr>
              <w:t>Number</w:t>
            </w:r>
          </w:p>
        </w:tc>
        <w:tc>
          <w:tcPr>
            <w:tcW w:w="60" w:type="dxa"/>
            <w:vAlign w:val="bottom"/>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3420" w:type="dxa"/>
            <w:vAlign w:val="bottom"/>
            <w:tcBorders>
              <w:bottom w:val="single" w:sz="8" w:color="auto"/>
            </w:tcBorders>
            <w:gridSpan w:val="26"/>
          </w:tcPr>
          <w:p>
            <w:pPr>
              <w:ind w:left="380"/>
              <w:spacing w:after="0"/>
              <w:rPr>
                <w:sz w:val="20"/>
                <w:szCs w:val="20"/>
                <w:color w:val="auto"/>
              </w:rPr>
            </w:pPr>
            <w:r>
              <w:rPr>
                <w:rFonts w:ascii="Arial" w:cs="Arial" w:eastAsia="Arial" w:hAnsi="Arial"/>
                <w:sz w:val="14"/>
                <w:szCs w:val="14"/>
                <w:b w:val="1"/>
                <w:bCs w:val="1"/>
                <w:color w:val="auto"/>
              </w:rPr>
              <w:t>Description</w:t>
            </w:r>
          </w:p>
        </w:tc>
        <w:tc>
          <w:tcPr>
            <w:tcW w:w="20" w:type="dxa"/>
            <w:vAlign w:val="bottom"/>
          </w:tcPr>
          <w:p>
            <w:pPr>
              <w:spacing w:after="0"/>
              <w:rPr>
                <w:sz w:val="16"/>
                <w:szCs w:val="16"/>
                <w:color w:val="auto"/>
              </w:rPr>
            </w:pPr>
          </w:p>
        </w:tc>
      </w:tr>
      <w:tr>
        <w:trPr>
          <w:trHeight w:val="291"/>
        </w:trPr>
        <w:tc>
          <w:tcPr>
            <w:tcW w:w="1020" w:type="dxa"/>
            <w:vAlign w:val="bottom"/>
            <w:gridSpan w:val="2"/>
          </w:tcPr>
          <w:p>
            <w:pPr>
              <w:spacing w:after="0"/>
              <w:rPr>
                <w:sz w:val="20"/>
                <w:szCs w:val="20"/>
                <w:color w:val="auto"/>
              </w:rPr>
            </w:pPr>
            <w:r>
              <w:rPr>
                <w:rFonts w:ascii="Arial" w:cs="Arial" w:eastAsia="Arial" w:hAnsi="Arial"/>
                <w:sz w:val="18"/>
                <w:szCs w:val="18"/>
                <w:color w:val="auto"/>
              </w:rPr>
              <w:t>10.2</w:t>
            </w:r>
          </w:p>
        </w:tc>
        <w:tc>
          <w:tcPr>
            <w:tcW w:w="4560" w:type="dxa"/>
            <w:vAlign w:val="bottom"/>
            <w:tcBorders>
              <w:bottom w:val="single" w:sz="8" w:color="0000EE"/>
            </w:tcBorders>
            <w:gridSpan w:val="20"/>
          </w:tcPr>
          <w:p>
            <w:pPr>
              <w:spacing w:after="0"/>
              <w:rPr>
                <w:rFonts w:ascii="Arial" w:cs="Arial" w:eastAsia="Arial" w:hAnsi="Arial"/>
                <w:sz w:val="18"/>
                <w:szCs w:val="18"/>
                <w:color w:val="0000EE"/>
                <w:w w:val="99"/>
              </w:rPr>
            </w:pPr>
            <w:hyperlink r:id="rId138">
              <w:r>
                <w:rPr>
                  <w:rFonts w:ascii="Arial" w:cs="Arial" w:eastAsia="Arial" w:hAnsi="Arial"/>
                  <w:sz w:val="18"/>
                  <w:szCs w:val="18"/>
                  <w:color w:val="0000EE"/>
                  <w:w w:val="99"/>
                </w:rPr>
                <w:t>Amendment No. 1 to Software Development Cooperation</w:t>
              </w:r>
            </w:hyperlink>
          </w:p>
        </w:tc>
        <w:tc>
          <w:tcPr>
            <w:tcW w:w="800" w:type="dxa"/>
            <w:vAlign w:val="bottom"/>
            <w:gridSpan w:val="12"/>
          </w:tcPr>
          <w:p>
            <w:pPr>
              <w:spacing w:after="0"/>
              <w:rPr>
                <w:sz w:val="24"/>
                <w:szCs w:val="24"/>
                <w:color w:val="auto"/>
              </w:rPr>
            </w:pPr>
          </w:p>
        </w:tc>
      </w:tr>
      <w:tr>
        <w:trPr>
          <w:trHeight w:val="183"/>
        </w:trPr>
        <w:tc>
          <w:tcPr>
            <w:tcW w:w="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5220" w:type="dxa"/>
            <w:vAlign w:val="bottom"/>
            <w:tcBorders>
              <w:bottom w:val="single" w:sz="8" w:color="0000EE"/>
            </w:tcBorders>
            <w:gridSpan w:val="27"/>
          </w:tcPr>
          <w:p>
            <w:pPr>
              <w:spacing w:after="0" w:line="182" w:lineRule="exact"/>
              <w:rPr>
                <w:rFonts w:ascii="Arial" w:cs="Arial" w:eastAsia="Arial" w:hAnsi="Arial"/>
                <w:sz w:val="18"/>
                <w:szCs w:val="18"/>
                <w:color w:val="0000EE"/>
                <w:w w:val="99"/>
              </w:rPr>
            </w:pPr>
            <w:hyperlink r:id="rId138">
              <w:r>
                <w:rPr>
                  <w:rFonts w:ascii="Arial" w:cs="Arial" w:eastAsia="Arial" w:hAnsi="Arial"/>
                  <w:sz w:val="18"/>
                  <w:szCs w:val="18"/>
                  <w:color w:val="0000EE"/>
                  <w:w w:val="99"/>
                </w:rPr>
                <w:t>Agreement, by and between the Company and SAP AG, effective</w:t>
              </w:r>
            </w:hyperlink>
          </w:p>
        </w:tc>
        <w:tc>
          <w:tcPr>
            <w:tcW w:w="140" w:type="dxa"/>
            <w:vAlign w:val="bottom"/>
            <w:gridSpan w:val="5"/>
          </w:tcPr>
          <w:p>
            <w:pPr>
              <w:spacing w:after="0"/>
              <w:rPr>
                <w:sz w:val="15"/>
                <w:szCs w:val="15"/>
                <w:color w:val="auto"/>
              </w:rPr>
            </w:pPr>
          </w:p>
        </w:tc>
      </w:tr>
      <w:tr>
        <w:trPr>
          <w:trHeight w:val="183"/>
        </w:trPr>
        <w:tc>
          <w:tcPr>
            <w:tcW w:w="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840" w:type="dxa"/>
            <w:vAlign w:val="bottom"/>
            <w:tcBorders>
              <w:bottom w:val="single" w:sz="8" w:color="0000EE"/>
            </w:tcBorders>
            <w:gridSpan w:val="4"/>
          </w:tcPr>
          <w:p>
            <w:pPr>
              <w:spacing w:after="0" w:line="182" w:lineRule="exact"/>
              <w:rPr>
                <w:rFonts w:ascii="Arial" w:cs="Arial" w:eastAsia="Arial" w:hAnsi="Arial"/>
                <w:sz w:val="18"/>
                <w:szCs w:val="18"/>
                <w:color w:val="0000EE"/>
                <w:w w:val="99"/>
              </w:rPr>
            </w:pPr>
            <w:hyperlink r:id="rId138">
              <w:r>
                <w:rPr>
                  <w:rFonts w:ascii="Arial" w:cs="Arial" w:eastAsia="Arial" w:hAnsi="Arial"/>
                  <w:sz w:val="18"/>
                  <w:szCs w:val="18"/>
                  <w:color w:val="0000EE"/>
                  <w:w w:val="99"/>
                </w:rPr>
                <w:t>as of October 31, 2018</w:t>
              </w:r>
            </w:hyperlink>
          </w:p>
        </w:tc>
        <w:tc>
          <w:tcPr>
            <w:tcW w:w="3520" w:type="dxa"/>
            <w:vAlign w:val="bottom"/>
            <w:gridSpan w:val="28"/>
          </w:tcPr>
          <w:p>
            <w:pPr>
              <w:spacing w:after="0"/>
              <w:rPr>
                <w:sz w:val="15"/>
                <w:szCs w:val="15"/>
                <w:color w:val="auto"/>
              </w:rPr>
            </w:pPr>
          </w:p>
        </w:tc>
      </w:tr>
      <w:tr>
        <w:trPr>
          <w:trHeight w:val="304"/>
        </w:trPr>
        <w:tc>
          <w:tcPr>
            <w:tcW w:w="1020" w:type="dxa"/>
            <w:vAlign w:val="bottom"/>
            <w:gridSpan w:val="2"/>
          </w:tcPr>
          <w:p>
            <w:pPr>
              <w:spacing w:after="0"/>
              <w:rPr>
                <w:sz w:val="20"/>
                <w:szCs w:val="20"/>
                <w:color w:val="auto"/>
              </w:rPr>
            </w:pPr>
            <w:r>
              <w:rPr>
                <w:rFonts w:ascii="Arial" w:cs="Arial" w:eastAsia="Arial" w:hAnsi="Arial"/>
                <w:sz w:val="18"/>
                <w:szCs w:val="18"/>
                <w:color w:val="auto"/>
              </w:rPr>
              <w:t>10.3+</w:t>
            </w:r>
          </w:p>
        </w:tc>
        <w:tc>
          <w:tcPr>
            <w:tcW w:w="5360" w:type="dxa"/>
            <w:vAlign w:val="bottom"/>
            <w:gridSpan w:val="32"/>
          </w:tcPr>
          <w:p>
            <w:pPr>
              <w:spacing w:after="0"/>
              <w:rPr>
                <w:rFonts w:ascii="Arial" w:cs="Arial" w:eastAsia="Arial" w:hAnsi="Arial"/>
                <w:sz w:val="18"/>
                <w:szCs w:val="18"/>
                <w:color w:val="0000EE"/>
              </w:rPr>
            </w:pPr>
            <w:hyperlink r:id="rId139">
              <w:r>
                <w:rPr>
                  <w:rFonts w:ascii="Arial" w:cs="Arial" w:eastAsia="Arial" w:hAnsi="Arial"/>
                  <w:sz w:val="18"/>
                  <w:szCs w:val="18"/>
                  <w:color w:val="0000EE"/>
                </w:rPr>
                <w:t>2014 Equity Incentive Plan and form of equity agreements</w:t>
              </w:r>
            </w:hyperlink>
          </w:p>
        </w:tc>
      </w:tr>
      <w:tr>
        <w:trPr>
          <w:trHeight w:val="183"/>
        </w:trPr>
        <w:tc>
          <w:tcPr>
            <w:tcW w:w="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920" w:type="dxa"/>
            <w:vAlign w:val="bottom"/>
            <w:tcBorders>
              <w:top w:val="single" w:sz="8" w:color="0000EE"/>
              <w:bottom w:val="single" w:sz="8" w:color="0000EE"/>
            </w:tcBorders>
            <w:gridSpan w:val="3"/>
          </w:tcPr>
          <w:p>
            <w:pPr>
              <w:spacing w:after="0" w:line="182" w:lineRule="exact"/>
              <w:rPr>
                <w:rFonts w:ascii="Arial" w:cs="Arial" w:eastAsia="Arial" w:hAnsi="Arial"/>
                <w:sz w:val="18"/>
                <w:szCs w:val="18"/>
                <w:color w:val="0000EE"/>
                <w:w w:val="97"/>
              </w:rPr>
            </w:pPr>
            <w:hyperlink r:id="rId139">
              <w:r>
                <w:rPr>
                  <w:rFonts w:ascii="Arial" w:cs="Arial" w:eastAsia="Arial" w:hAnsi="Arial"/>
                  <w:sz w:val="18"/>
                  <w:szCs w:val="18"/>
                  <w:color w:val="0000EE"/>
                  <w:w w:val="97"/>
                </w:rPr>
                <w:t>thereunder.</w:t>
              </w:r>
            </w:hyperlink>
          </w:p>
        </w:tc>
        <w:tc>
          <w:tcPr>
            <w:tcW w:w="3700" w:type="dxa"/>
            <w:vAlign w:val="bottom"/>
            <w:tcBorders>
              <w:top w:val="single" w:sz="8" w:color="0000EE"/>
            </w:tcBorders>
            <w:gridSpan w:val="18"/>
          </w:tcPr>
          <w:p>
            <w:pPr>
              <w:spacing w:after="0"/>
              <w:rPr>
                <w:sz w:val="15"/>
                <w:szCs w:val="15"/>
                <w:color w:val="auto"/>
              </w:rPr>
            </w:pPr>
          </w:p>
        </w:tc>
        <w:tc>
          <w:tcPr>
            <w:tcW w:w="740" w:type="dxa"/>
            <w:vAlign w:val="bottom"/>
            <w:gridSpan w:val="11"/>
          </w:tcPr>
          <w:p>
            <w:pPr>
              <w:spacing w:after="0"/>
              <w:rPr>
                <w:sz w:val="15"/>
                <w:szCs w:val="15"/>
                <w:color w:val="auto"/>
              </w:rPr>
            </w:pPr>
          </w:p>
        </w:tc>
      </w:tr>
      <w:tr>
        <w:trPr>
          <w:trHeight w:val="304"/>
        </w:trPr>
        <w:tc>
          <w:tcPr>
            <w:tcW w:w="1020" w:type="dxa"/>
            <w:vAlign w:val="bottom"/>
            <w:gridSpan w:val="2"/>
          </w:tcPr>
          <w:p>
            <w:pPr>
              <w:spacing w:after="0"/>
              <w:rPr>
                <w:sz w:val="20"/>
                <w:szCs w:val="20"/>
                <w:color w:val="auto"/>
              </w:rPr>
            </w:pPr>
            <w:r>
              <w:rPr>
                <w:rFonts w:ascii="Arial" w:cs="Arial" w:eastAsia="Arial" w:hAnsi="Arial"/>
                <w:sz w:val="18"/>
                <w:szCs w:val="18"/>
                <w:color w:val="auto"/>
              </w:rPr>
              <w:t>10.4+</w:t>
            </w:r>
          </w:p>
        </w:tc>
        <w:tc>
          <w:tcPr>
            <w:tcW w:w="5360" w:type="dxa"/>
            <w:vAlign w:val="bottom"/>
            <w:gridSpan w:val="32"/>
          </w:tcPr>
          <w:p>
            <w:pPr>
              <w:spacing w:after="0"/>
              <w:rPr>
                <w:rFonts w:ascii="Arial" w:cs="Arial" w:eastAsia="Arial" w:hAnsi="Arial"/>
                <w:sz w:val="18"/>
                <w:szCs w:val="18"/>
                <w:color w:val="0000EE"/>
              </w:rPr>
            </w:pPr>
            <w:hyperlink r:id="rId140">
              <w:r>
                <w:rPr>
                  <w:rFonts w:ascii="Arial" w:cs="Arial" w:eastAsia="Arial" w:hAnsi="Arial"/>
                  <w:sz w:val="18"/>
                  <w:szCs w:val="18"/>
                  <w:color w:val="0000EE"/>
                </w:rPr>
                <w:t>Amendment No. 1 to the 2014 Equity Incentive Plan.</w:t>
              </w:r>
            </w:hyperlink>
          </w:p>
        </w:tc>
      </w:tr>
      <w:tr>
        <w:trPr>
          <w:trHeight w:val="20"/>
        </w:trPr>
        <w:tc>
          <w:tcPr>
            <w:tcW w:w="1020" w:type="dxa"/>
            <w:vAlign w:val="bottom"/>
            <w:gridSpan w:val="2"/>
          </w:tcPr>
          <w:p>
            <w:pPr>
              <w:spacing w:after="0" w:line="20" w:lineRule="exact"/>
              <w:rPr>
                <w:sz w:val="1"/>
                <w:szCs w:val="1"/>
                <w:color w:val="auto"/>
              </w:rPr>
            </w:pPr>
          </w:p>
        </w:tc>
        <w:tc>
          <w:tcPr>
            <w:tcW w:w="460" w:type="dxa"/>
            <w:vAlign w:val="bottom"/>
            <w:gridSpan w:val="2"/>
            <w:shd w:val="clear" w:color="auto" w:fill="0000EE"/>
          </w:tcPr>
          <w:p>
            <w:pPr>
              <w:spacing w:after="0" w:line="20" w:lineRule="exact"/>
              <w:rPr>
                <w:sz w:val="1"/>
                <w:szCs w:val="1"/>
                <w:color w:val="auto"/>
              </w:rPr>
            </w:pPr>
          </w:p>
        </w:tc>
        <w:tc>
          <w:tcPr>
            <w:tcW w:w="1460" w:type="dxa"/>
            <w:vAlign w:val="bottom"/>
            <w:gridSpan w:val="3"/>
            <w:shd w:val="clear" w:color="auto" w:fill="0000EE"/>
          </w:tcPr>
          <w:p>
            <w:pPr>
              <w:spacing w:after="0" w:line="20" w:lineRule="exact"/>
              <w:rPr>
                <w:sz w:val="1"/>
                <w:szCs w:val="1"/>
                <w:color w:val="auto"/>
              </w:rPr>
            </w:pPr>
          </w:p>
        </w:tc>
        <w:tc>
          <w:tcPr>
            <w:tcW w:w="110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304"/>
        </w:trPr>
        <w:tc>
          <w:tcPr>
            <w:tcW w:w="1020" w:type="dxa"/>
            <w:vAlign w:val="bottom"/>
            <w:gridSpan w:val="2"/>
          </w:tcPr>
          <w:p>
            <w:pPr>
              <w:spacing w:after="0"/>
              <w:rPr>
                <w:sz w:val="20"/>
                <w:szCs w:val="20"/>
                <w:color w:val="auto"/>
              </w:rPr>
            </w:pPr>
            <w:r>
              <w:rPr>
                <w:rFonts w:ascii="Arial" w:cs="Arial" w:eastAsia="Arial" w:hAnsi="Arial"/>
                <w:sz w:val="18"/>
                <w:szCs w:val="18"/>
                <w:color w:val="auto"/>
              </w:rPr>
              <w:t>10.5+</w:t>
            </w:r>
          </w:p>
        </w:tc>
        <w:tc>
          <w:tcPr>
            <w:tcW w:w="5360" w:type="dxa"/>
            <w:vAlign w:val="bottom"/>
            <w:gridSpan w:val="32"/>
          </w:tcPr>
          <w:p>
            <w:pPr>
              <w:spacing w:after="0"/>
              <w:rPr>
                <w:rFonts w:ascii="Arial" w:cs="Arial" w:eastAsia="Arial" w:hAnsi="Arial"/>
                <w:sz w:val="18"/>
                <w:szCs w:val="18"/>
                <w:color w:val="0000EE"/>
              </w:rPr>
            </w:pPr>
            <w:hyperlink r:id="rId141">
              <w:r>
                <w:rPr>
                  <w:rFonts w:ascii="Arial" w:cs="Arial" w:eastAsia="Arial" w:hAnsi="Arial"/>
                  <w:sz w:val="18"/>
                  <w:szCs w:val="18"/>
                  <w:color w:val="0000EE"/>
                </w:rPr>
                <w:t>Amendment No. 2 to the 2014 Equity Incentive Plan.</w:t>
              </w:r>
            </w:hyperlink>
          </w:p>
        </w:tc>
      </w:tr>
      <w:tr>
        <w:trPr>
          <w:trHeight w:val="20"/>
        </w:trPr>
        <w:tc>
          <w:tcPr>
            <w:tcW w:w="1020" w:type="dxa"/>
            <w:vAlign w:val="bottom"/>
            <w:gridSpan w:val="2"/>
          </w:tcPr>
          <w:p>
            <w:pPr>
              <w:spacing w:after="0" w:line="20" w:lineRule="exact"/>
              <w:rPr>
                <w:sz w:val="1"/>
                <w:szCs w:val="1"/>
                <w:color w:val="auto"/>
              </w:rPr>
            </w:pPr>
          </w:p>
        </w:tc>
        <w:tc>
          <w:tcPr>
            <w:tcW w:w="460" w:type="dxa"/>
            <w:vAlign w:val="bottom"/>
            <w:gridSpan w:val="2"/>
            <w:shd w:val="clear" w:color="auto" w:fill="0000EE"/>
          </w:tcPr>
          <w:p>
            <w:pPr>
              <w:spacing w:after="0" w:line="20" w:lineRule="exact"/>
              <w:rPr>
                <w:sz w:val="1"/>
                <w:szCs w:val="1"/>
                <w:color w:val="auto"/>
              </w:rPr>
            </w:pPr>
          </w:p>
        </w:tc>
        <w:tc>
          <w:tcPr>
            <w:tcW w:w="1460" w:type="dxa"/>
            <w:vAlign w:val="bottom"/>
            <w:gridSpan w:val="3"/>
            <w:shd w:val="clear" w:color="auto" w:fill="0000EE"/>
          </w:tcPr>
          <w:p>
            <w:pPr>
              <w:spacing w:after="0" w:line="20" w:lineRule="exact"/>
              <w:rPr>
                <w:sz w:val="1"/>
                <w:szCs w:val="1"/>
                <w:color w:val="auto"/>
              </w:rPr>
            </w:pPr>
          </w:p>
        </w:tc>
        <w:tc>
          <w:tcPr>
            <w:tcW w:w="110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304"/>
        </w:trPr>
        <w:tc>
          <w:tcPr>
            <w:tcW w:w="1020" w:type="dxa"/>
            <w:vAlign w:val="bottom"/>
            <w:gridSpan w:val="2"/>
          </w:tcPr>
          <w:p>
            <w:pPr>
              <w:spacing w:after="0"/>
              <w:rPr>
                <w:sz w:val="20"/>
                <w:szCs w:val="20"/>
                <w:color w:val="auto"/>
              </w:rPr>
            </w:pPr>
            <w:r>
              <w:rPr>
                <w:rFonts w:ascii="Arial" w:cs="Arial" w:eastAsia="Arial" w:hAnsi="Arial"/>
                <w:sz w:val="18"/>
                <w:szCs w:val="18"/>
                <w:color w:val="auto"/>
              </w:rPr>
              <w:t>10.6+</w:t>
            </w:r>
          </w:p>
        </w:tc>
        <w:tc>
          <w:tcPr>
            <w:tcW w:w="5360" w:type="dxa"/>
            <w:vAlign w:val="bottom"/>
            <w:gridSpan w:val="32"/>
          </w:tcPr>
          <w:p>
            <w:pPr>
              <w:spacing w:after="0"/>
              <w:rPr>
                <w:rFonts w:ascii="Arial" w:cs="Arial" w:eastAsia="Arial" w:hAnsi="Arial"/>
                <w:sz w:val="18"/>
                <w:szCs w:val="18"/>
                <w:color w:val="0000EE"/>
              </w:rPr>
            </w:pPr>
            <w:hyperlink r:id="rId142">
              <w:r>
                <w:rPr>
                  <w:rFonts w:ascii="Arial" w:cs="Arial" w:eastAsia="Arial" w:hAnsi="Arial"/>
                  <w:sz w:val="18"/>
                  <w:szCs w:val="18"/>
                  <w:color w:val="0000EE"/>
                </w:rPr>
                <w:t>Amendment No. 3 to the 2014 Equity Incentive Plan.</w:t>
              </w:r>
            </w:hyperlink>
          </w:p>
        </w:tc>
      </w:tr>
      <w:tr>
        <w:trPr>
          <w:trHeight w:val="20"/>
        </w:trPr>
        <w:tc>
          <w:tcPr>
            <w:tcW w:w="1020" w:type="dxa"/>
            <w:vAlign w:val="bottom"/>
            <w:gridSpan w:val="2"/>
          </w:tcPr>
          <w:p>
            <w:pPr>
              <w:spacing w:after="0" w:line="20" w:lineRule="exact"/>
              <w:rPr>
                <w:sz w:val="1"/>
                <w:szCs w:val="1"/>
                <w:color w:val="auto"/>
              </w:rPr>
            </w:pPr>
          </w:p>
        </w:tc>
        <w:tc>
          <w:tcPr>
            <w:tcW w:w="460" w:type="dxa"/>
            <w:vAlign w:val="bottom"/>
            <w:gridSpan w:val="2"/>
            <w:shd w:val="clear" w:color="auto" w:fill="0000EE"/>
          </w:tcPr>
          <w:p>
            <w:pPr>
              <w:spacing w:after="0" w:line="20" w:lineRule="exact"/>
              <w:rPr>
                <w:sz w:val="1"/>
                <w:szCs w:val="1"/>
                <w:color w:val="auto"/>
              </w:rPr>
            </w:pPr>
          </w:p>
        </w:tc>
        <w:tc>
          <w:tcPr>
            <w:tcW w:w="1460" w:type="dxa"/>
            <w:vAlign w:val="bottom"/>
            <w:gridSpan w:val="3"/>
            <w:shd w:val="clear" w:color="auto" w:fill="0000EE"/>
          </w:tcPr>
          <w:p>
            <w:pPr>
              <w:spacing w:after="0" w:line="20" w:lineRule="exact"/>
              <w:rPr>
                <w:sz w:val="1"/>
                <w:szCs w:val="1"/>
                <w:color w:val="auto"/>
              </w:rPr>
            </w:pPr>
          </w:p>
        </w:tc>
        <w:tc>
          <w:tcPr>
            <w:tcW w:w="110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304"/>
        </w:trPr>
        <w:tc>
          <w:tcPr>
            <w:tcW w:w="1020" w:type="dxa"/>
            <w:vAlign w:val="bottom"/>
            <w:gridSpan w:val="2"/>
          </w:tcPr>
          <w:p>
            <w:pPr>
              <w:spacing w:after="0"/>
              <w:rPr>
                <w:sz w:val="20"/>
                <w:szCs w:val="20"/>
                <w:color w:val="auto"/>
              </w:rPr>
            </w:pPr>
            <w:r>
              <w:rPr>
                <w:rFonts w:ascii="Arial" w:cs="Arial" w:eastAsia="Arial" w:hAnsi="Arial"/>
                <w:sz w:val="18"/>
                <w:szCs w:val="18"/>
                <w:color w:val="auto"/>
              </w:rPr>
              <w:t>10.7+</w:t>
            </w:r>
          </w:p>
        </w:tc>
        <w:tc>
          <w:tcPr>
            <w:tcW w:w="5360" w:type="dxa"/>
            <w:vAlign w:val="bottom"/>
            <w:gridSpan w:val="32"/>
          </w:tcPr>
          <w:p>
            <w:pPr>
              <w:spacing w:after="0"/>
              <w:rPr>
                <w:rFonts w:ascii="Arial" w:cs="Arial" w:eastAsia="Arial" w:hAnsi="Arial"/>
                <w:sz w:val="18"/>
                <w:szCs w:val="18"/>
                <w:color w:val="0000EE"/>
              </w:rPr>
            </w:pPr>
            <w:hyperlink r:id="rId143">
              <w:r>
                <w:rPr>
                  <w:rFonts w:ascii="Arial" w:cs="Arial" w:eastAsia="Arial" w:hAnsi="Arial"/>
                  <w:sz w:val="18"/>
                  <w:szCs w:val="18"/>
                  <w:color w:val="0000EE"/>
                </w:rPr>
                <w:t>2016 Equity Incentive Plan and the form of equity award</w:t>
              </w:r>
            </w:hyperlink>
          </w:p>
        </w:tc>
      </w:tr>
      <w:tr>
        <w:trPr>
          <w:trHeight w:val="183"/>
        </w:trPr>
        <w:tc>
          <w:tcPr>
            <w:tcW w:w="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920" w:type="dxa"/>
            <w:vAlign w:val="bottom"/>
            <w:tcBorders>
              <w:top w:val="single" w:sz="8" w:color="0000EE"/>
              <w:bottom w:val="single" w:sz="8" w:color="0000EE"/>
            </w:tcBorders>
            <w:gridSpan w:val="5"/>
          </w:tcPr>
          <w:p>
            <w:pPr>
              <w:spacing w:after="0" w:line="182" w:lineRule="exact"/>
              <w:rPr>
                <w:rFonts w:ascii="Arial" w:cs="Arial" w:eastAsia="Arial" w:hAnsi="Arial"/>
                <w:sz w:val="18"/>
                <w:szCs w:val="18"/>
                <w:color w:val="0000EE"/>
                <w:w w:val="98"/>
              </w:rPr>
            </w:pPr>
            <w:hyperlink r:id="rId143">
              <w:r>
                <w:rPr>
                  <w:rFonts w:ascii="Arial" w:cs="Arial" w:eastAsia="Arial" w:hAnsi="Arial"/>
                  <w:sz w:val="18"/>
                  <w:szCs w:val="18"/>
                  <w:color w:val="0000EE"/>
                  <w:w w:val="98"/>
                </w:rPr>
                <w:t>agreements thereunder.</w:t>
              </w:r>
            </w:hyperlink>
          </w:p>
        </w:tc>
        <w:tc>
          <w:tcPr>
            <w:tcW w:w="2540" w:type="dxa"/>
            <w:vAlign w:val="bottom"/>
            <w:tcBorders>
              <w:top w:val="single" w:sz="8" w:color="0000EE"/>
            </w:tcBorders>
            <w:gridSpan w:val="12"/>
          </w:tcPr>
          <w:p>
            <w:pPr>
              <w:spacing w:after="0"/>
              <w:rPr>
                <w:sz w:val="15"/>
                <w:szCs w:val="15"/>
                <w:color w:val="auto"/>
              </w:rPr>
            </w:pPr>
          </w:p>
        </w:tc>
        <w:tc>
          <w:tcPr>
            <w:tcW w:w="900" w:type="dxa"/>
            <w:vAlign w:val="bottom"/>
            <w:gridSpan w:val="15"/>
          </w:tcPr>
          <w:p>
            <w:pPr>
              <w:spacing w:after="0"/>
              <w:rPr>
                <w:sz w:val="15"/>
                <w:szCs w:val="15"/>
                <w:color w:val="auto"/>
              </w:rPr>
            </w:pPr>
          </w:p>
        </w:tc>
      </w:tr>
      <w:tr>
        <w:trPr>
          <w:trHeight w:val="304"/>
        </w:trPr>
        <w:tc>
          <w:tcPr>
            <w:tcW w:w="1020" w:type="dxa"/>
            <w:vAlign w:val="bottom"/>
            <w:gridSpan w:val="2"/>
          </w:tcPr>
          <w:p>
            <w:pPr>
              <w:spacing w:after="0"/>
              <w:rPr>
                <w:sz w:val="20"/>
                <w:szCs w:val="20"/>
                <w:color w:val="auto"/>
              </w:rPr>
            </w:pPr>
            <w:r>
              <w:rPr>
                <w:rFonts w:ascii="Arial" w:cs="Arial" w:eastAsia="Arial" w:hAnsi="Arial"/>
                <w:sz w:val="18"/>
                <w:szCs w:val="18"/>
                <w:color w:val="auto"/>
              </w:rPr>
              <w:t>10.8+</w:t>
            </w:r>
          </w:p>
        </w:tc>
        <w:tc>
          <w:tcPr>
            <w:tcW w:w="4560" w:type="dxa"/>
            <w:vAlign w:val="bottom"/>
            <w:tcBorders>
              <w:bottom w:val="single" w:sz="8" w:color="0000EE"/>
            </w:tcBorders>
            <w:gridSpan w:val="20"/>
          </w:tcPr>
          <w:p>
            <w:pPr>
              <w:spacing w:after="0"/>
              <w:rPr>
                <w:rFonts w:ascii="Arial" w:cs="Arial" w:eastAsia="Arial" w:hAnsi="Arial"/>
                <w:sz w:val="18"/>
                <w:szCs w:val="18"/>
                <w:color w:val="0000EE"/>
                <w:w w:val="99"/>
              </w:rPr>
            </w:pPr>
            <w:hyperlink r:id="rId144">
              <w:r>
                <w:rPr>
                  <w:rFonts w:ascii="Arial" w:cs="Arial" w:eastAsia="Arial" w:hAnsi="Arial"/>
                  <w:sz w:val="18"/>
                  <w:szCs w:val="18"/>
                  <w:color w:val="0000EE"/>
                  <w:w w:val="99"/>
                </w:rPr>
                <w:t>Employee Incentive Compensation Plan of the Company.</w:t>
              </w:r>
            </w:hyperlink>
          </w:p>
        </w:tc>
        <w:tc>
          <w:tcPr>
            <w:tcW w:w="800" w:type="dxa"/>
            <w:vAlign w:val="bottom"/>
            <w:gridSpan w:val="12"/>
          </w:tcPr>
          <w:p>
            <w:pPr>
              <w:spacing w:after="0"/>
              <w:rPr>
                <w:sz w:val="24"/>
                <w:szCs w:val="24"/>
                <w:color w:val="auto"/>
              </w:rPr>
            </w:pPr>
          </w:p>
        </w:tc>
      </w:tr>
      <w:tr>
        <w:trPr>
          <w:trHeight w:val="304"/>
        </w:trPr>
        <w:tc>
          <w:tcPr>
            <w:tcW w:w="1020" w:type="dxa"/>
            <w:vAlign w:val="bottom"/>
            <w:gridSpan w:val="2"/>
          </w:tcPr>
          <w:p>
            <w:pPr>
              <w:spacing w:after="0"/>
              <w:rPr>
                <w:sz w:val="20"/>
                <w:szCs w:val="20"/>
                <w:color w:val="auto"/>
              </w:rPr>
            </w:pPr>
            <w:r>
              <w:rPr>
                <w:rFonts w:ascii="Arial" w:cs="Arial" w:eastAsia="Arial" w:hAnsi="Arial"/>
                <w:sz w:val="18"/>
                <w:szCs w:val="18"/>
                <w:color w:val="auto"/>
              </w:rPr>
              <w:t>10.9+</w:t>
            </w:r>
          </w:p>
        </w:tc>
        <w:tc>
          <w:tcPr>
            <w:tcW w:w="5360" w:type="dxa"/>
            <w:vAlign w:val="bottom"/>
            <w:gridSpan w:val="32"/>
          </w:tcPr>
          <w:p>
            <w:pPr>
              <w:spacing w:after="0"/>
              <w:rPr>
                <w:rFonts w:ascii="Arial" w:cs="Arial" w:eastAsia="Arial" w:hAnsi="Arial"/>
                <w:sz w:val="18"/>
                <w:szCs w:val="18"/>
                <w:color w:val="0000EE"/>
              </w:rPr>
            </w:pPr>
            <w:hyperlink r:id="rId145">
              <w:r>
                <w:rPr>
                  <w:rFonts w:ascii="Arial" w:cs="Arial" w:eastAsia="Arial" w:hAnsi="Arial"/>
                  <w:sz w:val="18"/>
                  <w:szCs w:val="18"/>
                  <w:color w:val="0000EE"/>
                </w:rPr>
                <w:t>2018 Employee Stock Purchase Plan.</w:t>
              </w:r>
            </w:hyperlink>
          </w:p>
        </w:tc>
      </w:tr>
      <w:tr>
        <w:trPr>
          <w:trHeight w:val="20"/>
        </w:trPr>
        <w:tc>
          <w:tcPr>
            <w:tcW w:w="1020" w:type="dxa"/>
            <w:vAlign w:val="bottom"/>
            <w:gridSpan w:val="2"/>
          </w:tcPr>
          <w:p>
            <w:pPr>
              <w:spacing w:after="0" w:line="20" w:lineRule="exact"/>
              <w:rPr>
                <w:sz w:val="1"/>
                <w:szCs w:val="1"/>
                <w:color w:val="auto"/>
              </w:rPr>
            </w:pPr>
          </w:p>
        </w:tc>
        <w:tc>
          <w:tcPr>
            <w:tcW w:w="460" w:type="dxa"/>
            <w:vAlign w:val="bottom"/>
            <w:gridSpan w:val="2"/>
            <w:shd w:val="clear" w:color="auto" w:fill="0000EE"/>
          </w:tcPr>
          <w:p>
            <w:pPr>
              <w:spacing w:after="0" w:line="20" w:lineRule="exact"/>
              <w:rPr>
                <w:sz w:val="1"/>
                <w:szCs w:val="1"/>
                <w:color w:val="auto"/>
              </w:rPr>
            </w:pPr>
          </w:p>
        </w:tc>
        <w:tc>
          <w:tcPr>
            <w:tcW w:w="2560" w:type="dxa"/>
            <w:vAlign w:val="bottom"/>
            <w:gridSpan w:val="4"/>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304"/>
        </w:trPr>
        <w:tc>
          <w:tcPr>
            <w:tcW w:w="1020" w:type="dxa"/>
            <w:vAlign w:val="bottom"/>
            <w:gridSpan w:val="2"/>
          </w:tcPr>
          <w:p>
            <w:pPr>
              <w:spacing w:after="0"/>
              <w:rPr>
                <w:sz w:val="20"/>
                <w:szCs w:val="20"/>
                <w:color w:val="auto"/>
              </w:rPr>
            </w:pPr>
            <w:r>
              <w:rPr>
                <w:rFonts w:ascii="Arial" w:cs="Arial" w:eastAsia="Arial" w:hAnsi="Arial"/>
                <w:sz w:val="18"/>
                <w:szCs w:val="18"/>
                <w:color w:val="auto"/>
              </w:rPr>
              <w:t>10.10+</w:t>
            </w:r>
          </w:p>
        </w:tc>
        <w:tc>
          <w:tcPr>
            <w:tcW w:w="3960" w:type="dxa"/>
            <w:vAlign w:val="bottom"/>
            <w:tcBorders>
              <w:bottom w:val="single" w:sz="8" w:color="0000EE"/>
            </w:tcBorders>
            <w:gridSpan w:val="13"/>
          </w:tcPr>
          <w:p>
            <w:pPr>
              <w:spacing w:after="0"/>
              <w:rPr>
                <w:rFonts w:ascii="Arial" w:cs="Arial" w:eastAsia="Arial" w:hAnsi="Arial"/>
                <w:sz w:val="18"/>
                <w:szCs w:val="18"/>
                <w:color w:val="0000EE"/>
                <w:w w:val="99"/>
              </w:rPr>
            </w:pPr>
            <w:hyperlink r:id="rId146">
              <w:r>
                <w:rPr>
                  <w:rFonts w:ascii="Arial" w:cs="Arial" w:eastAsia="Arial" w:hAnsi="Arial"/>
                  <w:sz w:val="18"/>
                  <w:szCs w:val="18"/>
                  <w:color w:val="0000EE"/>
                  <w:w w:val="99"/>
                </w:rPr>
                <w:t>Form of Change of Control and Severance Policy.</w:t>
              </w:r>
            </w:hyperlink>
          </w:p>
        </w:tc>
        <w:tc>
          <w:tcPr>
            <w:tcW w:w="1400" w:type="dxa"/>
            <w:vAlign w:val="bottom"/>
            <w:gridSpan w:val="19"/>
          </w:tcPr>
          <w:p>
            <w:pPr>
              <w:spacing w:after="0"/>
              <w:rPr>
                <w:sz w:val="24"/>
                <w:szCs w:val="24"/>
                <w:color w:val="auto"/>
              </w:rPr>
            </w:pPr>
          </w:p>
        </w:tc>
      </w:tr>
      <w:tr>
        <w:trPr>
          <w:trHeight w:val="304"/>
        </w:trPr>
        <w:tc>
          <w:tcPr>
            <w:tcW w:w="1020" w:type="dxa"/>
            <w:vAlign w:val="bottom"/>
            <w:gridSpan w:val="2"/>
          </w:tcPr>
          <w:p>
            <w:pPr>
              <w:spacing w:after="0"/>
              <w:rPr>
                <w:sz w:val="20"/>
                <w:szCs w:val="20"/>
                <w:color w:val="auto"/>
              </w:rPr>
            </w:pPr>
            <w:r>
              <w:rPr>
                <w:rFonts w:ascii="Arial" w:cs="Arial" w:eastAsia="Arial" w:hAnsi="Arial"/>
                <w:sz w:val="18"/>
                <w:szCs w:val="18"/>
                <w:color w:val="auto"/>
              </w:rPr>
              <w:t>10.11+</w:t>
            </w:r>
          </w:p>
        </w:tc>
        <w:tc>
          <w:tcPr>
            <w:tcW w:w="5320" w:type="dxa"/>
            <w:vAlign w:val="bottom"/>
            <w:tcBorders>
              <w:bottom w:val="single" w:sz="8" w:color="0000EE"/>
            </w:tcBorders>
            <w:gridSpan w:val="30"/>
          </w:tcPr>
          <w:p>
            <w:pPr>
              <w:spacing w:after="0"/>
              <w:rPr>
                <w:rFonts w:ascii="Arial" w:cs="Arial" w:eastAsia="Arial" w:hAnsi="Arial"/>
                <w:sz w:val="18"/>
                <w:szCs w:val="18"/>
                <w:color w:val="0000EE"/>
                <w:w w:val="99"/>
              </w:rPr>
            </w:pPr>
            <w:hyperlink r:id="rId147">
              <w:r>
                <w:rPr>
                  <w:rFonts w:ascii="Arial" w:cs="Arial" w:eastAsia="Arial" w:hAnsi="Arial"/>
                  <w:sz w:val="18"/>
                  <w:szCs w:val="18"/>
                  <w:color w:val="0000EE"/>
                  <w:w w:val="99"/>
                </w:rPr>
                <w:t>Executive Employment Agreement, by and between the Registrant</w:t>
              </w:r>
            </w:hyperlink>
          </w:p>
        </w:tc>
        <w:tc>
          <w:tcPr>
            <w:tcW w:w="40" w:type="dxa"/>
            <w:vAlign w:val="bottom"/>
            <w:gridSpan w:val="2"/>
          </w:tcPr>
          <w:p>
            <w:pPr>
              <w:spacing w:after="0"/>
              <w:rPr>
                <w:sz w:val="24"/>
                <w:szCs w:val="24"/>
                <w:color w:val="auto"/>
              </w:rPr>
            </w:pPr>
          </w:p>
        </w:tc>
      </w:tr>
      <w:tr>
        <w:trPr>
          <w:trHeight w:val="183"/>
        </w:trPr>
        <w:tc>
          <w:tcPr>
            <w:tcW w:w="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4200" w:type="dxa"/>
            <w:vAlign w:val="bottom"/>
            <w:tcBorders>
              <w:bottom w:val="single" w:sz="8" w:color="0000EE"/>
            </w:tcBorders>
            <w:gridSpan w:val="16"/>
          </w:tcPr>
          <w:p>
            <w:pPr>
              <w:spacing w:after="0" w:line="182" w:lineRule="exact"/>
              <w:rPr>
                <w:rFonts w:ascii="Arial" w:cs="Arial" w:eastAsia="Arial" w:hAnsi="Arial"/>
                <w:sz w:val="18"/>
                <w:szCs w:val="18"/>
                <w:color w:val="0000EE"/>
                <w:w w:val="99"/>
              </w:rPr>
            </w:pPr>
            <w:hyperlink r:id="rId147">
              <w:r>
                <w:rPr>
                  <w:rFonts w:ascii="Arial" w:cs="Arial" w:eastAsia="Arial" w:hAnsi="Arial"/>
                  <w:sz w:val="18"/>
                  <w:szCs w:val="18"/>
                  <w:color w:val="0000EE"/>
                  <w:w w:val="99"/>
                </w:rPr>
                <w:t>and Therese Tucker, effective as of January 1, 2016.</w:t>
              </w:r>
            </w:hyperlink>
          </w:p>
        </w:tc>
        <w:tc>
          <w:tcPr>
            <w:tcW w:w="1160" w:type="dxa"/>
            <w:vAlign w:val="bottom"/>
            <w:gridSpan w:val="16"/>
          </w:tcPr>
          <w:p>
            <w:pPr>
              <w:spacing w:after="0"/>
              <w:rPr>
                <w:sz w:val="15"/>
                <w:szCs w:val="15"/>
                <w:color w:val="auto"/>
              </w:rPr>
            </w:pPr>
          </w:p>
        </w:tc>
      </w:tr>
      <w:tr>
        <w:trPr>
          <w:trHeight w:val="304"/>
        </w:trPr>
        <w:tc>
          <w:tcPr>
            <w:tcW w:w="1020" w:type="dxa"/>
            <w:vAlign w:val="bottom"/>
            <w:gridSpan w:val="2"/>
          </w:tcPr>
          <w:p>
            <w:pPr>
              <w:spacing w:after="0"/>
              <w:rPr>
                <w:sz w:val="20"/>
                <w:szCs w:val="20"/>
                <w:color w:val="auto"/>
              </w:rPr>
            </w:pPr>
            <w:r>
              <w:rPr>
                <w:rFonts w:ascii="Arial" w:cs="Arial" w:eastAsia="Arial" w:hAnsi="Arial"/>
                <w:sz w:val="18"/>
                <w:szCs w:val="18"/>
                <w:color w:val="auto"/>
              </w:rPr>
              <w:t>10.12+</w:t>
            </w:r>
          </w:p>
        </w:tc>
        <w:tc>
          <w:tcPr>
            <w:tcW w:w="5360" w:type="dxa"/>
            <w:vAlign w:val="bottom"/>
            <w:tcBorders>
              <w:bottom w:val="single" w:sz="8" w:color="0000EE"/>
            </w:tcBorders>
            <w:gridSpan w:val="32"/>
          </w:tcPr>
          <w:p>
            <w:pPr>
              <w:spacing w:after="0"/>
              <w:rPr>
                <w:rFonts w:ascii="Arial" w:cs="Arial" w:eastAsia="Arial" w:hAnsi="Arial"/>
                <w:sz w:val="18"/>
                <w:szCs w:val="18"/>
                <w:color w:val="0000EE"/>
                <w:w w:val="99"/>
              </w:rPr>
            </w:pPr>
            <w:hyperlink r:id="rId148">
              <w:r>
                <w:rPr>
                  <w:rFonts w:ascii="Arial" w:cs="Arial" w:eastAsia="Arial" w:hAnsi="Arial"/>
                  <w:sz w:val="18"/>
                  <w:szCs w:val="18"/>
                  <w:color w:val="0000EE"/>
                  <w:w w:val="99"/>
                </w:rPr>
                <w:t>Employment Offer Letter, by and between the Company and Karole</w:t>
              </w:r>
            </w:hyperlink>
          </w:p>
        </w:tc>
      </w:tr>
      <w:tr>
        <w:trPr>
          <w:trHeight w:val="183"/>
        </w:trPr>
        <w:tc>
          <w:tcPr>
            <w:tcW w:w="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5360" w:type="dxa"/>
            <w:vAlign w:val="bottom"/>
            <w:gridSpan w:val="32"/>
          </w:tcPr>
          <w:p>
            <w:pPr>
              <w:spacing w:after="0" w:line="182" w:lineRule="exact"/>
              <w:rPr>
                <w:rFonts w:ascii="Arial" w:cs="Arial" w:eastAsia="Arial" w:hAnsi="Arial"/>
                <w:sz w:val="18"/>
                <w:szCs w:val="18"/>
                <w:color w:val="0000EE"/>
              </w:rPr>
            </w:pPr>
            <w:hyperlink r:id="rId148">
              <w:r>
                <w:rPr>
                  <w:rFonts w:ascii="Arial" w:cs="Arial" w:eastAsia="Arial" w:hAnsi="Arial"/>
                  <w:sz w:val="18"/>
                  <w:szCs w:val="18"/>
                  <w:color w:val="0000EE"/>
                </w:rPr>
                <w:t>Morgan-Prager, dated as of May 4, 2015.</w:t>
              </w:r>
            </w:hyperlink>
          </w:p>
        </w:tc>
      </w:tr>
      <w:tr>
        <w:trPr>
          <w:trHeight w:val="20"/>
        </w:trPr>
        <w:tc>
          <w:tcPr>
            <w:tcW w:w="1020" w:type="dxa"/>
            <w:vAlign w:val="bottom"/>
            <w:gridSpan w:val="2"/>
          </w:tcPr>
          <w:p>
            <w:pPr>
              <w:spacing w:after="0" w:line="20" w:lineRule="exact"/>
              <w:rPr>
                <w:sz w:val="1"/>
                <w:szCs w:val="1"/>
                <w:color w:val="auto"/>
              </w:rPr>
            </w:pPr>
          </w:p>
        </w:tc>
        <w:tc>
          <w:tcPr>
            <w:tcW w:w="460" w:type="dxa"/>
            <w:vAlign w:val="bottom"/>
            <w:gridSpan w:val="2"/>
            <w:shd w:val="clear" w:color="auto" w:fill="0000EE"/>
          </w:tcPr>
          <w:p>
            <w:pPr>
              <w:spacing w:after="0" w:line="20" w:lineRule="exact"/>
              <w:rPr>
                <w:sz w:val="1"/>
                <w:szCs w:val="1"/>
                <w:color w:val="auto"/>
              </w:rPr>
            </w:pPr>
          </w:p>
        </w:tc>
        <w:tc>
          <w:tcPr>
            <w:tcW w:w="2600" w:type="dxa"/>
            <w:vAlign w:val="bottom"/>
            <w:gridSpan w:val="5"/>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48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304"/>
        </w:trPr>
        <w:tc>
          <w:tcPr>
            <w:tcW w:w="1020" w:type="dxa"/>
            <w:vAlign w:val="bottom"/>
            <w:gridSpan w:val="2"/>
          </w:tcPr>
          <w:p>
            <w:pPr>
              <w:spacing w:after="0"/>
              <w:rPr>
                <w:sz w:val="20"/>
                <w:szCs w:val="20"/>
                <w:color w:val="auto"/>
              </w:rPr>
            </w:pPr>
            <w:r>
              <w:rPr>
                <w:rFonts w:ascii="Arial" w:cs="Arial" w:eastAsia="Arial" w:hAnsi="Arial"/>
                <w:sz w:val="18"/>
                <w:szCs w:val="18"/>
                <w:color w:val="auto"/>
              </w:rPr>
              <w:t>10.13+</w:t>
            </w:r>
          </w:p>
        </w:tc>
        <w:tc>
          <w:tcPr>
            <w:tcW w:w="4880" w:type="dxa"/>
            <w:vAlign w:val="bottom"/>
            <w:tcBorders>
              <w:bottom w:val="single" w:sz="8" w:color="0000EE"/>
            </w:tcBorders>
            <w:gridSpan w:val="22"/>
          </w:tcPr>
          <w:p>
            <w:pPr>
              <w:spacing w:after="0"/>
              <w:rPr>
                <w:rFonts w:ascii="Arial" w:cs="Arial" w:eastAsia="Arial" w:hAnsi="Arial"/>
                <w:sz w:val="18"/>
                <w:szCs w:val="18"/>
                <w:color w:val="0000EE"/>
                <w:w w:val="99"/>
              </w:rPr>
            </w:pPr>
            <w:hyperlink r:id="rId149">
              <w:r>
                <w:rPr>
                  <w:rFonts w:ascii="Arial" w:cs="Arial" w:eastAsia="Arial" w:hAnsi="Arial"/>
                  <w:sz w:val="18"/>
                  <w:szCs w:val="18"/>
                  <w:color w:val="0000EE"/>
                  <w:w w:val="99"/>
                </w:rPr>
                <w:t>Confirmatory Offer Letter, by and between the Registrant and</w:t>
              </w:r>
            </w:hyperlink>
          </w:p>
        </w:tc>
        <w:tc>
          <w:tcPr>
            <w:tcW w:w="480" w:type="dxa"/>
            <w:vAlign w:val="bottom"/>
            <w:gridSpan w:val="10"/>
          </w:tcPr>
          <w:p>
            <w:pPr>
              <w:spacing w:after="0"/>
              <w:rPr>
                <w:sz w:val="24"/>
                <w:szCs w:val="24"/>
                <w:color w:val="auto"/>
              </w:rPr>
            </w:pPr>
          </w:p>
        </w:tc>
      </w:tr>
      <w:tr>
        <w:trPr>
          <w:trHeight w:val="183"/>
        </w:trPr>
        <w:tc>
          <w:tcPr>
            <w:tcW w:w="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4500" w:type="dxa"/>
            <w:vAlign w:val="bottom"/>
            <w:tcBorders>
              <w:bottom w:val="single" w:sz="8" w:color="0000EE"/>
            </w:tcBorders>
            <w:gridSpan w:val="18"/>
          </w:tcPr>
          <w:p>
            <w:pPr>
              <w:spacing w:after="0" w:line="182" w:lineRule="exact"/>
              <w:rPr>
                <w:rFonts w:ascii="Arial" w:cs="Arial" w:eastAsia="Arial" w:hAnsi="Arial"/>
                <w:sz w:val="18"/>
                <w:szCs w:val="18"/>
                <w:color w:val="0000EE"/>
                <w:w w:val="99"/>
              </w:rPr>
            </w:pPr>
            <w:hyperlink r:id="rId149">
              <w:r>
                <w:rPr>
                  <w:rFonts w:ascii="Arial" w:cs="Arial" w:eastAsia="Arial" w:hAnsi="Arial"/>
                  <w:sz w:val="18"/>
                  <w:szCs w:val="18"/>
                  <w:color w:val="0000EE"/>
                  <w:w w:val="99"/>
                </w:rPr>
                <w:t>Karole Morgan-Prager, dated as of September 29, 2016.</w:t>
              </w:r>
            </w:hyperlink>
          </w:p>
        </w:tc>
        <w:tc>
          <w:tcPr>
            <w:tcW w:w="860" w:type="dxa"/>
            <w:vAlign w:val="bottom"/>
            <w:gridSpan w:val="14"/>
          </w:tcPr>
          <w:p>
            <w:pPr>
              <w:spacing w:after="0"/>
              <w:rPr>
                <w:sz w:val="15"/>
                <w:szCs w:val="15"/>
                <w:color w:val="auto"/>
              </w:rPr>
            </w:pPr>
          </w:p>
        </w:tc>
      </w:tr>
      <w:tr>
        <w:trPr>
          <w:trHeight w:val="304"/>
        </w:trPr>
        <w:tc>
          <w:tcPr>
            <w:tcW w:w="1020" w:type="dxa"/>
            <w:vAlign w:val="bottom"/>
            <w:gridSpan w:val="2"/>
          </w:tcPr>
          <w:p>
            <w:pPr>
              <w:spacing w:after="0"/>
              <w:rPr>
                <w:sz w:val="20"/>
                <w:szCs w:val="20"/>
                <w:color w:val="auto"/>
              </w:rPr>
            </w:pPr>
            <w:r>
              <w:rPr>
                <w:rFonts w:ascii="Arial" w:cs="Arial" w:eastAsia="Arial" w:hAnsi="Arial"/>
                <w:sz w:val="18"/>
                <w:szCs w:val="18"/>
                <w:color w:val="auto"/>
              </w:rPr>
              <w:t>10.14+</w:t>
            </w:r>
          </w:p>
        </w:tc>
        <w:tc>
          <w:tcPr>
            <w:tcW w:w="5360" w:type="dxa"/>
            <w:vAlign w:val="bottom"/>
            <w:gridSpan w:val="32"/>
          </w:tcPr>
          <w:p>
            <w:pPr>
              <w:spacing w:after="0"/>
              <w:rPr>
                <w:rFonts w:ascii="Arial" w:cs="Arial" w:eastAsia="Arial" w:hAnsi="Arial"/>
                <w:sz w:val="18"/>
                <w:szCs w:val="18"/>
                <w:color w:val="0000EE"/>
              </w:rPr>
            </w:pPr>
            <w:hyperlink r:id="rId150">
              <w:r>
                <w:rPr>
                  <w:rFonts w:ascii="Arial" w:cs="Arial" w:eastAsia="Arial" w:hAnsi="Arial"/>
                  <w:sz w:val="18"/>
                  <w:szCs w:val="18"/>
                  <w:color w:val="0000EE"/>
                </w:rPr>
                <w:t>Employment Offer Letter, by and between the Company and Mark</w:t>
              </w:r>
            </w:hyperlink>
          </w:p>
        </w:tc>
      </w:tr>
      <w:tr>
        <w:trPr>
          <w:trHeight w:val="183"/>
        </w:trPr>
        <w:tc>
          <w:tcPr>
            <w:tcW w:w="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5240" w:type="dxa"/>
            <w:vAlign w:val="bottom"/>
            <w:tcBorders>
              <w:top w:val="single" w:sz="8" w:color="0000EE"/>
            </w:tcBorders>
            <w:gridSpan w:val="28"/>
          </w:tcPr>
          <w:p>
            <w:pPr>
              <w:spacing w:after="0" w:line="182" w:lineRule="exact"/>
              <w:rPr>
                <w:rFonts w:ascii="Arial" w:cs="Arial" w:eastAsia="Arial" w:hAnsi="Arial"/>
                <w:sz w:val="18"/>
                <w:szCs w:val="18"/>
                <w:color w:val="0000EE"/>
              </w:rPr>
            </w:pPr>
            <w:hyperlink r:id="rId150">
              <w:r>
                <w:rPr>
                  <w:rFonts w:ascii="Arial" w:cs="Arial" w:eastAsia="Arial" w:hAnsi="Arial"/>
                  <w:sz w:val="18"/>
                  <w:szCs w:val="18"/>
                  <w:color w:val="0000EE"/>
                </w:rPr>
                <w:t>Partin, dated as of December 25, 2014.</w:t>
              </w:r>
            </w:hyperlink>
          </w:p>
        </w:tc>
        <w:tc>
          <w:tcPr>
            <w:tcW w:w="120" w:type="dxa"/>
            <w:vAlign w:val="bottom"/>
            <w:gridSpan w:val="4"/>
          </w:tcPr>
          <w:p>
            <w:pPr>
              <w:spacing w:after="0"/>
              <w:rPr>
                <w:sz w:val="15"/>
                <w:szCs w:val="15"/>
                <w:color w:val="auto"/>
              </w:rPr>
            </w:pPr>
          </w:p>
        </w:tc>
      </w:tr>
      <w:tr>
        <w:trPr>
          <w:trHeight w:val="20"/>
        </w:trPr>
        <w:tc>
          <w:tcPr>
            <w:tcW w:w="1020" w:type="dxa"/>
            <w:vAlign w:val="bottom"/>
            <w:gridSpan w:val="2"/>
          </w:tcPr>
          <w:p>
            <w:pPr>
              <w:spacing w:after="0" w:line="20" w:lineRule="exact"/>
              <w:rPr>
                <w:sz w:val="1"/>
                <w:szCs w:val="1"/>
                <w:color w:val="auto"/>
              </w:rPr>
            </w:pPr>
          </w:p>
        </w:tc>
        <w:tc>
          <w:tcPr>
            <w:tcW w:w="460" w:type="dxa"/>
            <w:vAlign w:val="bottom"/>
            <w:gridSpan w:val="2"/>
            <w:shd w:val="clear" w:color="auto" w:fill="0000EE"/>
          </w:tcPr>
          <w:p>
            <w:pPr>
              <w:spacing w:after="0" w:line="20" w:lineRule="exact"/>
              <w:rPr>
                <w:sz w:val="1"/>
                <w:szCs w:val="1"/>
                <w:color w:val="auto"/>
              </w:rPr>
            </w:pPr>
          </w:p>
        </w:tc>
        <w:tc>
          <w:tcPr>
            <w:tcW w:w="2600" w:type="dxa"/>
            <w:vAlign w:val="bottom"/>
            <w:gridSpan w:val="5"/>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500" w:type="dxa"/>
            <w:vAlign w:val="bottom"/>
            <w:gridSpan w:val="5"/>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304"/>
        </w:trPr>
        <w:tc>
          <w:tcPr>
            <w:tcW w:w="1020" w:type="dxa"/>
            <w:vAlign w:val="bottom"/>
            <w:gridSpan w:val="2"/>
          </w:tcPr>
          <w:p>
            <w:pPr>
              <w:spacing w:after="0"/>
              <w:rPr>
                <w:sz w:val="20"/>
                <w:szCs w:val="20"/>
                <w:color w:val="auto"/>
              </w:rPr>
            </w:pPr>
            <w:r>
              <w:rPr>
                <w:rFonts w:ascii="Arial" w:cs="Arial" w:eastAsia="Arial" w:hAnsi="Arial"/>
                <w:sz w:val="18"/>
                <w:szCs w:val="18"/>
                <w:color w:val="auto"/>
              </w:rPr>
              <w:t>10.15+</w:t>
            </w:r>
          </w:p>
        </w:tc>
        <w:tc>
          <w:tcPr>
            <w:tcW w:w="5360" w:type="dxa"/>
            <w:vAlign w:val="bottom"/>
            <w:gridSpan w:val="32"/>
          </w:tcPr>
          <w:p>
            <w:pPr>
              <w:spacing w:after="0"/>
              <w:rPr>
                <w:rFonts w:ascii="Arial" w:cs="Arial" w:eastAsia="Arial" w:hAnsi="Arial"/>
                <w:sz w:val="18"/>
                <w:szCs w:val="18"/>
                <w:color w:val="0000EE"/>
              </w:rPr>
            </w:pPr>
            <w:hyperlink r:id="rId151">
              <w:r>
                <w:rPr>
                  <w:rFonts w:ascii="Arial" w:cs="Arial" w:eastAsia="Arial" w:hAnsi="Arial"/>
                  <w:sz w:val="18"/>
                  <w:szCs w:val="18"/>
                  <w:color w:val="0000EE"/>
                </w:rPr>
                <w:t>Confirmatory Offer Letter, by and between the Registrant and Mark</w:t>
              </w:r>
            </w:hyperlink>
          </w:p>
        </w:tc>
      </w:tr>
      <w:tr>
        <w:trPr>
          <w:trHeight w:val="183"/>
        </w:trPr>
        <w:tc>
          <w:tcPr>
            <w:tcW w:w="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3200" w:type="dxa"/>
            <w:vAlign w:val="bottom"/>
            <w:tcBorders>
              <w:top w:val="single" w:sz="8" w:color="0000EE"/>
              <w:bottom w:val="single" w:sz="8" w:color="0000EE"/>
            </w:tcBorders>
            <w:gridSpan w:val="9"/>
          </w:tcPr>
          <w:p>
            <w:pPr>
              <w:spacing w:after="0" w:line="182" w:lineRule="exact"/>
              <w:rPr>
                <w:rFonts w:ascii="Arial" w:cs="Arial" w:eastAsia="Arial" w:hAnsi="Arial"/>
                <w:sz w:val="18"/>
                <w:szCs w:val="18"/>
                <w:color w:val="0000EE"/>
                <w:w w:val="99"/>
              </w:rPr>
            </w:pPr>
            <w:hyperlink r:id="rId151">
              <w:r>
                <w:rPr>
                  <w:rFonts w:ascii="Arial" w:cs="Arial" w:eastAsia="Arial" w:hAnsi="Arial"/>
                  <w:sz w:val="18"/>
                  <w:szCs w:val="18"/>
                  <w:color w:val="0000EE"/>
                  <w:w w:val="99"/>
                </w:rPr>
                <w:t>Partin, dated as of September 29, 2016.</w:t>
              </w:r>
            </w:hyperlink>
          </w:p>
        </w:tc>
        <w:tc>
          <w:tcPr>
            <w:tcW w:w="2120" w:type="dxa"/>
            <w:vAlign w:val="bottom"/>
            <w:tcBorders>
              <w:top w:val="single" w:sz="8" w:color="0000EE"/>
            </w:tcBorders>
            <w:gridSpan w:val="21"/>
          </w:tcPr>
          <w:p>
            <w:pPr>
              <w:spacing w:after="0"/>
              <w:rPr>
                <w:sz w:val="15"/>
                <w:szCs w:val="15"/>
                <w:color w:val="auto"/>
              </w:rPr>
            </w:pPr>
          </w:p>
        </w:tc>
        <w:tc>
          <w:tcPr>
            <w:tcW w:w="40" w:type="dxa"/>
            <w:vAlign w:val="bottom"/>
            <w:gridSpan w:val="2"/>
          </w:tcPr>
          <w:p>
            <w:pPr>
              <w:spacing w:after="0"/>
              <w:rPr>
                <w:sz w:val="15"/>
                <w:szCs w:val="15"/>
                <w:color w:val="auto"/>
              </w:rPr>
            </w:pPr>
          </w:p>
        </w:tc>
      </w:tr>
      <w:tr>
        <w:trPr>
          <w:trHeight w:val="304"/>
        </w:trPr>
        <w:tc>
          <w:tcPr>
            <w:tcW w:w="1020" w:type="dxa"/>
            <w:vAlign w:val="bottom"/>
            <w:gridSpan w:val="2"/>
          </w:tcPr>
          <w:p>
            <w:pPr>
              <w:spacing w:after="0"/>
              <w:rPr>
                <w:sz w:val="20"/>
                <w:szCs w:val="20"/>
                <w:color w:val="auto"/>
              </w:rPr>
            </w:pPr>
            <w:r>
              <w:rPr>
                <w:rFonts w:ascii="Arial" w:cs="Arial" w:eastAsia="Arial" w:hAnsi="Arial"/>
                <w:sz w:val="18"/>
                <w:szCs w:val="18"/>
                <w:color w:val="auto"/>
              </w:rPr>
              <w:t>10.16+</w:t>
            </w:r>
          </w:p>
        </w:tc>
        <w:tc>
          <w:tcPr>
            <w:tcW w:w="5300" w:type="dxa"/>
            <w:vAlign w:val="bottom"/>
            <w:tcBorders>
              <w:bottom w:val="single" w:sz="8" w:color="0000EE"/>
            </w:tcBorders>
            <w:gridSpan w:val="29"/>
          </w:tcPr>
          <w:p>
            <w:pPr>
              <w:spacing w:after="0"/>
              <w:rPr>
                <w:rFonts w:ascii="Arial" w:cs="Arial" w:eastAsia="Arial" w:hAnsi="Arial"/>
                <w:sz w:val="18"/>
                <w:szCs w:val="18"/>
                <w:color w:val="0000EE"/>
                <w:w w:val="99"/>
              </w:rPr>
            </w:pPr>
            <w:hyperlink r:id="rId152">
              <w:r>
                <w:rPr>
                  <w:rFonts w:ascii="Arial" w:cs="Arial" w:eastAsia="Arial" w:hAnsi="Arial"/>
                  <w:sz w:val="18"/>
                  <w:szCs w:val="18"/>
                  <w:color w:val="0000EE"/>
                  <w:w w:val="99"/>
                </w:rPr>
                <w:t>Employment Offer Letter, by and between the Registrant and Marc</w:t>
              </w:r>
            </w:hyperlink>
          </w:p>
        </w:tc>
        <w:tc>
          <w:tcPr>
            <w:tcW w:w="60" w:type="dxa"/>
            <w:vAlign w:val="bottom"/>
            <w:gridSpan w:val="3"/>
          </w:tcPr>
          <w:p>
            <w:pPr>
              <w:spacing w:after="0"/>
              <w:rPr>
                <w:sz w:val="24"/>
                <w:szCs w:val="24"/>
                <w:color w:val="auto"/>
              </w:rPr>
            </w:pPr>
          </w:p>
        </w:tc>
      </w:tr>
      <w:tr>
        <w:trPr>
          <w:trHeight w:val="183"/>
        </w:trPr>
        <w:tc>
          <w:tcPr>
            <w:tcW w:w="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3060" w:type="dxa"/>
            <w:vAlign w:val="bottom"/>
            <w:tcBorders>
              <w:bottom w:val="single" w:sz="8" w:color="0000EE"/>
            </w:tcBorders>
            <w:gridSpan w:val="7"/>
          </w:tcPr>
          <w:p>
            <w:pPr>
              <w:spacing w:after="0" w:line="182" w:lineRule="exact"/>
              <w:rPr>
                <w:rFonts w:ascii="Arial" w:cs="Arial" w:eastAsia="Arial" w:hAnsi="Arial"/>
                <w:sz w:val="18"/>
                <w:szCs w:val="18"/>
                <w:color w:val="0000EE"/>
                <w:w w:val="99"/>
              </w:rPr>
            </w:pPr>
            <w:hyperlink r:id="rId152">
              <w:r>
                <w:rPr>
                  <w:rFonts w:ascii="Arial" w:cs="Arial" w:eastAsia="Arial" w:hAnsi="Arial"/>
                  <w:sz w:val="18"/>
                  <w:szCs w:val="18"/>
                  <w:color w:val="0000EE"/>
                  <w:w w:val="99"/>
                </w:rPr>
                <w:t>Huffman, dated as of January 8, 2018.</w:t>
              </w:r>
            </w:hyperlink>
          </w:p>
        </w:tc>
        <w:tc>
          <w:tcPr>
            <w:tcW w:w="2300" w:type="dxa"/>
            <w:vAlign w:val="bottom"/>
            <w:gridSpan w:val="25"/>
          </w:tcPr>
          <w:p>
            <w:pPr>
              <w:spacing w:after="0"/>
              <w:rPr>
                <w:sz w:val="15"/>
                <w:szCs w:val="15"/>
                <w:color w:val="auto"/>
              </w:rPr>
            </w:pPr>
          </w:p>
        </w:tc>
      </w:tr>
      <w:tr>
        <w:trPr>
          <w:trHeight w:val="304"/>
        </w:trPr>
        <w:tc>
          <w:tcPr>
            <w:tcW w:w="1020" w:type="dxa"/>
            <w:vAlign w:val="bottom"/>
            <w:gridSpan w:val="2"/>
          </w:tcPr>
          <w:p>
            <w:pPr>
              <w:spacing w:after="0"/>
              <w:rPr>
                <w:sz w:val="20"/>
                <w:szCs w:val="20"/>
                <w:color w:val="auto"/>
              </w:rPr>
            </w:pPr>
            <w:r>
              <w:rPr>
                <w:rFonts w:ascii="Arial" w:cs="Arial" w:eastAsia="Arial" w:hAnsi="Arial"/>
                <w:sz w:val="18"/>
                <w:szCs w:val="18"/>
                <w:color w:val="auto"/>
              </w:rPr>
              <w:t>10.17+</w:t>
            </w:r>
          </w:p>
        </w:tc>
        <w:tc>
          <w:tcPr>
            <w:tcW w:w="5360" w:type="dxa"/>
            <w:vAlign w:val="bottom"/>
            <w:gridSpan w:val="32"/>
          </w:tcPr>
          <w:p>
            <w:pPr>
              <w:spacing w:after="0"/>
              <w:rPr>
                <w:rFonts w:ascii="Arial" w:cs="Arial" w:eastAsia="Arial" w:hAnsi="Arial"/>
                <w:sz w:val="18"/>
                <w:szCs w:val="18"/>
                <w:color w:val="0000EE"/>
              </w:rPr>
            </w:pPr>
            <w:hyperlink r:id="rId153">
              <w:r>
                <w:rPr>
                  <w:rFonts w:ascii="Arial" w:cs="Arial" w:eastAsia="Arial" w:hAnsi="Arial"/>
                  <w:sz w:val="18"/>
                  <w:szCs w:val="18"/>
                  <w:color w:val="0000EE"/>
                </w:rPr>
                <w:t>Form of Indemnification Agreement between the Registrant and</w:t>
              </w:r>
            </w:hyperlink>
          </w:p>
        </w:tc>
      </w:tr>
      <w:tr>
        <w:trPr>
          <w:trHeight w:val="183"/>
        </w:trPr>
        <w:tc>
          <w:tcPr>
            <w:tcW w:w="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5060" w:type="dxa"/>
            <w:vAlign w:val="bottom"/>
            <w:tcBorders>
              <w:top w:val="single" w:sz="8" w:color="0000EE"/>
            </w:tcBorders>
            <w:gridSpan w:val="23"/>
          </w:tcPr>
          <w:p>
            <w:pPr>
              <w:spacing w:after="0" w:line="182" w:lineRule="exact"/>
              <w:rPr>
                <w:rFonts w:ascii="Arial" w:cs="Arial" w:eastAsia="Arial" w:hAnsi="Arial"/>
                <w:sz w:val="18"/>
                <w:szCs w:val="18"/>
                <w:color w:val="0000EE"/>
              </w:rPr>
            </w:pPr>
            <w:hyperlink r:id="rId153">
              <w:r>
                <w:rPr>
                  <w:rFonts w:ascii="Arial" w:cs="Arial" w:eastAsia="Arial" w:hAnsi="Arial"/>
                  <w:sz w:val="18"/>
                  <w:szCs w:val="18"/>
                  <w:color w:val="0000EE"/>
                </w:rPr>
                <w:t>each of its directors and executive officers</w:t>
              </w:r>
              <w:r>
                <w:rPr>
                  <w:rFonts w:ascii="Arial" w:cs="Arial" w:eastAsia="Arial" w:hAnsi="Arial"/>
                  <w:sz w:val="18"/>
                  <w:szCs w:val="18"/>
                  <w:color w:val="000000"/>
                </w:rPr>
                <w:t>.</w:t>
              </w:r>
            </w:hyperlink>
          </w:p>
        </w:tc>
        <w:tc>
          <w:tcPr>
            <w:tcW w:w="300" w:type="dxa"/>
            <w:vAlign w:val="bottom"/>
            <w:gridSpan w:val="9"/>
          </w:tcPr>
          <w:p>
            <w:pPr>
              <w:spacing w:after="0"/>
              <w:rPr>
                <w:sz w:val="15"/>
                <w:szCs w:val="15"/>
                <w:color w:val="auto"/>
              </w:rPr>
            </w:pPr>
          </w:p>
        </w:tc>
      </w:tr>
      <w:tr>
        <w:trPr>
          <w:trHeight w:val="20"/>
        </w:trPr>
        <w:tc>
          <w:tcPr>
            <w:tcW w:w="1020" w:type="dxa"/>
            <w:vAlign w:val="bottom"/>
            <w:gridSpan w:val="2"/>
          </w:tcPr>
          <w:p>
            <w:pPr>
              <w:spacing w:after="0" w:line="20" w:lineRule="exact"/>
              <w:rPr>
                <w:sz w:val="1"/>
                <w:szCs w:val="1"/>
                <w:color w:val="auto"/>
              </w:rPr>
            </w:pPr>
          </w:p>
        </w:tc>
        <w:tc>
          <w:tcPr>
            <w:tcW w:w="460" w:type="dxa"/>
            <w:vAlign w:val="bottom"/>
            <w:gridSpan w:val="2"/>
            <w:shd w:val="clear" w:color="auto" w:fill="0000EE"/>
          </w:tcPr>
          <w:p>
            <w:pPr>
              <w:spacing w:after="0" w:line="20" w:lineRule="exact"/>
              <w:rPr>
                <w:sz w:val="1"/>
                <w:szCs w:val="1"/>
                <w:color w:val="auto"/>
              </w:rPr>
            </w:pPr>
          </w:p>
        </w:tc>
        <w:tc>
          <w:tcPr>
            <w:tcW w:w="2600" w:type="dxa"/>
            <w:vAlign w:val="bottom"/>
            <w:gridSpan w:val="5"/>
            <w:shd w:val="clear" w:color="auto" w:fill="0000EE"/>
          </w:tcPr>
          <w:p>
            <w:pPr>
              <w:spacing w:after="0" w:line="20" w:lineRule="exact"/>
              <w:rPr>
                <w:sz w:val="1"/>
                <w:szCs w:val="1"/>
                <w:color w:val="auto"/>
              </w:rPr>
            </w:pPr>
          </w:p>
        </w:tc>
        <w:tc>
          <w:tcPr>
            <w:tcW w:w="280" w:type="dxa"/>
            <w:vAlign w:val="bottom"/>
            <w:gridSpan w:val="4"/>
            <w:shd w:val="clear" w:color="auto" w:fill="0000EE"/>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500" w:type="dxa"/>
            <w:vAlign w:val="bottom"/>
            <w:gridSpan w:val="5"/>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20" w:type="dxa"/>
            <w:vAlign w:val="bottom"/>
            <w:gridSpan w:val="4"/>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gridSpan w:val="6"/>
          </w:tcPr>
          <w:p>
            <w:pPr>
              <w:spacing w:after="0" w:line="20" w:lineRule="exact"/>
              <w:rPr>
                <w:sz w:val="1"/>
                <w:szCs w:val="1"/>
                <w:color w:val="auto"/>
              </w:rPr>
            </w:pPr>
          </w:p>
        </w:tc>
      </w:tr>
      <w:tr>
        <w:trPr>
          <w:trHeight w:val="304"/>
        </w:trPr>
        <w:tc>
          <w:tcPr>
            <w:tcW w:w="1020" w:type="dxa"/>
            <w:vAlign w:val="bottom"/>
            <w:gridSpan w:val="2"/>
          </w:tcPr>
          <w:p>
            <w:pPr>
              <w:spacing w:after="0"/>
              <w:rPr>
                <w:sz w:val="20"/>
                <w:szCs w:val="20"/>
                <w:color w:val="auto"/>
              </w:rPr>
            </w:pPr>
            <w:r>
              <w:rPr>
                <w:rFonts w:ascii="Arial" w:cs="Arial" w:eastAsia="Arial" w:hAnsi="Arial"/>
                <w:sz w:val="18"/>
                <w:szCs w:val="18"/>
                <w:color w:val="auto"/>
              </w:rPr>
              <w:t>10.18</w:t>
            </w:r>
          </w:p>
        </w:tc>
        <w:tc>
          <w:tcPr>
            <w:tcW w:w="5360" w:type="dxa"/>
            <w:vAlign w:val="bottom"/>
            <w:gridSpan w:val="32"/>
          </w:tcPr>
          <w:p>
            <w:pPr>
              <w:spacing w:after="0"/>
              <w:rPr>
                <w:rFonts w:ascii="Arial" w:cs="Arial" w:eastAsia="Arial" w:hAnsi="Arial"/>
                <w:sz w:val="18"/>
                <w:szCs w:val="18"/>
                <w:color w:val="0000EE"/>
              </w:rPr>
            </w:pPr>
            <w:hyperlink r:id="rId154">
              <w:r>
                <w:rPr>
                  <w:rFonts w:ascii="Arial" w:cs="Arial" w:eastAsia="Arial" w:hAnsi="Arial"/>
                  <w:sz w:val="18"/>
                  <w:szCs w:val="18"/>
                  <w:color w:val="0000EE"/>
                </w:rPr>
                <w:t>Restrictive Covenant Agreement, by and between the Company</w:t>
              </w:r>
            </w:hyperlink>
          </w:p>
        </w:tc>
      </w:tr>
      <w:tr>
        <w:trPr>
          <w:trHeight w:val="183"/>
        </w:trPr>
        <w:tc>
          <w:tcPr>
            <w:tcW w:w="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3900" w:type="dxa"/>
            <w:vAlign w:val="bottom"/>
            <w:tcBorders>
              <w:top w:val="single" w:sz="8" w:color="0000EE"/>
              <w:bottom w:val="single" w:sz="8" w:color="0000EE"/>
            </w:tcBorders>
            <w:gridSpan w:val="12"/>
          </w:tcPr>
          <w:p>
            <w:pPr>
              <w:spacing w:after="0" w:line="182" w:lineRule="exact"/>
              <w:rPr>
                <w:rFonts w:ascii="Arial" w:cs="Arial" w:eastAsia="Arial" w:hAnsi="Arial"/>
                <w:sz w:val="18"/>
                <w:szCs w:val="18"/>
                <w:color w:val="0000EE"/>
                <w:w w:val="99"/>
              </w:rPr>
            </w:pPr>
            <w:hyperlink r:id="rId154">
              <w:r>
                <w:rPr>
                  <w:rFonts w:ascii="Arial" w:cs="Arial" w:eastAsia="Arial" w:hAnsi="Arial"/>
                  <w:sz w:val="18"/>
                  <w:szCs w:val="18"/>
                  <w:color w:val="0000EE"/>
                  <w:w w:val="99"/>
                </w:rPr>
                <w:t>and Therese Tucker, dated as of August 8, 2013.</w:t>
              </w:r>
            </w:hyperlink>
          </w:p>
        </w:tc>
        <w:tc>
          <w:tcPr>
            <w:tcW w:w="1180" w:type="dxa"/>
            <w:vAlign w:val="bottom"/>
            <w:tcBorders>
              <w:top w:val="single" w:sz="8" w:color="0000EE"/>
            </w:tcBorders>
            <w:gridSpan w:val="12"/>
          </w:tcPr>
          <w:p>
            <w:pPr>
              <w:spacing w:after="0"/>
              <w:rPr>
                <w:sz w:val="15"/>
                <w:szCs w:val="15"/>
                <w:color w:val="auto"/>
              </w:rPr>
            </w:pPr>
          </w:p>
        </w:tc>
        <w:tc>
          <w:tcPr>
            <w:tcW w:w="280" w:type="dxa"/>
            <w:vAlign w:val="bottom"/>
            <w:gridSpan w:val="8"/>
          </w:tcPr>
          <w:p>
            <w:pPr>
              <w:spacing w:after="0"/>
              <w:rPr>
                <w:sz w:val="15"/>
                <w:szCs w:val="15"/>
                <w:color w:val="auto"/>
              </w:rPr>
            </w:pPr>
          </w:p>
        </w:tc>
      </w:tr>
      <w:tr>
        <w:trPr>
          <w:trHeight w:val="304"/>
        </w:trPr>
        <w:tc>
          <w:tcPr>
            <w:tcW w:w="1020" w:type="dxa"/>
            <w:vAlign w:val="bottom"/>
            <w:gridSpan w:val="2"/>
          </w:tcPr>
          <w:p>
            <w:pPr>
              <w:spacing w:after="0"/>
              <w:rPr>
                <w:sz w:val="20"/>
                <w:szCs w:val="20"/>
                <w:color w:val="auto"/>
              </w:rPr>
            </w:pPr>
            <w:r>
              <w:rPr>
                <w:rFonts w:ascii="Arial" w:cs="Arial" w:eastAsia="Arial" w:hAnsi="Arial"/>
                <w:sz w:val="18"/>
                <w:szCs w:val="18"/>
                <w:color w:val="auto"/>
              </w:rPr>
              <w:t>10.19</w:t>
            </w:r>
          </w:p>
        </w:tc>
        <w:tc>
          <w:tcPr>
            <w:tcW w:w="5360" w:type="dxa"/>
            <w:vAlign w:val="bottom"/>
            <w:gridSpan w:val="32"/>
          </w:tcPr>
          <w:p>
            <w:pPr>
              <w:spacing w:after="0"/>
              <w:rPr>
                <w:rFonts w:ascii="Arial" w:cs="Arial" w:eastAsia="Arial" w:hAnsi="Arial"/>
                <w:sz w:val="18"/>
                <w:szCs w:val="18"/>
                <w:color w:val="0000EE"/>
              </w:rPr>
            </w:pPr>
            <w:hyperlink r:id="rId155">
              <w:r>
                <w:rPr>
                  <w:rFonts w:ascii="Arial" w:cs="Arial" w:eastAsia="Arial" w:hAnsi="Arial"/>
                  <w:sz w:val="18"/>
                  <w:szCs w:val="18"/>
                  <w:color w:val="0000EE"/>
                </w:rPr>
                <w:t>Restrictive Covenant Agreement, by and between the Company</w:t>
              </w:r>
            </w:hyperlink>
          </w:p>
        </w:tc>
      </w:tr>
      <w:tr>
        <w:trPr>
          <w:trHeight w:val="183"/>
        </w:trPr>
        <w:tc>
          <w:tcPr>
            <w:tcW w:w="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5080" w:type="dxa"/>
            <w:vAlign w:val="bottom"/>
            <w:tcBorders>
              <w:top w:val="single" w:sz="8" w:color="0000EE"/>
            </w:tcBorders>
            <w:gridSpan w:val="24"/>
          </w:tcPr>
          <w:p>
            <w:pPr>
              <w:spacing w:after="0" w:line="182" w:lineRule="exact"/>
              <w:rPr>
                <w:rFonts w:ascii="Arial" w:cs="Arial" w:eastAsia="Arial" w:hAnsi="Arial"/>
                <w:sz w:val="18"/>
                <w:szCs w:val="18"/>
                <w:color w:val="0000EE"/>
              </w:rPr>
            </w:pPr>
            <w:hyperlink r:id="rId155">
              <w:r>
                <w:rPr>
                  <w:rFonts w:ascii="Arial" w:cs="Arial" w:eastAsia="Arial" w:hAnsi="Arial"/>
                  <w:sz w:val="18"/>
                  <w:szCs w:val="18"/>
                  <w:color w:val="0000EE"/>
                </w:rPr>
                <w:t>and Mario Spanicciati, dated as of August 9, 2013.</w:t>
              </w:r>
            </w:hyperlink>
          </w:p>
        </w:tc>
        <w:tc>
          <w:tcPr>
            <w:tcW w:w="280" w:type="dxa"/>
            <w:vAlign w:val="bottom"/>
            <w:gridSpan w:val="8"/>
          </w:tcPr>
          <w:p>
            <w:pPr>
              <w:spacing w:after="0"/>
              <w:rPr>
                <w:sz w:val="15"/>
                <w:szCs w:val="15"/>
                <w:color w:val="auto"/>
              </w:rPr>
            </w:pPr>
          </w:p>
        </w:tc>
      </w:tr>
      <w:tr>
        <w:trPr>
          <w:trHeight w:val="20"/>
        </w:trPr>
        <w:tc>
          <w:tcPr>
            <w:tcW w:w="1020" w:type="dxa"/>
            <w:vAlign w:val="bottom"/>
            <w:gridSpan w:val="2"/>
          </w:tcPr>
          <w:p>
            <w:pPr>
              <w:spacing w:after="0" w:line="20" w:lineRule="exact"/>
              <w:rPr>
                <w:sz w:val="1"/>
                <w:szCs w:val="1"/>
                <w:color w:val="auto"/>
              </w:rPr>
            </w:pPr>
          </w:p>
        </w:tc>
        <w:tc>
          <w:tcPr>
            <w:tcW w:w="460" w:type="dxa"/>
            <w:vAlign w:val="bottom"/>
            <w:gridSpan w:val="2"/>
            <w:shd w:val="clear" w:color="auto" w:fill="0000EE"/>
          </w:tcPr>
          <w:p>
            <w:pPr>
              <w:spacing w:after="0" w:line="20" w:lineRule="exact"/>
              <w:rPr>
                <w:sz w:val="1"/>
                <w:szCs w:val="1"/>
                <w:color w:val="auto"/>
              </w:rPr>
            </w:pPr>
          </w:p>
        </w:tc>
        <w:tc>
          <w:tcPr>
            <w:tcW w:w="2600" w:type="dxa"/>
            <w:vAlign w:val="bottom"/>
            <w:gridSpan w:val="5"/>
            <w:shd w:val="clear" w:color="auto" w:fill="0000EE"/>
          </w:tcPr>
          <w:p>
            <w:pPr>
              <w:spacing w:after="0" w:line="20" w:lineRule="exact"/>
              <w:rPr>
                <w:sz w:val="1"/>
                <w:szCs w:val="1"/>
                <w:color w:val="auto"/>
              </w:rPr>
            </w:pPr>
          </w:p>
        </w:tc>
        <w:tc>
          <w:tcPr>
            <w:tcW w:w="960" w:type="dxa"/>
            <w:vAlign w:val="bottom"/>
            <w:gridSpan w:val="7"/>
            <w:shd w:val="clear" w:color="auto" w:fill="0000EE"/>
          </w:tcPr>
          <w:p>
            <w:pPr>
              <w:spacing w:after="0" w:line="20" w:lineRule="exact"/>
              <w:rPr>
                <w:sz w:val="1"/>
                <w:szCs w:val="1"/>
                <w:color w:val="auto"/>
              </w:rPr>
            </w:pPr>
          </w:p>
        </w:tc>
        <w:tc>
          <w:tcPr>
            <w:tcW w:w="500" w:type="dxa"/>
            <w:vAlign w:val="bottom"/>
            <w:gridSpan w:val="5"/>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60" w:type="dxa"/>
            <w:vAlign w:val="bottom"/>
            <w:gridSpan w:val="5"/>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gridSpan w:val="6"/>
          </w:tcPr>
          <w:p>
            <w:pPr>
              <w:spacing w:after="0" w:line="20" w:lineRule="exact"/>
              <w:rPr>
                <w:sz w:val="1"/>
                <w:szCs w:val="1"/>
                <w:color w:val="auto"/>
              </w:rPr>
            </w:pPr>
          </w:p>
        </w:tc>
      </w:tr>
      <w:tr>
        <w:trPr>
          <w:trHeight w:val="304"/>
        </w:trPr>
        <w:tc>
          <w:tcPr>
            <w:tcW w:w="1020" w:type="dxa"/>
            <w:vAlign w:val="bottom"/>
            <w:gridSpan w:val="2"/>
          </w:tcPr>
          <w:p>
            <w:pPr>
              <w:spacing w:after="0"/>
              <w:rPr>
                <w:sz w:val="20"/>
                <w:szCs w:val="20"/>
                <w:color w:val="auto"/>
              </w:rPr>
            </w:pPr>
            <w:r>
              <w:rPr>
                <w:rFonts w:ascii="Arial" w:cs="Arial" w:eastAsia="Arial" w:hAnsi="Arial"/>
                <w:sz w:val="18"/>
                <w:szCs w:val="18"/>
                <w:color w:val="auto"/>
              </w:rPr>
              <w:t>10.20*</w:t>
            </w:r>
          </w:p>
        </w:tc>
        <w:tc>
          <w:tcPr>
            <w:tcW w:w="5360" w:type="dxa"/>
            <w:vAlign w:val="bottom"/>
            <w:gridSpan w:val="32"/>
          </w:tcPr>
          <w:p>
            <w:pPr>
              <w:spacing w:after="0"/>
              <w:rPr>
                <w:rFonts w:ascii="Arial" w:cs="Arial" w:eastAsia="Arial" w:hAnsi="Arial"/>
                <w:sz w:val="18"/>
                <w:szCs w:val="18"/>
                <w:color w:val="0000EE"/>
              </w:rPr>
            </w:pPr>
            <w:hyperlink r:id="rId156">
              <w:r>
                <w:rPr>
                  <w:rFonts w:ascii="Arial" w:cs="Arial" w:eastAsia="Arial" w:hAnsi="Arial"/>
                  <w:sz w:val="18"/>
                  <w:szCs w:val="18"/>
                  <w:color w:val="0000EE"/>
                </w:rPr>
                <w:t>Office Lease, by and between the Company and Douglas Emmet</w:t>
              </w:r>
            </w:hyperlink>
          </w:p>
        </w:tc>
      </w:tr>
      <w:tr>
        <w:trPr>
          <w:trHeight w:val="183"/>
        </w:trPr>
        <w:tc>
          <w:tcPr>
            <w:tcW w:w="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5180" w:type="dxa"/>
            <w:vAlign w:val="bottom"/>
            <w:tcBorders>
              <w:top w:val="single" w:sz="8" w:color="0000EE"/>
            </w:tcBorders>
            <w:gridSpan w:val="26"/>
          </w:tcPr>
          <w:p>
            <w:pPr>
              <w:spacing w:after="0" w:line="182" w:lineRule="exact"/>
              <w:rPr>
                <w:rFonts w:ascii="Arial" w:cs="Arial" w:eastAsia="Arial" w:hAnsi="Arial"/>
                <w:sz w:val="18"/>
                <w:szCs w:val="18"/>
                <w:color w:val="0000EE"/>
              </w:rPr>
            </w:pPr>
            <w:hyperlink r:id="rId156">
              <w:r>
                <w:rPr>
                  <w:rFonts w:ascii="Arial" w:cs="Arial" w:eastAsia="Arial" w:hAnsi="Arial"/>
                  <w:sz w:val="18"/>
                  <w:szCs w:val="18"/>
                  <w:color w:val="0000EE"/>
                </w:rPr>
                <w:t>2008, LLC, dated November 22, 2010.</w:t>
              </w:r>
            </w:hyperlink>
          </w:p>
        </w:tc>
        <w:tc>
          <w:tcPr>
            <w:tcW w:w="180" w:type="dxa"/>
            <w:vAlign w:val="bottom"/>
            <w:gridSpan w:val="6"/>
          </w:tcPr>
          <w:p>
            <w:pPr>
              <w:spacing w:after="0"/>
              <w:rPr>
                <w:sz w:val="15"/>
                <w:szCs w:val="15"/>
                <w:color w:val="auto"/>
              </w:rPr>
            </w:pPr>
          </w:p>
        </w:tc>
      </w:tr>
      <w:tr>
        <w:trPr>
          <w:trHeight w:val="20"/>
        </w:trPr>
        <w:tc>
          <w:tcPr>
            <w:tcW w:w="1020" w:type="dxa"/>
            <w:vAlign w:val="bottom"/>
            <w:gridSpan w:val="2"/>
          </w:tcPr>
          <w:p>
            <w:pPr>
              <w:spacing w:after="0" w:line="20" w:lineRule="exact"/>
              <w:rPr>
                <w:sz w:val="1"/>
                <w:szCs w:val="1"/>
                <w:color w:val="auto"/>
              </w:rPr>
            </w:pPr>
          </w:p>
        </w:tc>
        <w:tc>
          <w:tcPr>
            <w:tcW w:w="460" w:type="dxa"/>
            <w:vAlign w:val="bottom"/>
            <w:gridSpan w:val="2"/>
            <w:shd w:val="clear" w:color="auto" w:fill="0000EE"/>
          </w:tcPr>
          <w:p>
            <w:pPr>
              <w:spacing w:after="0" w:line="20" w:lineRule="exact"/>
              <w:rPr>
                <w:sz w:val="1"/>
                <w:szCs w:val="1"/>
                <w:color w:val="auto"/>
              </w:rPr>
            </w:pPr>
          </w:p>
        </w:tc>
        <w:tc>
          <w:tcPr>
            <w:tcW w:w="2600" w:type="dxa"/>
            <w:vAlign w:val="bottom"/>
            <w:gridSpan w:val="5"/>
            <w:shd w:val="clear" w:color="auto" w:fill="0000EE"/>
          </w:tcPr>
          <w:p>
            <w:pPr>
              <w:spacing w:after="0" w:line="20" w:lineRule="exact"/>
              <w:rPr>
                <w:sz w:val="1"/>
                <w:szCs w:val="1"/>
                <w:color w:val="auto"/>
              </w:rPr>
            </w:pPr>
          </w:p>
        </w:tc>
        <w:tc>
          <w:tcPr>
            <w:tcW w:w="1460" w:type="dxa"/>
            <w:vAlign w:val="bottom"/>
            <w:gridSpan w:val="1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60" w:type="dxa"/>
            <w:vAlign w:val="bottom"/>
            <w:gridSpan w:val="5"/>
          </w:tcPr>
          <w:p>
            <w:pPr>
              <w:spacing w:after="0" w:line="20" w:lineRule="exact"/>
              <w:rPr>
                <w:sz w:val="1"/>
                <w:szCs w:val="1"/>
                <w:color w:val="auto"/>
              </w:rPr>
            </w:pPr>
          </w:p>
        </w:tc>
        <w:tc>
          <w:tcPr>
            <w:tcW w:w="240" w:type="dxa"/>
            <w:vAlign w:val="bottom"/>
            <w:gridSpan w:val="7"/>
          </w:tcPr>
          <w:p>
            <w:pPr>
              <w:spacing w:after="0" w:line="20" w:lineRule="exact"/>
              <w:rPr>
                <w:sz w:val="1"/>
                <w:szCs w:val="1"/>
                <w:color w:val="auto"/>
              </w:rPr>
            </w:pPr>
          </w:p>
        </w:tc>
      </w:tr>
      <w:tr>
        <w:trPr>
          <w:trHeight w:val="304"/>
        </w:trPr>
        <w:tc>
          <w:tcPr>
            <w:tcW w:w="1020" w:type="dxa"/>
            <w:vAlign w:val="bottom"/>
            <w:gridSpan w:val="2"/>
          </w:tcPr>
          <w:p>
            <w:pPr>
              <w:spacing w:after="0"/>
              <w:rPr>
                <w:sz w:val="20"/>
                <w:szCs w:val="20"/>
                <w:color w:val="auto"/>
              </w:rPr>
            </w:pPr>
            <w:r>
              <w:rPr>
                <w:rFonts w:ascii="Arial" w:cs="Arial" w:eastAsia="Arial" w:hAnsi="Arial"/>
                <w:sz w:val="18"/>
                <w:szCs w:val="18"/>
                <w:color w:val="auto"/>
              </w:rPr>
              <w:t>10.21*</w:t>
            </w:r>
          </w:p>
        </w:tc>
        <w:tc>
          <w:tcPr>
            <w:tcW w:w="5360" w:type="dxa"/>
            <w:vAlign w:val="bottom"/>
            <w:gridSpan w:val="32"/>
          </w:tcPr>
          <w:p>
            <w:pPr>
              <w:spacing w:after="0"/>
              <w:rPr>
                <w:rFonts w:ascii="Arial" w:cs="Arial" w:eastAsia="Arial" w:hAnsi="Arial"/>
                <w:sz w:val="18"/>
                <w:szCs w:val="18"/>
                <w:color w:val="0000EE"/>
              </w:rPr>
            </w:pPr>
            <w:hyperlink r:id="rId157">
              <w:r>
                <w:rPr>
                  <w:rFonts w:ascii="Arial" w:cs="Arial" w:eastAsia="Arial" w:hAnsi="Arial"/>
                  <w:sz w:val="18"/>
                  <w:szCs w:val="18"/>
                  <w:color w:val="0000EE"/>
                </w:rPr>
                <w:t>First Amendment to Office Lease, by and between the Company</w:t>
              </w:r>
            </w:hyperlink>
          </w:p>
        </w:tc>
      </w:tr>
      <w:tr>
        <w:trPr>
          <w:trHeight w:val="183"/>
        </w:trPr>
        <w:tc>
          <w:tcPr>
            <w:tcW w:w="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5120" w:type="dxa"/>
            <w:vAlign w:val="bottom"/>
            <w:tcBorders>
              <w:top w:val="single" w:sz="8" w:color="0000EE"/>
            </w:tcBorders>
            <w:gridSpan w:val="25"/>
          </w:tcPr>
          <w:p>
            <w:pPr>
              <w:spacing w:after="0" w:line="182" w:lineRule="exact"/>
              <w:rPr>
                <w:rFonts w:ascii="Arial" w:cs="Arial" w:eastAsia="Arial" w:hAnsi="Arial"/>
                <w:sz w:val="18"/>
                <w:szCs w:val="18"/>
                <w:color w:val="0000EE"/>
              </w:rPr>
            </w:pPr>
            <w:hyperlink r:id="rId157">
              <w:r>
                <w:rPr>
                  <w:rFonts w:ascii="Arial" w:cs="Arial" w:eastAsia="Arial" w:hAnsi="Arial"/>
                  <w:sz w:val="18"/>
                  <w:szCs w:val="18"/>
                  <w:color w:val="0000EE"/>
                </w:rPr>
                <w:t>and Douglas Emmett 2008, LLC, dated August 14, 2012.</w:t>
              </w:r>
            </w:hyperlink>
          </w:p>
        </w:tc>
        <w:tc>
          <w:tcPr>
            <w:tcW w:w="240" w:type="dxa"/>
            <w:vAlign w:val="bottom"/>
            <w:gridSpan w:val="7"/>
          </w:tcPr>
          <w:p>
            <w:pPr>
              <w:spacing w:after="0"/>
              <w:rPr>
                <w:sz w:val="15"/>
                <w:szCs w:val="15"/>
                <w:color w:val="auto"/>
              </w:rPr>
            </w:pPr>
          </w:p>
        </w:tc>
      </w:tr>
      <w:tr>
        <w:trPr>
          <w:trHeight w:val="20"/>
        </w:trPr>
        <w:tc>
          <w:tcPr>
            <w:tcW w:w="1020" w:type="dxa"/>
            <w:vAlign w:val="bottom"/>
            <w:gridSpan w:val="2"/>
          </w:tcPr>
          <w:p>
            <w:pPr>
              <w:spacing w:after="0" w:line="20" w:lineRule="exact"/>
              <w:rPr>
                <w:sz w:val="1"/>
                <w:szCs w:val="1"/>
                <w:color w:val="auto"/>
              </w:rPr>
            </w:pPr>
          </w:p>
        </w:tc>
        <w:tc>
          <w:tcPr>
            <w:tcW w:w="460" w:type="dxa"/>
            <w:vAlign w:val="bottom"/>
            <w:gridSpan w:val="2"/>
            <w:shd w:val="clear" w:color="auto" w:fill="0000EE"/>
          </w:tcPr>
          <w:p>
            <w:pPr>
              <w:spacing w:after="0" w:line="20" w:lineRule="exact"/>
              <w:rPr>
                <w:sz w:val="1"/>
                <w:szCs w:val="1"/>
                <w:color w:val="auto"/>
              </w:rPr>
            </w:pPr>
          </w:p>
        </w:tc>
        <w:tc>
          <w:tcPr>
            <w:tcW w:w="4060" w:type="dxa"/>
            <w:vAlign w:val="bottom"/>
            <w:gridSpan w:val="17"/>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60" w:type="dxa"/>
            <w:vAlign w:val="bottom"/>
            <w:gridSpan w:val="5"/>
          </w:tcPr>
          <w:p>
            <w:pPr>
              <w:spacing w:after="0" w:line="20" w:lineRule="exact"/>
              <w:rPr>
                <w:sz w:val="1"/>
                <w:szCs w:val="1"/>
                <w:color w:val="auto"/>
              </w:rPr>
            </w:pPr>
          </w:p>
        </w:tc>
        <w:tc>
          <w:tcPr>
            <w:tcW w:w="240" w:type="dxa"/>
            <w:vAlign w:val="bottom"/>
            <w:gridSpan w:val="7"/>
          </w:tcPr>
          <w:p>
            <w:pPr>
              <w:spacing w:after="0" w:line="20" w:lineRule="exact"/>
              <w:rPr>
                <w:sz w:val="1"/>
                <w:szCs w:val="1"/>
                <w:color w:val="auto"/>
              </w:rPr>
            </w:pPr>
          </w:p>
        </w:tc>
      </w:tr>
      <w:tr>
        <w:trPr>
          <w:trHeight w:val="304"/>
        </w:trPr>
        <w:tc>
          <w:tcPr>
            <w:tcW w:w="1020" w:type="dxa"/>
            <w:vAlign w:val="bottom"/>
            <w:gridSpan w:val="2"/>
          </w:tcPr>
          <w:p>
            <w:pPr>
              <w:spacing w:after="0"/>
              <w:rPr>
                <w:sz w:val="20"/>
                <w:szCs w:val="20"/>
                <w:color w:val="auto"/>
              </w:rPr>
            </w:pPr>
            <w:r>
              <w:rPr>
                <w:rFonts w:ascii="Arial" w:cs="Arial" w:eastAsia="Arial" w:hAnsi="Arial"/>
                <w:sz w:val="18"/>
                <w:szCs w:val="18"/>
                <w:color w:val="auto"/>
              </w:rPr>
              <w:t>10.22*</w:t>
            </w:r>
          </w:p>
        </w:tc>
        <w:tc>
          <w:tcPr>
            <w:tcW w:w="5360" w:type="dxa"/>
            <w:vAlign w:val="bottom"/>
            <w:gridSpan w:val="32"/>
          </w:tcPr>
          <w:p>
            <w:pPr>
              <w:spacing w:after="0"/>
              <w:rPr>
                <w:rFonts w:ascii="Arial" w:cs="Arial" w:eastAsia="Arial" w:hAnsi="Arial"/>
                <w:sz w:val="18"/>
                <w:szCs w:val="18"/>
                <w:color w:val="0000EE"/>
              </w:rPr>
            </w:pPr>
            <w:hyperlink r:id="rId158">
              <w:r>
                <w:rPr>
                  <w:rFonts w:ascii="Arial" w:cs="Arial" w:eastAsia="Arial" w:hAnsi="Arial"/>
                  <w:sz w:val="18"/>
                  <w:szCs w:val="18"/>
                  <w:color w:val="0000EE"/>
                </w:rPr>
                <w:t>Second Amendment to Office Lease, by and between the</w:t>
              </w:r>
            </w:hyperlink>
          </w:p>
        </w:tc>
      </w:tr>
      <w:tr>
        <w:trPr>
          <w:trHeight w:val="20"/>
        </w:trPr>
        <w:tc>
          <w:tcPr>
            <w:tcW w:w="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460" w:type="dxa"/>
            <w:vAlign w:val="bottom"/>
            <w:gridSpan w:val="2"/>
            <w:shd w:val="clear" w:color="auto" w:fill="0000EE"/>
          </w:tcPr>
          <w:p>
            <w:pPr>
              <w:spacing w:after="0" w:line="20" w:lineRule="exact"/>
              <w:rPr>
                <w:sz w:val="1"/>
                <w:szCs w:val="1"/>
                <w:color w:val="auto"/>
              </w:rPr>
            </w:pPr>
          </w:p>
        </w:tc>
        <w:tc>
          <w:tcPr>
            <w:tcW w:w="4100" w:type="dxa"/>
            <w:vAlign w:val="bottom"/>
            <w:gridSpan w:val="18"/>
            <w:shd w:val="clear" w:color="auto" w:fill="0000EE"/>
          </w:tcPr>
          <w:p>
            <w:pPr>
              <w:spacing w:after="0" w:line="20" w:lineRule="exact"/>
              <w:rPr>
                <w:sz w:val="1"/>
                <w:szCs w:val="1"/>
                <w:color w:val="auto"/>
              </w:rPr>
            </w:pPr>
          </w:p>
        </w:tc>
        <w:tc>
          <w:tcPr>
            <w:tcW w:w="560" w:type="dxa"/>
            <w:vAlign w:val="bottom"/>
            <w:gridSpan w:val="5"/>
          </w:tcPr>
          <w:p>
            <w:pPr>
              <w:spacing w:after="0" w:line="20" w:lineRule="exact"/>
              <w:rPr>
                <w:sz w:val="1"/>
                <w:szCs w:val="1"/>
                <w:color w:val="auto"/>
              </w:rPr>
            </w:pPr>
          </w:p>
        </w:tc>
        <w:tc>
          <w:tcPr>
            <w:tcW w:w="240" w:type="dxa"/>
            <w:vAlign w:val="bottom"/>
            <w:gridSpan w:val="7"/>
          </w:tcPr>
          <w:p>
            <w:pPr>
              <w:spacing w:after="0" w:line="20" w:lineRule="exact"/>
              <w:rPr>
                <w:sz w:val="1"/>
                <w:szCs w:val="1"/>
                <w:color w:val="auto"/>
              </w:rPr>
            </w:pPr>
          </w:p>
        </w:tc>
      </w:tr>
      <w:tr>
        <w:trPr>
          <w:trHeight w:val="183"/>
        </w:trPr>
        <w:tc>
          <w:tcPr>
            <w:tcW w:w="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5360" w:type="dxa"/>
            <w:vAlign w:val="bottom"/>
            <w:gridSpan w:val="32"/>
          </w:tcPr>
          <w:p>
            <w:pPr>
              <w:spacing w:after="0" w:line="182" w:lineRule="exact"/>
              <w:rPr>
                <w:rFonts w:ascii="Arial" w:cs="Arial" w:eastAsia="Arial" w:hAnsi="Arial"/>
                <w:sz w:val="18"/>
                <w:szCs w:val="18"/>
                <w:color w:val="0000EE"/>
              </w:rPr>
            </w:pPr>
            <w:hyperlink r:id="rId158">
              <w:r>
                <w:rPr>
                  <w:rFonts w:ascii="Arial" w:cs="Arial" w:eastAsia="Arial" w:hAnsi="Arial"/>
                  <w:sz w:val="18"/>
                  <w:szCs w:val="18"/>
                  <w:color w:val="0000EE"/>
                </w:rPr>
                <w:t>Company and Douglas Emmett 2008, LLC, dated December 26,</w:t>
              </w:r>
            </w:hyperlink>
          </w:p>
        </w:tc>
      </w:tr>
      <w:tr>
        <w:trPr>
          <w:trHeight w:val="183"/>
        </w:trPr>
        <w:tc>
          <w:tcPr>
            <w:tcW w:w="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460" w:type="dxa"/>
            <w:vAlign w:val="bottom"/>
            <w:tcBorders>
              <w:top w:val="single" w:sz="8" w:color="0000EE"/>
              <w:bottom w:val="single" w:sz="8" w:color="0000EE"/>
            </w:tcBorders>
            <w:gridSpan w:val="2"/>
          </w:tcPr>
          <w:p>
            <w:pPr>
              <w:spacing w:after="0" w:line="182" w:lineRule="exact"/>
              <w:rPr>
                <w:rFonts w:ascii="Arial" w:cs="Arial" w:eastAsia="Arial" w:hAnsi="Arial"/>
                <w:sz w:val="18"/>
                <w:szCs w:val="18"/>
                <w:color w:val="0000EE"/>
                <w:w w:val="97"/>
              </w:rPr>
            </w:pPr>
            <w:hyperlink r:id="rId158">
              <w:r>
                <w:rPr>
                  <w:rFonts w:ascii="Arial" w:cs="Arial" w:eastAsia="Arial" w:hAnsi="Arial"/>
                  <w:sz w:val="18"/>
                  <w:szCs w:val="18"/>
                  <w:color w:val="0000EE"/>
                  <w:w w:val="97"/>
                </w:rPr>
                <w:t>2013.</w:t>
              </w:r>
            </w:hyperlink>
          </w:p>
        </w:tc>
        <w:tc>
          <w:tcPr>
            <w:tcW w:w="460" w:type="dxa"/>
            <w:vAlign w:val="bottom"/>
            <w:tcBorders>
              <w:top w:val="single" w:sz="8" w:color="0000EE"/>
            </w:tcBorders>
          </w:tcPr>
          <w:p>
            <w:pPr>
              <w:spacing w:after="0"/>
              <w:rPr>
                <w:sz w:val="15"/>
                <w:szCs w:val="15"/>
                <w:color w:val="auto"/>
              </w:rPr>
            </w:pPr>
          </w:p>
        </w:tc>
        <w:tc>
          <w:tcPr>
            <w:tcW w:w="920" w:type="dxa"/>
            <w:vAlign w:val="bottom"/>
            <w:tcBorders>
              <w:top w:val="single" w:sz="8" w:color="0000EE"/>
            </w:tcBorders>
          </w:tcPr>
          <w:p>
            <w:pPr>
              <w:spacing w:after="0"/>
              <w:rPr>
                <w:sz w:val="15"/>
                <w:szCs w:val="15"/>
                <w:color w:val="auto"/>
              </w:rPr>
            </w:pPr>
          </w:p>
        </w:tc>
        <w:tc>
          <w:tcPr>
            <w:tcW w:w="80" w:type="dxa"/>
            <w:vAlign w:val="bottom"/>
            <w:tcBorders>
              <w:top w:val="single" w:sz="8" w:color="0000EE"/>
            </w:tcBorders>
          </w:tcPr>
          <w:p>
            <w:pPr>
              <w:spacing w:after="0"/>
              <w:rPr>
                <w:sz w:val="15"/>
                <w:szCs w:val="15"/>
                <w:color w:val="auto"/>
              </w:rPr>
            </w:pPr>
          </w:p>
        </w:tc>
        <w:tc>
          <w:tcPr>
            <w:tcW w:w="1100" w:type="dxa"/>
            <w:vAlign w:val="bottom"/>
            <w:tcBorders>
              <w:top w:val="single" w:sz="8" w:color="0000EE"/>
            </w:tcBorders>
          </w:tcPr>
          <w:p>
            <w:pPr>
              <w:spacing w:after="0"/>
              <w:rPr>
                <w:sz w:val="15"/>
                <w:szCs w:val="15"/>
                <w:color w:val="auto"/>
              </w:rPr>
            </w:pPr>
          </w:p>
        </w:tc>
        <w:tc>
          <w:tcPr>
            <w:tcW w:w="40" w:type="dxa"/>
            <w:vAlign w:val="bottom"/>
            <w:tcBorders>
              <w:top w:val="single" w:sz="8" w:color="0000EE"/>
            </w:tcBorders>
          </w:tcPr>
          <w:p>
            <w:pPr>
              <w:spacing w:after="0"/>
              <w:rPr>
                <w:sz w:val="15"/>
                <w:szCs w:val="15"/>
                <w:color w:val="auto"/>
              </w:rPr>
            </w:pPr>
          </w:p>
        </w:tc>
        <w:tc>
          <w:tcPr>
            <w:tcW w:w="80" w:type="dxa"/>
            <w:vAlign w:val="bottom"/>
            <w:tcBorders>
              <w:top w:val="single" w:sz="8" w:color="0000EE"/>
            </w:tcBorders>
          </w:tcPr>
          <w:p>
            <w:pPr>
              <w:spacing w:after="0"/>
              <w:rPr>
                <w:sz w:val="15"/>
                <w:szCs w:val="15"/>
                <w:color w:val="auto"/>
              </w:rPr>
            </w:pPr>
          </w:p>
        </w:tc>
        <w:tc>
          <w:tcPr>
            <w:tcW w:w="60" w:type="dxa"/>
            <w:vAlign w:val="bottom"/>
            <w:tcBorders>
              <w:top w:val="single" w:sz="8" w:color="0000EE"/>
            </w:tcBorders>
          </w:tcPr>
          <w:p>
            <w:pPr>
              <w:spacing w:after="0"/>
              <w:rPr>
                <w:sz w:val="15"/>
                <w:szCs w:val="15"/>
                <w:color w:val="auto"/>
              </w:rPr>
            </w:pPr>
          </w:p>
        </w:tc>
        <w:tc>
          <w:tcPr>
            <w:tcW w:w="80" w:type="dxa"/>
            <w:vAlign w:val="bottom"/>
            <w:tcBorders>
              <w:top w:val="single" w:sz="8" w:color="0000EE"/>
            </w:tcBorders>
          </w:tcPr>
          <w:p>
            <w:pPr>
              <w:spacing w:after="0"/>
              <w:rPr>
                <w:sz w:val="15"/>
                <w:szCs w:val="15"/>
                <w:color w:val="auto"/>
              </w:rPr>
            </w:pPr>
          </w:p>
        </w:tc>
        <w:tc>
          <w:tcPr>
            <w:tcW w:w="60" w:type="dxa"/>
            <w:vAlign w:val="bottom"/>
            <w:tcBorders>
              <w:top w:val="single" w:sz="8" w:color="0000EE"/>
            </w:tcBorders>
          </w:tcPr>
          <w:p>
            <w:pPr>
              <w:spacing w:after="0"/>
              <w:rPr>
                <w:sz w:val="15"/>
                <w:szCs w:val="15"/>
                <w:color w:val="auto"/>
              </w:rPr>
            </w:pPr>
          </w:p>
        </w:tc>
        <w:tc>
          <w:tcPr>
            <w:tcW w:w="560" w:type="dxa"/>
            <w:vAlign w:val="bottom"/>
            <w:tcBorders>
              <w:top w:val="single" w:sz="8" w:color="0000EE"/>
            </w:tcBorders>
          </w:tcPr>
          <w:p>
            <w:pPr>
              <w:spacing w:after="0"/>
              <w:rPr>
                <w:sz w:val="15"/>
                <w:szCs w:val="15"/>
                <w:color w:val="auto"/>
              </w:rPr>
            </w:pPr>
          </w:p>
        </w:tc>
        <w:tc>
          <w:tcPr>
            <w:tcW w:w="60" w:type="dxa"/>
            <w:vAlign w:val="bottom"/>
            <w:tcBorders>
              <w:top w:val="single" w:sz="8" w:color="0000EE"/>
            </w:tcBorders>
          </w:tcPr>
          <w:p>
            <w:pPr>
              <w:spacing w:after="0"/>
              <w:rPr>
                <w:sz w:val="15"/>
                <w:szCs w:val="15"/>
                <w:color w:val="auto"/>
              </w:rPr>
            </w:pPr>
          </w:p>
        </w:tc>
        <w:tc>
          <w:tcPr>
            <w:tcW w:w="60" w:type="dxa"/>
            <w:vAlign w:val="bottom"/>
            <w:tcBorders>
              <w:top w:val="single" w:sz="8" w:color="0000EE"/>
            </w:tcBorders>
          </w:tcPr>
          <w:p>
            <w:pPr>
              <w:spacing w:after="0"/>
              <w:rPr>
                <w:sz w:val="15"/>
                <w:szCs w:val="15"/>
                <w:color w:val="auto"/>
              </w:rPr>
            </w:pPr>
          </w:p>
        </w:tc>
        <w:tc>
          <w:tcPr>
            <w:tcW w:w="160" w:type="dxa"/>
            <w:vAlign w:val="bottom"/>
            <w:tcBorders>
              <w:top w:val="single" w:sz="8" w:color="0000EE"/>
            </w:tcBorders>
          </w:tcPr>
          <w:p>
            <w:pPr>
              <w:spacing w:after="0"/>
              <w:rPr>
                <w:sz w:val="15"/>
                <w:szCs w:val="15"/>
                <w:color w:val="auto"/>
              </w:rPr>
            </w:pPr>
          </w:p>
        </w:tc>
        <w:tc>
          <w:tcPr>
            <w:tcW w:w="20" w:type="dxa"/>
            <w:vAlign w:val="bottom"/>
            <w:tcBorders>
              <w:top w:val="single" w:sz="8" w:color="0000EE"/>
            </w:tcBorders>
          </w:tcPr>
          <w:p>
            <w:pPr>
              <w:spacing w:after="0"/>
              <w:rPr>
                <w:sz w:val="15"/>
                <w:szCs w:val="15"/>
                <w:color w:val="auto"/>
              </w:rPr>
            </w:pPr>
          </w:p>
        </w:tc>
        <w:tc>
          <w:tcPr>
            <w:tcW w:w="260" w:type="dxa"/>
            <w:vAlign w:val="bottom"/>
            <w:tcBorders>
              <w:top w:val="single" w:sz="8" w:color="0000EE"/>
            </w:tcBorders>
          </w:tcPr>
          <w:p>
            <w:pPr>
              <w:spacing w:after="0"/>
              <w:rPr>
                <w:sz w:val="15"/>
                <w:szCs w:val="15"/>
                <w:color w:val="auto"/>
              </w:rPr>
            </w:pPr>
          </w:p>
        </w:tc>
        <w:tc>
          <w:tcPr>
            <w:tcW w:w="40" w:type="dxa"/>
            <w:vAlign w:val="bottom"/>
            <w:tcBorders>
              <w:top w:val="single" w:sz="8" w:color="0000EE"/>
            </w:tcBorders>
          </w:tcPr>
          <w:p>
            <w:pPr>
              <w:spacing w:after="0"/>
              <w:rPr>
                <w:sz w:val="15"/>
                <w:szCs w:val="15"/>
                <w:color w:val="auto"/>
              </w:rPr>
            </w:pPr>
          </w:p>
        </w:tc>
        <w:tc>
          <w:tcPr>
            <w:tcW w:w="20" w:type="dxa"/>
            <w:vAlign w:val="bottom"/>
            <w:tcBorders>
              <w:top w:val="single" w:sz="8" w:color="0000EE"/>
            </w:tcBorders>
          </w:tcPr>
          <w:p>
            <w:pPr>
              <w:spacing w:after="0"/>
              <w:rPr>
                <w:sz w:val="15"/>
                <w:szCs w:val="15"/>
                <w:color w:val="auto"/>
              </w:rPr>
            </w:pPr>
          </w:p>
        </w:tc>
        <w:tc>
          <w:tcPr>
            <w:tcW w:w="40" w:type="dxa"/>
            <w:vAlign w:val="bottom"/>
            <w:tcBorders>
              <w:top w:val="single" w:sz="8" w:color="0000EE"/>
            </w:tcBorders>
          </w:tcPr>
          <w:p>
            <w:pPr>
              <w:spacing w:after="0"/>
              <w:rPr>
                <w:sz w:val="15"/>
                <w:szCs w:val="15"/>
                <w:color w:val="auto"/>
              </w:rPr>
            </w:pPr>
          </w:p>
        </w:tc>
        <w:tc>
          <w:tcPr>
            <w:tcW w:w="60" w:type="dxa"/>
            <w:vAlign w:val="bottom"/>
            <w:tcBorders>
              <w:top w:val="single" w:sz="8" w:color="0000EE"/>
            </w:tcBorders>
          </w:tcPr>
          <w:p>
            <w:pPr>
              <w:spacing w:after="0"/>
              <w:rPr>
                <w:sz w:val="15"/>
                <w:szCs w:val="15"/>
                <w:color w:val="auto"/>
              </w:rPr>
            </w:pPr>
          </w:p>
        </w:tc>
        <w:tc>
          <w:tcPr>
            <w:tcW w:w="260" w:type="dxa"/>
            <w:vAlign w:val="bottom"/>
            <w:tcBorders>
              <w:top w:val="single" w:sz="8" w:color="0000EE"/>
            </w:tcBorders>
          </w:tcPr>
          <w:p>
            <w:pPr>
              <w:spacing w:after="0"/>
              <w:rPr>
                <w:sz w:val="15"/>
                <w:szCs w:val="15"/>
                <w:color w:val="auto"/>
              </w:rPr>
            </w:pPr>
          </w:p>
        </w:tc>
        <w:tc>
          <w:tcPr>
            <w:tcW w:w="180" w:type="dxa"/>
            <w:vAlign w:val="bottom"/>
            <w:tcBorders>
              <w:top w:val="single" w:sz="8" w:color="0000EE"/>
            </w:tcBorders>
          </w:tcPr>
          <w:p>
            <w:pPr>
              <w:spacing w:after="0"/>
              <w:rPr>
                <w:sz w:val="15"/>
                <w:szCs w:val="15"/>
                <w:color w:val="auto"/>
              </w:rPr>
            </w:pPr>
          </w:p>
        </w:tc>
        <w:tc>
          <w:tcPr>
            <w:tcW w:w="20" w:type="dxa"/>
            <w:vAlign w:val="bottom"/>
            <w:tcBorders>
              <w:top w:val="single" w:sz="8" w:color="0000EE"/>
            </w:tcBorders>
          </w:tcPr>
          <w:p>
            <w:pPr>
              <w:spacing w:after="0"/>
              <w:rPr>
                <w:sz w:val="15"/>
                <w:szCs w:val="15"/>
                <w:color w:val="auto"/>
              </w:rPr>
            </w:pPr>
          </w:p>
        </w:tc>
        <w:tc>
          <w:tcPr>
            <w:tcW w:w="40" w:type="dxa"/>
            <w:vAlign w:val="bottom"/>
            <w:tcBorders>
              <w:top w:val="single" w:sz="8" w:color="0000EE"/>
            </w:tcBorders>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439"/>
        </w:trPr>
        <w:tc>
          <w:tcPr>
            <w:tcW w:w="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4880" w:type="dxa"/>
            <w:vAlign w:val="bottom"/>
            <w:gridSpan w:val="22"/>
          </w:tcPr>
          <w:p>
            <w:pPr>
              <w:ind w:left="4600"/>
              <w:spacing w:after="0"/>
              <w:rPr>
                <w:sz w:val="20"/>
                <w:szCs w:val="20"/>
                <w:color w:val="auto"/>
              </w:rPr>
            </w:pPr>
            <w:r>
              <w:rPr>
                <w:rFonts w:ascii="Arial" w:cs="Arial" w:eastAsia="Arial" w:hAnsi="Arial"/>
                <w:sz w:val="18"/>
                <w:szCs w:val="18"/>
                <w:color w:val="auto"/>
              </w:rPr>
              <w:t>95</w:t>
            </w: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wp:posOffset>
            </wp:positionV>
            <wp:extent cx="7272020" cy="425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59">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jc w:val="center"/>
        <w:spacing w:after="0"/>
        <w:rPr>
          <w:sz w:val="20"/>
          <w:szCs w:val="20"/>
          <w:color w:val="auto"/>
        </w:rPr>
      </w:pPr>
      <w:r>
        <w:rPr>
          <w:rFonts w:ascii="Arial" w:cs="Arial" w:eastAsia="Arial" w:hAnsi="Arial"/>
          <w:sz w:val="14"/>
          <w:szCs w:val="14"/>
          <w:b w:val="1"/>
          <w:bCs w:val="1"/>
          <w:color w:val="auto"/>
        </w:rPr>
        <w:t>Incorporated by Reference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17780</wp:posOffset>
            </wp:positionV>
            <wp:extent cx="3155950" cy="889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60">
                      <a:extLst>
                        <a:ext uri="{28A0092B-C50C-407E-A947-70E740481C1C}"/>
                      </a:extLst>
                    </a:blip>
                    <a:srcRect/>
                    <a:stretch>
                      <a:fillRect/>
                    </a:stretch>
                  </pic:blipFill>
                  <pic:spPr bwMode="auto">
                    <a:xfrm>
                      <a:off x="0" y="0"/>
                      <a:ext cx="3155950" cy="8890"/>
                    </a:xfrm>
                    <a:prstGeom prst="rect">
                      <a:avLst/>
                    </a:prstGeom>
                    <a:noFill/>
                  </pic:spPr>
                </pic:pic>
              </a:graphicData>
            </a:graphic>
          </wp:anchor>
        </w:drawing>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900" w:type="dxa"/>
            <w:vAlign w:val="bottom"/>
            <w:tcBorders>
              <w:bottom w:val="single" w:sz="8" w:color="auto"/>
            </w:tcBorders>
          </w:tcPr>
          <w:p>
            <w:pPr>
              <w:ind w:left="280"/>
              <w:spacing w:after="0"/>
              <w:rPr>
                <w:sz w:val="20"/>
                <w:szCs w:val="20"/>
                <w:color w:val="auto"/>
              </w:rPr>
            </w:pPr>
            <w:r>
              <w:rPr>
                <w:rFonts w:ascii="Arial" w:cs="Arial" w:eastAsia="Arial" w:hAnsi="Arial"/>
                <w:sz w:val="14"/>
                <w:szCs w:val="14"/>
                <w:b w:val="1"/>
                <w:bCs w:val="1"/>
                <w:color w:val="auto"/>
              </w:rPr>
              <w:t>Form</w:t>
            </w:r>
          </w:p>
        </w:tc>
        <w:tc>
          <w:tcPr>
            <w:tcW w:w="80" w:type="dxa"/>
            <w:vAlign w:val="bottom"/>
          </w:tcPr>
          <w:p>
            <w:pPr>
              <w:spacing w:after="0"/>
              <w:rPr>
                <w:sz w:val="16"/>
                <w:szCs w:val="16"/>
                <w:color w:val="auto"/>
              </w:rPr>
            </w:pPr>
          </w:p>
        </w:tc>
        <w:tc>
          <w:tcPr>
            <w:tcW w:w="1220" w:type="dxa"/>
            <w:vAlign w:val="bottom"/>
            <w:tcBorders>
              <w:bottom w:val="single" w:sz="8" w:color="auto"/>
            </w:tcBorders>
          </w:tcPr>
          <w:p>
            <w:pPr>
              <w:ind w:left="360"/>
              <w:spacing w:after="0"/>
              <w:rPr>
                <w:sz w:val="20"/>
                <w:szCs w:val="20"/>
                <w:color w:val="auto"/>
              </w:rPr>
            </w:pPr>
            <w:r>
              <w:rPr>
                <w:rFonts w:ascii="Arial" w:cs="Arial" w:eastAsia="Arial" w:hAnsi="Arial"/>
                <w:sz w:val="14"/>
                <w:szCs w:val="14"/>
                <w:b w:val="1"/>
                <w:bCs w:val="1"/>
                <w:color w:val="auto"/>
              </w:rPr>
              <w:t>File No.</w:t>
            </w:r>
          </w:p>
        </w:tc>
        <w:tc>
          <w:tcPr>
            <w:tcW w:w="60" w:type="dxa"/>
            <w:vAlign w:val="bottom"/>
          </w:tcPr>
          <w:p>
            <w:pPr>
              <w:spacing w:after="0"/>
              <w:rPr>
                <w:sz w:val="16"/>
                <w:szCs w:val="16"/>
                <w:color w:val="auto"/>
              </w:rPr>
            </w:pPr>
          </w:p>
        </w:tc>
        <w:tc>
          <w:tcPr>
            <w:tcW w:w="780" w:type="dxa"/>
            <w:vAlign w:val="bottom"/>
            <w:tcBorders>
              <w:bottom w:val="single" w:sz="8" w:color="auto"/>
            </w:tcBorders>
          </w:tcPr>
          <w:p>
            <w:pPr>
              <w:ind w:left="140"/>
              <w:spacing w:after="0"/>
              <w:rPr>
                <w:sz w:val="20"/>
                <w:szCs w:val="20"/>
                <w:color w:val="auto"/>
              </w:rPr>
            </w:pPr>
            <w:r>
              <w:rPr>
                <w:rFonts w:ascii="Arial" w:cs="Arial" w:eastAsia="Arial" w:hAnsi="Arial"/>
                <w:sz w:val="14"/>
                <w:szCs w:val="14"/>
                <w:b w:val="1"/>
                <w:bCs w:val="1"/>
                <w:color w:val="auto"/>
              </w:rPr>
              <w:t>Exhibit</w:t>
            </w:r>
          </w:p>
        </w:tc>
        <w:tc>
          <w:tcPr>
            <w:tcW w:w="60" w:type="dxa"/>
            <w:vAlign w:val="bottom"/>
          </w:tcPr>
          <w:p>
            <w:pPr>
              <w:spacing w:after="0"/>
              <w:rPr>
                <w:sz w:val="16"/>
                <w:szCs w:val="16"/>
                <w:color w:val="auto"/>
              </w:rPr>
            </w:pPr>
          </w:p>
        </w:tc>
        <w:tc>
          <w:tcPr>
            <w:tcW w:w="1880" w:type="dxa"/>
            <w:vAlign w:val="bottom"/>
            <w:tcBorders>
              <w:bottom w:val="single" w:sz="8" w:color="auto"/>
            </w:tcBorders>
          </w:tcPr>
          <w:p>
            <w:pPr>
              <w:ind w:left="580"/>
              <w:spacing w:after="0"/>
              <w:rPr>
                <w:sz w:val="20"/>
                <w:szCs w:val="20"/>
                <w:color w:val="auto"/>
              </w:rPr>
            </w:pPr>
            <w:r>
              <w:rPr>
                <w:rFonts w:ascii="Arial" w:cs="Arial" w:eastAsia="Arial" w:hAnsi="Arial"/>
                <w:sz w:val="14"/>
                <w:szCs w:val="14"/>
                <w:b w:val="1"/>
                <w:bCs w:val="1"/>
                <w:color w:val="auto"/>
              </w:rPr>
              <w:t>Filing Date</w:t>
            </w:r>
          </w:p>
        </w:tc>
      </w:tr>
      <w:tr>
        <w:trPr>
          <w:trHeight w:val="331"/>
        </w:trPr>
        <w:tc>
          <w:tcPr>
            <w:tcW w:w="900" w:type="dxa"/>
            <w:vAlign w:val="bottom"/>
          </w:tcPr>
          <w:p>
            <w:pPr>
              <w:jc w:val="center"/>
              <w:spacing w:after="0"/>
              <w:rPr>
                <w:sz w:val="20"/>
                <w:szCs w:val="20"/>
                <w:color w:val="auto"/>
              </w:rPr>
            </w:pPr>
            <w:r>
              <w:rPr>
                <w:rFonts w:ascii="Arial" w:cs="Arial" w:eastAsia="Arial" w:hAnsi="Arial"/>
                <w:sz w:val="18"/>
                <w:szCs w:val="18"/>
                <w:color w:val="auto"/>
                <w:w w:val="99"/>
              </w:rPr>
              <w:t>10-K</w:t>
            </w:r>
          </w:p>
        </w:tc>
        <w:tc>
          <w:tcPr>
            <w:tcW w:w="1300" w:type="dxa"/>
            <w:vAlign w:val="bottom"/>
            <w:gridSpan w:val="2"/>
          </w:tcPr>
          <w:p>
            <w:pPr>
              <w:jc w:val="center"/>
              <w:spacing w:after="0"/>
              <w:rPr>
                <w:sz w:val="20"/>
                <w:szCs w:val="20"/>
                <w:color w:val="auto"/>
              </w:rPr>
            </w:pPr>
            <w:r>
              <w:rPr>
                <w:rFonts w:ascii="Arial" w:cs="Arial" w:eastAsia="Arial" w:hAnsi="Arial"/>
                <w:sz w:val="18"/>
                <w:szCs w:val="18"/>
                <w:color w:val="auto"/>
                <w:w w:val="99"/>
              </w:rPr>
              <w:t>001-37924</w:t>
            </w:r>
          </w:p>
        </w:tc>
        <w:tc>
          <w:tcPr>
            <w:tcW w:w="840" w:type="dxa"/>
            <w:vAlign w:val="bottom"/>
            <w:gridSpan w:val="2"/>
          </w:tcPr>
          <w:p>
            <w:pPr>
              <w:jc w:val="center"/>
              <w:spacing w:after="0"/>
              <w:rPr>
                <w:sz w:val="20"/>
                <w:szCs w:val="20"/>
                <w:color w:val="auto"/>
              </w:rPr>
            </w:pPr>
            <w:r>
              <w:rPr>
                <w:rFonts w:ascii="Arial" w:cs="Arial" w:eastAsia="Arial" w:hAnsi="Arial"/>
                <w:sz w:val="18"/>
                <w:szCs w:val="18"/>
                <w:color w:val="auto"/>
                <w:w w:val="96"/>
              </w:rPr>
              <w:t>10.2</w:t>
            </w:r>
          </w:p>
        </w:tc>
        <w:tc>
          <w:tcPr>
            <w:tcW w:w="60" w:type="dxa"/>
            <w:vAlign w:val="bottom"/>
          </w:tcPr>
          <w:p>
            <w:pPr>
              <w:spacing w:after="0"/>
              <w:rPr>
                <w:sz w:val="24"/>
                <w:szCs w:val="24"/>
                <w:color w:val="auto"/>
              </w:rPr>
            </w:pPr>
          </w:p>
        </w:tc>
        <w:tc>
          <w:tcPr>
            <w:tcW w:w="1880" w:type="dxa"/>
            <w:vAlign w:val="bottom"/>
          </w:tcPr>
          <w:p>
            <w:pPr>
              <w:jc w:val="center"/>
              <w:spacing w:after="0"/>
              <w:rPr>
                <w:sz w:val="20"/>
                <w:szCs w:val="20"/>
                <w:color w:val="auto"/>
              </w:rPr>
            </w:pPr>
            <w:r>
              <w:rPr>
                <w:rFonts w:ascii="Arial" w:cs="Arial" w:eastAsia="Arial" w:hAnsi="Arial"/>
                <w:sz w:val="18"/>
                <w:szCs w:val="18"/>
                <w:color w:val="auto"/>
              </w:rPr>
              <w:t>February 28, 2019</w:t>
            </w:r>
          </w:p>
        </w:tc>
      </w:tr>
      <w:tr>
        <w:trPr>
          <w:trHeight w:val="729"/>
        </w:trPr>
        <w:tc>
          <w:tcPr>
            <w:tcW w:w="900" w:type="dxa"/>
            <w:vAlign w:val="bottom"/>
          </w:tcPr>
          <w:p>
            <w:pPr>
              <w:jc w:val="center"/>
              <w:spacing w:after="0"/>
              <w:rPr>
                <w:sz w:val="20"/>
                <w:szCs w:val="20"/>
                <w:color w:val="auto"/>
              </w:rPr>
            </w:pPr>
            <w:r>
              <w:rPr>
                <w:rFonts w:ascii="Arial" w:cs="Arial" w:eastAsia="Arial" w:hAnsi="Arial"/>
                <w:sz w:val="18"/>
                <w:szCs w:val="18"/>
                <w:color w:val="auto"/>
                <w:w w:val="99"/>
              </w:rPr>
              <w:t>S-1</w:t>
            </w:r>
          </w:p>
        </w:tc>
        <w:tc>
          <w:tcPr>
            <w:tcW w:w="1300" w:type="dxa"/>
            <w:vAlign w:val="bottom"/>
            <w:gridSpan w:val="2"/>
          </w:tcPr>
          <w:p>
            <w:pPr>
              <w:jc w:val="center"/>
              <w:spacing w:after="0"/>
              <w:rPr>
                <w:sz w:val="20"/>
                <w:szCs w:val="20"/>
                <w:color w:val="auto"/>
              </w:rPr>
            </w:pPr>
            <w:r>
              <w:rPr>
                <w:rFonts w:ascii="Arial" w:cs="Arial" w:eastAsia="Arial" w:hAnsi="Arial"/>
                <w:sz w:val="18"/>
                <w:szCs w:val="18"/>
                <w:color w:val="auto"/>
                <w:w w:val="99"/>
              </w:rPr>
              <w:t>333-213899</w:t>
            </w:r>
          </w:p>
        </w:tc>
        <w:tc>
          <w:tcPr>
            <w:tcW w:w="840" w:type="dxa"/>
            <w:vAlign w:val="bottom"/>
            <w:gridSpan w:val="2"/>
          </w:tcPr>
          <w:p>
            <w:pPr>
              <w:jc w:val="center"/>
              <w:spacing w:after="0"/>
              <w:rPr>
                <w:sz w:val="20"/>
                <w:szCs w:val="20"/>
                <w:color w:val="auto"/>
              </w:rPr>
            </w:pPr>
            <w:r>
              <w:rPr>
                <w:rFonts w:ascii="Arial" w:cs="Arial" w:eastAsia="Arial" w:hAnsi="Arial"/>
                <w:sz w:val="18"/>
                <w:szCs w:val="18"/>
                <w:color w:val="auto"/>
                <w:w w:val="96"/>
              </w:rPr>
              <w:t>10.6</w:t>
            </w:r>
          </w:p>
        </w:tc>
        <w:tc>
          <w:tcPr>
            <w:tcW w:w="60" w:type="dxa"/>
            <w:vAlign w:val="bottom"/>
          </w:tcPr>
          <w:p>
            <w:pPr>
              <w:spacing w:after="0"/>
              <w:rPr>
                <w:sz w:val="24"/>
                <w:szCs w:val="24"/>
                <w:color w:val="auto"/>
              </w:rPr>
            </w:pPr>
          </w:p>
        </w:tc>
        <w:tc>
          <w:tcPr>
            <w:tcW w:w="1880" w:type="dxa"/>
            <w:vAlign w:val="bottom"/>
          </w:tcPr>
          <w:p>
            <w:pPr>
              <w:jc w:val="center"/>
              <w:spacing w:after="0"/>
              <w:rPr>
                <w:sz w:val="20"/>
                <w:szCs w:val="20"/>
                <w:color w:val="auto"/>
              </w:rPr>
            </w:pPr>
            <w:r>
              <w:rPr>
                <w:rFonts w:ascii="Arial" w:cs="Arial" w:eastAsia="Arial" w:hAnsi="Arial"/>
                <w:sz w:val="18"/>
                <w:szCs w:val="18"/>
                <w:color w:val="auto"/>
              </w:rPr>
              <w:t>September 30, 2016</w:t>
            </w:r>
          </w:p>
        </w:tc>
      </w:tr>
      <w:tr>
        <w:trPr>
          <w:trHeight w:val="527"/>
        </w:trPr>
        <w:tc>
          <w:tcPr>
            <w:tcW w:w="900" w:type="dxa"/>
            <w:vAlign w:val="bottom"/>
          </w:tcPr>
          <w:p>
            <w:pPr>
              <w:jc w:val="center"/>
              <w:spacing w:after="0"/>
              <w:rPr>
                <w:sz w:val="20"/>
                <w:szCs w:val="20"/>
                <w:color w:val="auto"/>
              </w:rPr>
            </w:pPr>
            <w:r>
              <w:rPr>
                <w:rFonts w:ascii="Arial" w:cs="Arial" w:eastAsia="Arial" w:hAnsi="Arial"/>
                <w:sz w:val="18"/>
                <w:szCs w:val="18"/>
                <w:color w:val="auto"/>
                <w:w w:val="99"/>
              </w:rPr>
              <w:t>S-1</w:t>
            </w:r>
          </w:p>
        </w:tc>
        <w:tc>
          <w:tcPr>
            <w:tcW w:w="1300" w:type="dxa"/>
            <w:vAlign w:val="bottom"/>
            <w:gridSpan w:val="2"/>
          </w:tcPr>
          <w:p>
            <w:pPr>
              <w:jc w:val="center"/>
              <w:spacing w:after="0"/>
              <w:rPr>
                <w:sz w:val="20"/>
                <w:szCs w:val="20"/>
                <w:color w:val="auto"/>
              </w:rPr>
            </w:pPr>
            <w:r>
              <w:rPr>
                <w:rFonts w:ascii="Arial" w:cs="Arial" w:eastAsia="Arial" w:hAnsi="Arial"/>
                <w:sz w:val="18"/>
                <w:szCs w:val="18"/>
                <w:color w:val="auto"/>
                <w:w w:val="99"/>
              </w:rPr>
              <w:t>333-213899</w:t>
            </w:r>
          </w:p>
        </w:tc>
        <w:tc>
          <w:tcPr>
            <w:tcW w:w="840" w:type="dxa"/>
            <w:vAlign w:val="bottom"/>
            <w:gridSpan w:val="2"/>
          </w:tcPr>
          <w:p>
            <w:pPr>
              <w:jc w:val="center"/>
              <w:spacing w:after="0"/>
              <w:rPr>
                <w:sz w:val="20"/>
                <w:szCs w:val="20"/>
                <w:color w:val="auto"/>
              </w:rPr>
            </w:pPr>
            <w:r>
              <w:rPr>
                <w:rFonts w:ascii="Arial" w:cs="Arial" w:eastAsia="Arial" w:hAnsi="Arial"/>
                <w:sz w:val="18"/>
                <w:szCs w:val="18"/>
                <w:color w:val="auto"/>
                <w:w w:val="96"/>
              </w:rPr>
              <w:t>10.7</w:t>
            </w:r>
          </w:p>
        </w:tc>
        <w:tc>
          <w:tcPr>
            <w:tcW w:w="60" w:type="dxa"/>
            <w:vAlign w:val="bottom"/>
          </w:tcPr>
          <w:p>
            <w:pPr>
              <w:spacing w:after="0"/>
              <w:rPr>
                <w:sz w:val="24"/>
                <w:szCs w:val="24"/>
                <w:color w:val="auto"/>
              </w:rPr>
            </w:pPr>
          </w:p>
        </w:tc>
        <w:tc>
          <w:tcPr>
            <w:tcW w:w="1880" w:type="dxa"/>
            <w:vAlign w:val="bottom"/>
          </w:tcPr>
          <w:p>
            <w:pPr>
              <w:jc w:val="center"/>
              <w:spacing w:after="0"/>
              <w:rPr>
                <w:sz w:val="20"/>
                <w:szCs w:val="20"/>
                <w:color w:val="auto"/>
              </w:rPr>
            </w:pPr>
            <w:r>
              <w:rPr>
                <w:rFonts w:ascii="Arial" w:cs="Arial" w:eastAsia="Arial" w:hAnsi="Arial"/>
                <w:sz w:val="18"/>
                <w:szCs w:val="18"/>
                <w:color w:val="auto"/>
              </w:rPr>
              <w:t>September 30, 2016</w:t>
            </w:r>
          </w:p>
        </w:tc>
      </w:tr>
      <w:tr>
        <w:trPr>
          <w:trHeight w:val="324"/>
        </w:trPr>
        <w:tc>
          <w:tcPr>
            <w:tcW w:w="900" w:type="dxa"/>
            <w:vAlign w:val="bottom"/>
          </w:tcPr>
          <w:p>
            <w:pPr>
              <w:jc w:val="center"/>
              <w:spacing w:after="0"/>
              <w:rPr>
                <w:sz w:val="20"/>
                <w:szCs w:val="20"/>
                <w:color w:val="auto"/>
              </w:rPr>
            </w:pPr>
            <w:r>
              <w:rPr>
                <w:rFonts w:ascii="Arial" w:cs="Arial" w:eastAsia="Arial" w:hAnsi="Arial"/>
                <w:sz w:val="18"/>
                <w:szCs w:val="18"/>
                <w:color w:val="auto"/>
                <w:w w:val="99"/>
              </w:rPr>
              <w:t>S-1</w:t>
            </w:r>
          </w:p>
        </w:tc>
        <w:tc>
          <w:tcPr>
            <w:tcW w:w="1300" w:type="dxa"/>
            <w:vAlign w:val="bottom"/>
            <w:gridSpan w:val="2"/>
          </w:tcPr>
          <w:p>
            <w:pPr>
              <w:jc w:val="center"/>
              <w:spacing w:after="0"/>
              <w:rPr>
                <w:sz w:val="20"/>
                <w:szCs w:val="20"/>
                <w:color w:val="auto"/>
              </w:rPr>
            </w:pPr>
            <w:r>
              <w:rPr>
                <w:rFonts w:ascii="Arial" w:cs="Arial" w:eastAsia="Arial" w:hAnsi="Arial"/>
                <w:sz w:val="18"/>
                <w:szCs w:val="18"/>
                <w:color w:val="auto"/>
                <w:w w:val="99"/>
              </w:rPr>
              <w:t>333-213899</w:t>
            </w:r>
          </w:p>
        </w:tc>
        <w:tc>
          <w:tcPr>
            <w:tcW w:w="840" w:type="dxa"/>
            <w:vAlign w:val="bottom"/>
            <w:gridSpan w:val="2"/>
          </w:tcPr>
          <w:p>
            <w:pPr>
              <w:jc w:val="center"/>
              <w:spacing w:after="0"/>
              <w:rPr>
                <w:sz w:val="20"/>
                <w:szCs w:val="20"/>
                <w:color w:val="auto"/>
              </w:rPr>
            </w:pPr>
            <w:r>
              <w:rPr>
                <w:rFonts w:ascii="Arial" w:cs="Arial" w:eastAsia="Arial" w:hAnsi="Arial"/>
                <w:sz w:val="18"/>
                <w:szCs w:val="18"/>
                <w:color w:val="auto"/>
                <w:w w:val="96"/>
              </w:rPr>
              <w:t>10.8</w:t>
            </w:r>
          </w:p>
        </w:tc>
        <w:tc>
          <w:tcPr>
            <w:tcW w:w="60" w:type="dxa"/>
            <w:vAlign w:val="bottom"/>
          </w:tcPr>
          <w:p>
            <w:pPr>
              <w:spacing w:after="0"/>
              <w:rPr>
                <w:sz w:val="24"/>
                <w:szCs w:val="24"/>
                <w:color w:val="auto"/>
              </w:rPr>
            </w:pPr>
          </w:p>
        </w:tc>
        <w:tc>
          <w:tcPr>
            <w:tcW w:w="1880" w:type="dxa"/>
            <w:vAlign w:val="bottom"/>
          </w:tcPr>
          <w:p>
            <w:pPr>
              <w:jc w:val="center"/>
              <w:spacing w:after="0"/>
              <w:rPr>
                <w:sz w:val="20"/>
                <w:szCs w:val="20"/>
                <w:color w:val="auto"/>
              </w:rPr>
            </w:pPr>
            <w:r>
              <w:rPr>
                <w:rFonts w:ascii="Arial" w:cs="Arial" w:eastAsia="Arial" w:hAnsi="Arial"/>
                <w:sz w:val="18"/>
                <w:szCs w:val="18"/>
                <w:color w:val="auto"/>
              </w:rPr>
              <w:t>September 30, 2016</w:t>
            </w:r>
          </w:p>
        </w:tc>
      </w:tr>
      <w:tr>
        <w:trPr>
          <w:trHeight w:val="324"/>
        </w:trPr>
        <w:tc>
          <w:tcPr>
            <w:tcW w:w="900" w:type="dxa"/>
            <w:vAlign w:val="bottom"/>
          </w:tcPr>
          <w:p>
            <w:pPr>
              <w:jc w:val="center"/>
              <w:spacing w:after="0"/>
              <w:rPr>
                <w:sz w:val="20"/>
                <w:szCs w:val="20"/>
                <w:color w:val="auto"/>
              </w:rPr>
            </w:pPr>
            <w:r>
              <w:rPr>
                <w:rFonts w:ascii="Arial" w:cs="Arial" w:eastAsia="Arial" w:hAnsi="Arial"/>
                <w:sz w:val="18"/>
                <w:szCs w:val="18"/>
                <w:color w:val="auto"/>
                <w:w w:val="99"/>
              </w:rPr>
              <w:t>S-1</w:t>
            </w:r>
          </w:p>
        </w:tc>
        <w:tc>
          <w:tcPr>
            <w:tcW w:w="1300" w:type="dxa"/>
            <w:vAlign w:val="bottom"/>
            <w:gridSpan w:val="2"/>
          </w:tcPr>
          <w:p>
            <w:pPr>
              <w:jc w:val="center"/>
              <w:spacing w:after="0"/>
              <w:rPr>
                <w:sz w:val="20"/>
                <w:szCs w:val="20"/>
                <w:color w:val="auto"/>
              </w:rPr>
            </w:pPr>
            <w:r>
              <w:rPr>
                <w:rFonts w:ascii="Arial" w:cs="Arial" w:eastAsia="Arial" w:hAnsi="Arial"/>
                <w:sz w:val="18"/>
                <w:szCs w:val="18"/>
                <w:color w:val="auto"/>
                <w:w w:val="99"/>
              </w:rPr>
              <w:t>333-213899</w:t>
            </w:r>
          </w:p>
        </w:tc>
        <w:tc>
          <w:tcPr>
            <w:tcW w:w="840" w:type="dxa"/>
            <w:vAlign w:val="bottom"/>
            <w:gridSpan w:val="2"/>
          </w:tcPr>
          <w:p>
            <w:pPr>
              <w:jc w:val="center"/>
              <w:spacing w:after="0"/>
              <w:rPr>
                <w:sz w:val="20"/>
                <w:szCs w:val="20"/>
                <w:color w:val="auto"/>
              </w:rPr>
            </w:pPr>
            <w:r>
              <w:rPr>
                <w:rFonts w:ascii="Arial" w:cs="Arial" w:eastAsia="Arial" w:hAnsi="Arial"/>
                <w:sz w:val="18"/>
                <w:szCs w:val="18"/>
                <w:color w:val="auto"/>
                <w:w w:val="96"/>
              </w:rPr>
              <w:t>10.9</w:t>
            </w:r>
          </w:p>
        </w:tc>
        <w:tc>
          <w:tcPr>
            <w:tcW w:w="60" w:type="dxa"/>
            <w:vAlign w:val="bottom"/>
          </w:tcPr>
          <w:p>
            <w:pPr>
              <w:spacing w:after="0"/>
              <w:rPr>
                <w:sz w:val="24"/>
                <w:szCs w:val="24"/>
                <w:color w:val="auto"/>
              </w:rPr>
            </w:pPr>
          </w:p>
        </w:tc>
        <w:tc>
          <w:tcPr>
            <w:tcW w:w="1880" w:type="dxa"/>
            <w:vAlign w:val="bottom"/>
          </w:tcPr>
          <w:p>
            <w:pPr>
              <w:jc w:val="center"/>
              <w:spacing w:after="0"/>
              <w:rPr>
                <w:sz w:val="20"/>
                <w:szCs w:val="20"/>
                <w:color w:val="auto"/>
              </w:rPr>
            </w:pPr>
            <w:r>
              <w:rPr>
                <w:rFonts w:ascii="Arial" w:cs="Arial" w:eastAsia="Arial" w:hAnsi="Arial"/>
                <w:sz w:val="18"/>
                <w:szCs w:val="18"/>
                <w:color w:val="auto"/>
              </w:rPr>
              <w:t>September 30, 2016</w:t>
            </w:r>
          </w:p>
        </w:tc>
      </w:tr>
      <w:tr>
        <w:trPr>
          <w:trHeight w:val="324"/>
        </w:trPr>
        <w:tc>
          <w:tcPr>
            <w:tcW w:w="900" w:type="dxa"/>
            <w:vAlign w:val="bottom"/>
          </w:tcPr>
          <w:p>
            <w:pPr>
              <w:jc w:val="center"/>
              <w:spacing w:after="0"/>
              <w:rPr>
                <w:sz w:val="20"/>
                <w:szCs w:val="20"/>
                <w:color w:val="auto"/>
              </w:rPr>
            </w:pPr>
            <w:r>
              <w:rPr>
                <w:rFonts w:ascii="Arial" w:cs="Arial" w:eastAsia="Arial" w:hAnsi="Arial"/>
                <w:sz w:val="18"/>
                <w:szCs w:val="18"/>
                <w:color w:val="auto"/>
                <w:w w:val="97"/>
              </w:rPr>
              <w:t>S-1/A</w:t>
            </w:r>
          </w:p>
        </w:tc>
        <w:tc>
          <w:tcPr>
            <w:tcW w:w="1300" w:type="dxa"/>
            <w:vAlign w:val="bottom"/>
            <w:gridSpan w:val="2"/>
          </w:tcPr>
          <w:p>
            <w:pPr>
              <w:jc w:val="center"/>
              <w:spacing w:after="0"/>
              <w:rPr>
                <w:sz w:val="20"/>
                <w:szCs w:val="20"/>
                <w:color w:val="auto"/>
              </w:rPr>
            </w:pPr>
            <w:r>
              <w:rPr>
                <w:rFonts w:ascii="Arial" w:cs="Arial" w:eastAsia="Arial" w:hAnsi="Arial"/>
                <w:sz w:val="18"/>
                <w:szCs w:val="18"/>
                <w:color w:val="auto"/>
                <w:w w:val="99"/>
              </w:rPr>
              <w:t>333-213899</w:t>
            </w:r>
          </w:p>
        </w:tc>
        <w:tc>
          <w:tcPr>
            <w:tcW w:w="840" w:type="dxa"/>
            <w:vAlign w:val="bottom"/>
            <w:gridSpan w:val="2"/>
          </w:tcPr>
          <w:p>
            <w:pPr>
              <w:jc w:val="center"/>
              <w:spacing w:after="0"/>
              <w:rPr>
                <w:sz w:val="20"/>
                <w:szCs w:val="20"/>
                <w:color w:val="auto"/>
              </w:rPr>
            </w:pPr>
            <w:r>
              <w:rPr>
                <w:rFonts w:ascii="Arial" w:cs="Arial" w:eastAsia="Arial" w:hAnsi="Arial"/>
                <w:sz w:val="18"/>
                <w:szCs w:val="18"/>
                <w:color w:val="auto"/>
              </w:rPr>
              <w:t>10.10</w:t>
            </w:r>
          </w:p>
        </w:tc>
        <w:tc>
          <w:tcPr>
            <w:tcW w:w="60" w:type="dxa"/>
            <w:vAlign w:val="bottom"/>
          </w:tcPr>
          <w:p>
            <w:pPr>
              <w:spacing w:after="0"/>
              <w:rPr>
                <w:sz w:val="24"/>
                <w:szCs w:val="24"/>
                <w:color w:val="auto"/>
              </w:rPr>
            </w:pPr>
          </w:p>
        </w:tc>
        <w:tc>
          <w:tcPr>
            <w:tcW w:w="1880" w:type="dxa"/>
            <w:vAlign w:val="bottom"/>
          </w:tcPr>
          <w:p>
            <w:pPr>
              <w:jc w:val="center"/>
              <w:spacing w:after="0"/>
              <w:rPr>
                <w:sz w:val="20"/>
                <w:szCs w:val="20"/>
                <w:color w:val="auto"/>
              </w:rPr>
            </w:pPr>
            <w:r>
              <w:rPr>
                <w:rFonts w:ascii="Arial" w:cs="Arial" w:eastAsia="Arial" w:hAnsi="Arial"/>
                <w:sz w:val="18"/>
                <w:szCs w:val="18"/>
                <w:color w:val="auto"/>
              </w:rPr>
              <w:t>October 17, 2016</w:t>
            </w:r>
          </w:p>
        </w:tc>
      </w:tr>
      <w:tr>
        <w:trPr>
          <w:trHeight w:val="527"/>
        </w:trPr>
        <w:tc>
          <w:tcPr>
            <w:tcW w:w="900" w:type="dxa"/>
            <w:vAlign w:val="bottom"/>
          </w:tcPr>
          <w:p>
            <w:pPr>
              <w:jc w:val="center"/>
              <w:spacing w:after="0"/>
              <w:rPr>
                <w:sz w:val="20"/>
                <w:szCs w:val="20"/>
                <w:color w:val="auto"/>
              </w:rPr>
            </w:pPr>
            <w:r>
              <w:rPr>
                <w:rFonts w:ascii="Arial" w:cs="Arial" w:eastAsia="Arial" w:hAnsi="Arial"/>
                <w:sz w:val="18"/>
                <w:szCs w:val="18"/>
                <w:color w:val="auto"/>
                <w:w w:val="99"/>
              </w:rPr>
              <w:t>S-1</w:t>
            </w:r>
          </w:p>
        </w:tc>
        <w:tc>
          <w:tcPr>
            <w:tcW w:w="1300" w:type="dxa"/>
            <w:vAlign w:val="bottom"/>
            <w:gridSpan w:val="2"/>
          </w:tcPr>
          <w:p>
            <w:pPr>
              <w:jc w:val="center"/>
              <w:spacing w:after="0"/>
              <w:rPr>
                <w:sz w:val="20"/>
                <w:szCs w:val="20"/>
                <w:color w:val="auto"/>
              </w:rPr>
            </w:pPr>
            <w:r>
              <w:rPr>
                <w:rFonts w:ascii="Arial" w:cs="Arial" w:eastAsia="Arial" w:hAnsi="Arial"/>
                <w:sz w:val="18"/>
                <w:szCs w:val="18"/>
                <w:color w:val="auto"/>
                <w:w w:val="99"/>
              </w:rPr>
              <w:t>333-213899</w:t>
            </w:r>
          </w:p>
        </w:tc>
        <w:tc>
          <w:tcPr>
            <w:tcW w:w="840" w:type="dxa"/>
            <w:vAlign w:val="bottom"/>
            <w:gridSpan w:val="2"/>
          </w:tcPr>
          <w:p>
            <w:pPr>
              <w:jc w:val="center"/>
              <w:spacing w:after="0"/>
              <w:rPr>
                <w:sz w:val="20"/>
                <w:szCs w:val="20"/>
                <w:color w:val="auto"/>
              </w:rPr>
            </w:pPr>
            <w:r>
              <w:rPr>
                <w:rFonts w:ascii="Arial" w:cs="Arial" w:eastAsia="Arial" w:hAnsi="Arial"/>
                <w:sz w:val="18"/>
                <w:szCs w:val="18"/>
                <w:color w:val="auto"/>
              </w:rPr>
              <w:t>10.11</w:t>
            </w:r>
          </w:p>
        </w:tc>
        <w:tc>
          <w:tcPr>
            <w:tcW w:w="60" w:type="dxa"/>
            <w:vAlign w:val="bottom"/>
          </w:tcPr>
          <w:p>
            <w:pPr>
              <w:spacing w:after="0"/>
              <w:rPr>
                <w:sz w:val="24"/>
                <w:szCs w:val="24"/>
                <w:color w:val="auto"/>
              </w:rPr>
            </w:pPr>
          </w:p>
        </w:tc>
        <w:tc>
          <w:tcPr>
            <w:tcW w:w="1880" w:type="dxa"/>
            <w:vAlign w:val="bottom"/>
          </w:tcPr>
          <w:p>
            <w:pPr>
              <w:jc w:val="center"/>
              <w:spacing w:after="0"/>
              <w:rPr>
                <w:sz w:val="20"/>
                <w:szCs w:val="20"/>
                <w:color w:val="auto"/>
              </w:rPr>
            </w:pPr>
            <w:r>
              <w:rPr>
                <w:rFonts w:ascii="Arial" w:cs="Arial" w:eastAsia="Arial" w:hAnsi="Arial"/>
                <w:sz w:val="18"/>
                <w:szCs w:val="18"/>
                <w:color w:val="auto"/>
              </w:rPr>
              <w:t>September 30, 2016</w:t>
            </w:r>
          </w:p>
        </w:tc>
      </w:tr>
      <w:tr>
        <w:trPr>
          <w:trHeight w:val="324"/>
        </w:trPr>
        <w:tc>
          <w:tcPr>
            <w:tcW w:w="900" w:type="dxa"/>
            <w:vAlign w:val="bottom"/>
          </w:tcPr>
          <w:p>
            <w:pPr>
              <w:jc w:val="center"/>
              <w:spacing w:after="0"/>
              <w:rPr>
                <w:sz w:val="20"/>
                <w:szCs w:val="20"/>
                <w:color w:val="auto"/>
              </w:rPr>
            </w:pPr>
            <w:r>
              <w:rPr>
                <w:rFonts w:ascii="Arial" w:cs="Arial" w:eastAsia="Arial" w:hAnsi="Arial"/>
                <w:sz w:val="18"/>
                <w:szCs w:val="18"/>
                <w:color w:val="auto"/>
                <w:w w:val="99"/>
              </w:rPr>
              <w:t>10-Q</w:t>
            </w:r>
          </w:p>
        </w:tc>
        <w:tc>
          <w:tcPr>
            <w:tcW w:w="1300" w:type="dxa"/>
            <w:vAlign w:val="bottom"/>
            <w:gridSpan w:val="2"/>
          </w:tcPr>
          <w:p>
            <w:pPr>
              <w:jc w:val="center"/>
              <w:spacing w:after="0"/>
              <w:rPr>
                <w:sz w:val="20"/>
                <w:szCs w:val="20"/>
                <w:color w:val="auto"/>
              </w:rPr>
            </w:pPr>
            <w:r>
              <w:rPr>
                <w:rFonts w:ascii="Arial" w:cs="Arial" w:eastAsia="Arial" w:hAnsi="Arial"/>
                <w:sz w:val="18"/>
                <w:szCs w:val="18"/>
                <w:color w:val="auto"/>
                <w:w w:val="99"/>
              </w:rPr>
              <w:t>001-37924</w:t>
            </w:r>
          </w:p>
        </w:tc>
        <w:tc>
          <w:tcPr>
            <w:tcW w:w="840" w:type="dxa"/>
            <w:vAlign w:val="bottom"/>
            <w:gridSpan w:val="2"/>
          </w:tcPr>
          <w:p>
            <w:pPr>
              <w:jc w:val="center"/>
              <w:spacing w:after="0"/>
              <w:rPr>
                <w:sz w:val="20"/>
                <w:szCs w:val="20"/>
                <w:color w:val="auto"/>
              </w:rPr>
            </w:pPr>
            <w:r>
              <w:rPr>
                <w:rFonts w:ascii="Arial" w:cs="Arial" w:eastAsia="Arial" w:hAnsi="Arial"/>
                <w:sz w:val="18"/>
                <w:szCs w:val="18"/>
                <w:color w:val="auto"/>
                <w:w w:val="96"/>
              </w:rPr>
              <w:t>10.2</w:t>
            </w:r>
          </w:p>
        </w:tc>
        <w:tc>
          <w:tcPr>
            <w:tcW w:w="60" w:type="dxa"/>
            <w:vAlign w:val="bottom"/>
          </w:tcPr>
          <w:p>
            <w:pPr>
              <w:spacing w:after="0"/>
              <w:rPr>
                <w:sz w:val="24"/>
                <w:szCs w:val="24"/>
                <w:color w:val="auto"/>
              </w:rPr>
            </w:pPr>
          </w:p>
        </w:tc>
        <w:tc>
          <w:tcPr>
            <w:tcW w:w="1880" w:type="dxa"/>
            <w:vAlign w:val="bottom"/>
          </w:tcPr>
          <w:p>
            <w:pPr>
              <w:jc w:val="center"/>
              <w:spacing w:after="0"/>
              <w:rPr>
                <w:sz w:val="20"/>
                <w:szCs w:val="20"/>
                <w:color w:val="auto"/>
              </w:rPr>
            </w:pPr>
            <w:r>
              <w:rPr>
                <w:rFonts w:ascii="Arial" w:cs="Arial" w:eastAsia="Arial" w:hAnsi="Arial"/>
                <w:sz w:val="18"/>
                <w:szCs w:val="18"/>
                <w:color w:val="auto"/>
                <w:w w:val="99"/>
              </w:rPr>
              <w:t>August 8, 2018</w:t>
            </w:r>
          </w:p>
        </w:tc>
      </w:tr>
      <w:tr>
        <w:trPr>
          <w:trHeight w:val="324"/>
        </w:trPr>
        <w:tc>
          <w:tcPr>
            <w:tcW w:w="900" w:type="dxa"/>
            <w:vAlign w:val="bottom"/>
          </w:tcPr>
          <w:p>
            <w:pPr>
              <w:jc w:val="center"/>
              <w:spacing w:after="0"/>
              <w:rPr>
                <w:sz w:val="20"/>
                <w:szCs w:val="20"/>
                <w:color w:val="auto"/>
              </w:rPr>
            </w:pPr>
            <w:r>
              <w:rPr>
                <w:rFonts w:ascii="Arial" w:cs="Arial" w:eastAsia="Arial" w:hAnsi="Arial"/>
                <w:sz w:val="18"/>
                <w:szCs w:val="18"/>
                <w:color w:val="auto"/>
                <w:w w:val="99"/>
              </w:rPr>
              <w:t>S-1</w:t>
            </w:r>
          </w:p>
        </w:tc>
        <w:tc>
          <w:tcPr>
            <w:tcW w:w="1300" w:type="dxa"/>
            <w:vAlign w:val="bottom"/>
            <w:gridSpan w:val="2"/>
          </w:tcPr>
          <w:p>
            <w:pPr>
              <w:jc w:val="center"/>
              <w:spacing w:after="0"/>
              <w:rPr>
                <w:sz w:val="20"/>
                <w:szCs w:val="20"/>
                <w:color w:val="auto"/>
              </w:rPr>
            </w:pPr>
            <w:r>
              <w:rPr>
                <w:rFonts w:ascii="Arial" w:cs="Arial" w:eastAsia="Arial" w:hAnsi="Arial"/>
                <w:sz w:val="18"/>
                <w:szCs w:val="18"/>
                <w:color w:val="auto"/>
                <w:w w:val="99"/>
              </w:rPr>
              <w:t>333-213899</w:t>
            </w:r>
          </w:p>
        </w:tc>
        <w:tc>
          <w:tcPr>
            <w:tcW w:w="840" w:type="dxa"/>
            <w:vAlign w:val="bottom"/>
            <w:gridSpan w:val="2"/>
          </w:tcPr>
          <w:p>
            <w:pPr>
              <w:jc w:val="center"/>
              <w:spacing w:after="0"/>
              <w:rPr>
                <w:sz w:val="20"/>
                <w:szCs w:val="20"/>
                <w:color w:val="auto"/>
              </w:rPr>
            </w:pPr>
            <w:r>
              <w:rPr>
                <w:rFonts w:ascii="Arial" w:cs="Arial" w:eastAsia="Arial" w:hAnsi="Arial"/>
                <w:sz w:val="18"/>
                <w:szCs w:val="18"/>
                <w:color w:val="auto"/>
              </w:rPr>
              <w:t>10.13</w:t>
            </w:r>
          </w:p>
        </w:tc>
        <w:tc>
          <w:tcPr>
            <w:tcW w:w="60" w:type="dxa"/>
            <w:vAlign w:val="bottom"/>
          </w:tcPr>
          <w:p>
            <w:pPr>
              <w:spacing w:after="0"/>
              <w:rPr>
                <w:sz w:val="24"/>
                <w:szCs w:val="24"/>
                <w:color w:val="auto"/>
              </w:rPr>
            </w:pPr>
          </w:p>
        </w:tc>
        <w:tc>
          <w:tcPr>
            <w:tcW w:w="1880" w:type="dxa"/>
            <w:vAlign w:val="bottom"/>
          </w:tcPr>
          <w:p>
            <w:pPr>
              <w:jc w:val="center"/>
              <w:spacing w:after="0"/>
              <w:rPr>
                <w:sz w:val="20"/>
                <w:szCs w:val="20"/>
                <w:color w:val="auto"/>
              </w:rPr>
            </w:pPr>
            <w:r>
              <w:rPr>
                <w:rFonts w:ascii="Arial" w:cs="Arial" w:eastAsia="Arial" w:hAnsi="Arial"/>
                <w:sz w:val="18"/>
                <w:szCs w:val="18"/>
                <w:color w:val="auto"/>
              </w:rPr>
              <w:t>September 30, 2016</w:t>
            </w:r>
          </w:p>
        </w:tc>
      </w:tr>
      <w:tr>
        <w:trPr>
          <w:trHeight w:val="324"/>
        </w:trPr>
        <w:tc>
          <w:tcPr>
            <w:tcW w:w="900" w:type="dxa"/>
            <w:vAlign w:val="bottom"/>
          </w:tcPr>
          <w:p>
            <w:pPr>
              <w:jc w:val="center"/>
              <w:spacing w:after="0"/>
              <w:rPr>
                <w:sz w:val="20"/>
                <w:szCs w:val="20"/>
                <w:color w:val="auto"/>
              </w:rPr>
            </w:pPr>
            <w:r>
              <w:rPr>
                <w:rFonts w:ascii="Arial" w:cs="Arial" w:eastAsia="Arial" w:hAnsi="Arial"/>
                <w:sz w:val="18"/>
                <w:szCs w:val="18"/>
                <w:color w:val="auto"/>
                <w:w w:val="99"/>
              </w:rPr>
              <w:t>S-1</w:t>
            </w:r>
          </w:p>
        </w:tc>
        <w:tc>
          <w:tcPr>
            <w:tcW w:w="1300" w:type="dxa"/>
            <w:vAlign w:val="bottom"/>
            <w:gridSpan w:val="2"/>
          </w:tcPr>
          <w:p>
            <w:pPr>
              <w:jc w:val="center"/>
              <w:spacing w:after="0"/>
              <w:rPr>
                <w:sz w:val="20"/>
                <w:szCs w:val="20"/>
                <w:color w:val="auto"/>
              </w:rPr>
            </w:pPr>
            <w:r>
              <w:rPr>
                <w:rFonts w:ascii="Arial" w:cs="Arial" w:eastAsia="Arial" w:hAnsi="Arial"/>
                <w:sz w:val="18"/>
                <w:szCs w:val="18"/>
                <w:color w:val="auto"/>
                <w:w w:val="99"/>
              </w:rPr>
              <w:t>333-213899</w:t>
            </w:r>
          </w:p>
        </w:tc>
        <w:tc>
          <w:tcPr>
            <w:tcW w:w="840" w:type="dxa"/>
            <w:vAlign w:val="bottom"/>
            <w:gridSpan w:val="2"/>
          </w:tcPr>
          <w:p>
            <w:pPr>
              <w:jc w:val="center"/>
              <w:spacing w:after="0"/>
              <w:rPr>
                <w:sz w:val="20"/>
                <w:szCs w:val="20"/>
                <w:color w:val="auto"/>
              </w:rPr>
            </w:pPr>
            <w:r>
              <w:rPr>
                <w:rFonts w:ascii="Arial" w:cs="Arial" w:eastAsia="Arial" w:hAnsi="Arial"/>
                <w:sz w:val="18"/>
                <w:szCs w:val="18"/>
                <w:color w:val="auto"/>
              </w:rPr>
              <w:t>10.14</w:t>
            </w:r>
          </w:p>
        </w:tc>
        <w:tc>
          <w:tcPr>
            <w:tcW w:w="60" w:type="dxa"/>
            <w:vAlign w:val="bottom"/>
          </w:tcPr>
          <w:p>
            <w:pPr>
              <w:spacing w:after="0"/>
              <w:rPr>
                <w:sz w:val="24"/>
                <w:szCs w:val="24"/>
                <w:color w:val="auto"/>
              </w:rPr>
            </w:pPr>
          </w:p>
        </w:tc>
        <w:tc>
          <w:tcPr>
            <w:tcW w:w="1880" w:type="dxa"/>
            <w:vAlign w:val="bottom"/>
          </w:tcPr>
          <w:p>
            <w:pPr>
              <w:jc w:val="center"/>
              <w:spacing w:after="0"/>
              <w:rPr>
                <w:sz w:val="20"/>
                <w:szCs w:val="20"/>
                <w:color w:val="auto"/>
              </w:rPr>
            </w:pPr>
            <w:r>
              <w:rPr>
                <w:rFonts w:ascii="Arial" w:cs="Arial" w:eastAsia="Arial" w:hAnsi="Arial"/>
                <w:sz w:val="18"/>
                <w:szCs w:val="18"/>
                <w:color w:val="auto"/>
              </w:rPr>
              <w:t>September 30, 2016</w:t>
            </w:r>
          </w:p>
        </w:tc>
      </w:tr>
      <w:tr>
        <w:trPr>
          <w:trHeight w:val="527"/>
        </w:trPr>
        <w:tc>
          <w:tcPr>
            <w:tcW w:w="900" w:type="dxa"/>
            <w:vAlign w:val="bottom"/>
          </w:tcPr>
          <w:p>
            <w:pPr>
              <w:jc w:val="center"/>
              <w:spacing w:after="0"/>
              <w:rPr>
                <w:sz w:val="20"/>
                <w:szCs w:val="20"/>
                <w:color w:val="auto"/>
              </w:rPr>
            </w:pPr>
            <w:r>
              <w:rPr>
                <w:rFonts w:ascii="Arial" w:cs="Arial" w:eastAsia="Arial" w:hAnsi="Arial"/>
                <w:sz w:val="18"/>
                <w:szCs w:val="18"/>
                <w:color w:val="auto"/>
                <w:w w:val="99"/>
              </w:rPr>
              <w:t>S-1</w:t>
            </w:r>
          </w:p>
        </w:tc>
        <w:tc>
          <w:tcPr>
            <w:tcW w:w="1300" w:type="dxa"/>
            <w:vAlign w:val="bottom"/>
            <w:gridSpan w:val="2"/>
          </w:tcPr>
          <w:p>
            <w:pPr>
              <w:jc w:val="center"/>
              <w:spacing w:after="0"/>
              <w:rPr>
                <w:sz w:val="20"/>
                <w:szCs w:val="20"/>
                <w:color w:val="auto"/>
              </w:rPr>
            </w:pPr>
            <w:r>
              <w:rPr>
                <w:rFonts w:ascii="Arial" w:cs="Arial" w:eastAsia="Arial" w:hAnsi="Arial"/>
                <w:sz w:val="18"/>
                <w:szCs w:val="18"/>
                <w:color w:val="auto"/>
                <w:w w:val="99"/>
              </w:rPr>
              <w:t>333-213899</w:t>
            </w:r>
          </w:p>
        </w:tc>
        <w:tc>
          <w:tcPr>
            <w:tcW w:w="840" w:type="dxa"/>
            <w:vAlign w:val="bottom"/>
            <w:gridSpan w:val="2"/>
          </w:tcPr>
          <w:p>
            <w:pPr>
              <w:jc w:val="center"/>
              <w:spacing w:after="0"/>
              <w:rPr>
                <w:sz w:val="20"/>
                <w:szCs w:val="20"/>
                <w:color w:val="auto"/>
              </w:rPr>
            </w:pPr>
            <w:r>
              <w:rPr>
                <w:rFonts w:ascii="Arial" w:cs="Arial" w:eastAsia="Arial" w:hAnsi="Arial"/>
                <w:sz w:val="18"/>
                <w:szCs w:val="18"/>
                <w:color w:val="auto"/>
              </w:rPr>
              <w:t>10.16</w:t>
            </w:r>
          </w:p>
        </w:tc>
        <w:tc>
          <w:tcPr>
            <w:tcW w:w="60" w:type="dxa"/>
            <w:vAlign w:val="bottom"/>
          </w:tcPr>
          <w:p>
            <w:pPr>
              <w:spacing w:after="0"/>
              <w:rPr>
                <w:sz w:val="24"/>
                <w:szCs w:val="24"/>
                <w:color w:val="auto"/>
              </w:rPr>
            </w:pPr>
          </w:p>
        </w:tc>
        <w:tc>
          <w:tcPr>
            <w:tcW w:w="1880" w:type="dxa"/>
            <w:vAlign w:val="bottom"/>
          </w:tcPr>
          <w:p>
            <w:pPr>
              <w:jc w:val="center"/>
              <w:spacing w:after="0"/>
              <w:rPr>
                <w:sz w:val="20"/>
                <w:szCs w:val="20"/>
                <w:color w:val="auto"/>
              </w:rPr>
            </w:pPr>
            <w:r>
              <w:rPr>
                <w:rFonts w:ascii="Arial" w:cs="Arial" w:eastAsia="Arial" w:hAnsi="Arial"/>
                <w:sz w:val="18"/>
                <w:szCs w:val="18"/>
                <w:color w:val="auto"/>
              </w:rPr>
              <w:t>September 30, 2016</w:t>
            </w:r>
          </w:p>
        </w:tc>
      </w:tr>
      <w:tr>
        <w:trPr>
          <w:trHeight w:val="527"/>
        </w:trPr>
        <w:tc>
          <w:tcPr>
            <w:tcW w:w="900" w:type="dxa"/>
            <w:vAlign w:val="bottom"/>
          </w:tcPr>
          <w:p>
            <w:pPr>
              <w:jc w:val="center"/>
              <w:spacing w:after="0"/>
              <w:rPr>
                <w:sz w:val="20"/>
                <w:szCs w:val="20"/>
                <w:color w:val="auto"/>
              </w:rPr>
            </w:pPr>
            <w:r>
              <w:rPr>
                <w:rFonts w:ascii="Arial" w:cs="Arial" w:eastAsia="Arial" w:hAnsi="Arial"/>
                <w:sz w:val="18"/>
                <w:szCs w:val="18"/>
                <w:color w:val="auto"/>
                <w:w w:val="99"/>
              </w:rPr>
              <w:t>S-1</w:t>
            </w:r>
          </w:p>
        </w:tc>
        <w:tc>
          <w:tcPr>
            <w:tcW w:w="1300" w:type="dxa"/>
            <w:vAlign w:val="bottom"/>
            <w:gridSpan w:val="2"/>
          </w:tcPr>
          <w:p>
            <w:pPr>
              <w:jc w:val="center"/>
              <w:spacing w:after="0"/>
              <w:rPr>
                <w:sz w:val="20"/>
                <w:szCs w:val="20"/>
                <w:color w:val="auto"/>
              </w:rPr>
            </w:pPr>
            <w:r>
              <w:rPr>
                <w:rFonts w:ascii="Arial" w:cs="Arial" w:eastAsia="Arial" w:hAnsi="Arial"/>
                <w:sz w:val="18"/>
                <w:szCs w:val="18"/>
                <w:color w:val="auto"/>
                <w:w w:val="99"/>
              </w:rPr>
              <w:t>333-213899</w:t>
            </w:r>
          </w:p>
        </w:tc>
        <w:tc>
          <w:tcPr>
            <w:tcW w:w="840" w:type="dxa"/>
            <w:vAlign w:val="bottom"/>
            <w:gridSpan w:val="2"/>
          </w:tcPr>
          <w:p>
            <w:pPr>
              <w:jc w:val="center"/>
              <w:spacing w:after="0"/>
              <w:rPr>
                <w:sz w:val="20"/>
                <w:szCs w:val="20"/>
                <w:color w:val="auto"/>
              </w:rPr>
            </w:pPr>
            <w:r>
              <w:rPr>
                <w:rFonts w:ascii="Arial" w:cs="Arial" w:eastAsia="Arial" w:hAnsi="Arial"/>
                <w:sz w:val="18"/>
                <w:szCs w:val="18"/>
                <w:color w:val="auto"/>
              </w:rPr>
              <w:t>10.18</w:t>
            </w:r>
          </w:p>
        </w:tc>
        <w:tc>
          <w:tcPr>
            <w:tcW w:w="60" w:type="dxa"/>
            <w:vAlign w:val="bottom"/>
          </w:tcPr>
          <w:p>
            <w:pPr>
              <w:spacing w:after="0"/>
              <w:rPr>
                <w:sz w:val="24"/>
                <w:szCs w:val="24"/>
                <w:color w:val="auto"/>
              </w:rPr>
            </w:pPr>
          </w:p>
        </w:tc>
        <w:tc>
          <w:tcPr>
            <w:tcW w:w="1880" w:type="dxa"/>
            <w:vAlign w:val="bottom"/>
          </w:tcPr>
          <w:p>
            <w:pPr>
              <w:jc w:val="center"/>
              <w:spacing w:after="0"/>
              <w:rPr>
                <w:sz w:val="20"/>
                <w:szCs w:val="20"/>
                <w:color w:val="auto"/>
              </w:rPr>
            </w:pPr>
            <w:r>
              <w:rPr>
                <w:rFonts w:ascii="Arial" w:cs="Arial" w:eastAsia="Arial" w:hAnsi="Arial"/>
                <w:sz w:val="18"/>
                <w:szCs w:val="18"/>
                <w:color w:val="auto"/>
              </w:rPr>
              <w:t>September 30, 2016</w:t>
            </w:r>
          </w:p>
        </w:tc>
      </w:tr>
      <w:tr>
        <w:trPr>
          <w:trHeight w:val="527"/>
        </w:trPr>
        <w:tc>
          <w:tcPr>
            <w:tcW w:w="900" w:type="dxa"/>
            <w:vAlign w:val="bottom"/>
          </w:tcPr>
          <w:p>
            <w:pPr>
              <w:jc w:val="center"/>
              <w:spacing w:after="0"/>
              <w:rPr>
                <w:sz w:val="20"/>
                <w:szCs w:val="20"/>
                <w:color w:val="auto"/>
              </w:rPr>
            </w:pPr>
            <w:r>
              <w:rPr>
                <w:rFonts w:ascii="Arial" w:cs="Arial" w:eastAsia="Arial" w:hAnsi="Arial"/>
                <w:sz w:val="18"/>
                <w:szCs w:val="18"/>
                <w:color w:val="auto"/>
                <w:w w:val="99"/>
              </w:rPr>
              <w:t>S-1</w:t>
            </w:r>
          </w:p>
        </w:tc>
        <w:tc>
          <w:tcPr>
            <w:tcW w:w="1300" w:type="dxa"/>
            <w:vAlign w:val="bottom"/>
            <w:gridSpan w:val="2"/>
          </w:tcPr>
          <w:p>
            <w:pPr>
              <w:jc w:val="center"/>
              <w:spacing w:after="0"/>
              <w:rPr>
                <w:sz w:val="20"/>
                <w:szCs w:val="20"/>
                <w:color w:val="auto"/>
              </w:rPr>
            </w:pPr>
            <w:r>
              <w:rPr>
                <w:rFonts w:ascii="Arial" w:cs="Arial" w:eastAsia="Arial" w:hAnsi="Arial"/>
                <w:sz w:val="18"/>
                <w:szCs w:val="18"/>
                <w:color w:val="auto"/>
                <w:w w:val="99"/>
              </w:rPr>
              <w:t>333-213899</w:t>
            </w:r>
          </w:p>
        </w:tc>
        <w:tc>
          <w:tcPr>
            <w:tcW w:w="840" w:type="dxa"/>
            <w:vAlign w:val="bottom"/>
            <w:gridSpan w:val="2"/>
          </w:tcPr>
          <w:p>
            <w:pPr>
              <w:jc w:val="center"/>
              <w:spacing w:after="0"/>
              <w:rPr>
                <w:sz w:val="20"/>
                <w:szCs w:val="20"/>
                <w:color w:val="auto"/>
              </w:rPr>
            </w:pPr>
            <w:r>
              <w:rPr>
                <w:rFonts w:ascii="Arial" w:cs="Arial" w:eastAsia="Arial" w:hAnsi="Arial"/>
                <w:sz w:val="18"/>
                <w:szCs w:val="18"/>
                <w:color w:val="auto"/>
              </w:rPr>
              <w:t>10.19</w:t>
            </w:r>
          </w:p>
        </w:tc>
        <w:tc>
          <w:tcPr>
            <w:tcW w:w="60" w:type="dxa"/>
            <w:vAlign w:val="bottom"/>
          </w:tcPr>
          <w:p>
            <w:pPr>
              <w:spacing w:after="0"/>
              <w:rPr>
                <w:sz w:val="24"/>
                <w:szCs w:val="24"/>
                <w:color w:val="auto"/>
              </w:rPr>
            </w:pPr>
          </w:p>
        </w:tc>
        <w:tc>
          <w:tcPr>
            <w:tcW w:w="1880" w:type="dxa"/>
            <w:vAlign w:val="bottom"/>
          </w:tcPr>
          <w:p>
            <w:pPr>
              <w:jc w:val="center"/>
              <w:spacing w:after="0"/>
              <w:rPr>
                <w:sz w:val="20"/>
                <w:szCs w:val="20"/>
                <w:color w:val="auto"/>
              </w:rPr>
            </w:pPr>
            <w:r>
              <w:rPr>
                <w:rFonts w:ascii="Arial" w:cs="Arial" w:eastAsia="Arial" w:hAnsi="Arial"/>
                <w:sz w:val="18"/>
                <w:szCs w:val="18"/>
                <w:color w:val="auto"/>
              </w:rPr>
              <w:t>September 30, 2016</w:t>
            </w:r>
          </w:p>
        </w:tc>
      </w:tr>
      <w:tr>
        <w:trPr>
          <w:trHeight w:val="527"/>
        </w:trPr>
        <w:tc>
          <w:tcPr>
            <w:tcW w:w="900" w:type="dxa"/>
            <w:vAlign w:val="bottom"/>
          </w:tcPr>
          <w:p>
            <w:pPr>
              <w:jc w:val="center"/>
              <w:spacing w:after="0"/>
              <w:rPr>
                <w:sz w:val="20"/>
                <w:szCs w:val="20"/>
                <w:color w:val="auto"/>
              </w:rPr>
            </w:pPr>
            <w:r>
              <w:rPr>
                <w:rFonts w:ascii="Arial" w:cs="Arial" w:eastAsia="Arial" w:hAnsi="Arial"/>
                <w:sz w:val="18"/>
                <w:szCs w:val="18"/>
                <w:color w:val="auto"/>
                <w:w w:val="99"/>
              </w:rPr>
              <w:t>S-1</w:t>
            </w:r>
          </w:p>
        </w:tc>
        <w:tc>
          <w:tcPr>
            <w:tcW w:w="1300" w:type="dxa"/>
            <w:vAlign w:val="bottom"/>
            <w:gridSpan w:val="2"/>
          </w:tcPr>
          <w:p>
            <w:pPr>
              <w:jc w:val="center"/>
              <w:spacing w:after="0"/>
              <w:rPr>
                <w:sz w:val="20"/>
                <w:szCs w:val="20"/>
                <w:color w:val="auto"/>
              </w:rPr>
            </w:pPr>
            <w:r>
              <w:rPr>
                <w:rFonts w:ascii="Arial" w:cs="Arial" w:eastAsia="Arial" w:hAnsi="Arial"/>
                <w:sz w:val="18"/>
                <w:szCs w:val="18"/>
                <w:color w:val="auto"/>
                <w:w w:val="99"/>
              </w:rPr>
              <w:t>333-213899</w:t>
            </w:r>
          </w:p>
        </w:tc>
        <w:tc>
          <w:tcPr>
            <w:tcW w:w="840" w:type="dxa"/>
            <w:vAlign w:val="bottom"/>
            <w:gridSpan w:val="2"/>
          </w:tcPr>
          <w:p>
            <w:pPr>
              <w:jc w:val="center"/>
              <w:spacing w:after="0"/>
              <w:rPr>
                <w:sz w:val="20"/>
                <w:szCs w:val="20"/>
                <w:color w:val="auto"/>
              </w:rPr>
            </w:pPr>
            <w:r>
              <w:rPr>
                <w:rFonts w:ascii="Arial" w:cs="Arial" w:eastAsia="Arial" w:hAnsi="Arial"/>
                <w:sz w:val="18"/>
                <w:szCs w:val="18"/>
                <w:color w:val="auto"/>
              </w:rPr>
              <w:t>10.20</w:t>
            </w:r>
          </w:p>
        </w:tc>
        <w:tc>
          <w:tcPr>
            <w:tcW w:w="60" w:type="dxa"/>
            <w:vAlign w:val="bottom"/>
          </w:tcPr>
          <w:p>
            <w:pPr>
              <w:spacing w:after="0"/>
              <w:rPr>
                <w:sz w:val="24"/>
                <w:szCs w:val="24"/>
                <w:color w:val="auto"/>
              </w:rPr>
            </w:pPr>
          </w:p>
        </w:tc>
        <w:tc>
          <w:tcPr>
            <w:tcW w:w="1880" w:type="dxa"/>
            <w:vAlign w:val="bottom"/>
          </w:tcPr>
          <w:p>
            <w:pPr>
              <w:jc w:val="center"/>
              <w:spacing w:after="0"/>
              <w:rPr>
                <w:sz w:val="20"/>
                <w:szCs w:val="20"/>
                <w:color w:val="auto"/>
              </w:rPr>
            </w:pPr>
            <w:r>
              <w:rPr>
                <w:rFonts w:ascii="Arial" w:cs="Arial" w:eastAsia="Arial" w:hAnsi="Arial"/>
                <w:sz w:val="18"/>
                <w:szCs w:val="18"/>
                <w:color w:val="auto"/>
              </w:rPr>
              <w:t>September 30, 2016</w:t>
            </w:r>
          </w:p>
        </w:tc>
      </w:tr>
      <w:tr>
        <w:trPr>
          <w:trHeight w:val="527"/>
        </w:trPr>
        <w:tc>
          <w:tcPr>
            <w:tcW w:w="900" w:type="dxa"/>
            <w:vAlign w:val="bottom"/>
          </w:tcPr>
          <w:p>
            <w:pPr>
              <w:jc w:val="center"/>
              <w:spacing w:after="0"/>
              <w:rPr>
                <w:sz w:val="20"/>
                <w:szCs w:val="20"/>
                <w:color w:val="auto"/>
              </w:rPr>
            </w:pPr>
            <w:r>
              <w:rPr>
                <w:rFonts w:ascii="Arial" w:cs="Arial" w:eastAsia="Arial" w:hAnsi="Arial"/>
                <w:sz w:val="18"/>
                <w:szCs w:val="18"/>
                <w:color w:val="auto"/>
                <w:w w:val="99"/>
              </w:rPr>
              <w:t>10-Q</w:t>
            </w:r>
          </w:p>
        </w:tc>
        <w:tc>
          <w:tcPr>
            <w:tcW w:w="1300" w:type="dxa"/>
            <w:vAlign w:val="bottom"/>
            <w:gridSpan w:val="2"/>
          </w:tcPr>
          <w:p>
            <w:pPr>
              <w:jc w:val="center"/>
              <w:spacing w:after="0"/>
              <w:rPr>
                <w:sz w:val="20"/>
                <w:szCs w:val="20"/>
                <w:color w:val="auto"/>
              </w:rPr>
            </w:pPr>
            <w:r>
              <w:rPr>
                <w:rFonts w:ascii="Arial" w:cs="Arial" w:eastAsia="Arial" w:hAnsi="Arial"/>
                <w:sz w:val="18"/>
                <w:szCs w:val="18"/>
                <w:color w:val="auto"/>
                <w:w w:val="99"/>
              </w:rPr>
              <w:t>001-37924</w:t>
            </w:r>
          </w:p>
        </w:tc>
        <w:tc>
          <w:tcPr>
            <w:tcW w:w="840" w:type="dxa"/>
            <w:vAlign w:val="bottom"/>
            <w:gridSpan w:val="2"/>
          </w:tcPr>
          <w:p>
            <w:pPr>
              <w:jc w:val="center"/>
              <w:spacing w:after="0"/>
              <w:rPr>
                <w:sz w:val="20"/>
                <w:szCs w:val="20"/>
                <w:color w:val="auto"/>
              </w:rPr>
            </w:pPr>
            <w:r>
              <w:rPr>
                <w:rFonts w:ascii="Arial" w:cs="Arial" w:eastAsia="Arial" w:hAnsi="Arial"/>
                <w:sz w:val="18"/>
                <w:szCs w:val="18"/>
                <w:color w:val="auto"/>
              </w:rPr>
              <w:t>10.18</w:t>
            </w:r>
          </w:p>
        </w:tc>
        <w:tc>
          <w:tcPr>
            <w:tcW w:w="60" w:type="dxa"/>
            <w:vAlign w:val="bottom"/>
          </w:tcPr>
          <w:p>
            <w:pPr>
              <w:spacing w:after="0"/>
              <w:rPr>
                <w:sz w:val="24"/>
                <w:szCs w:val="24"/>
                <w:color w:val="auto"/>
              </w:rPr>
            </w:pPr>
          </w:p>
        </w:tc>
        <w:tc>
          <w:tcPr>
            <w:tcW w:w="1880" w:type="dxa"/>
            <w:vAlign w:val="bottom"/>
          </w:tcPr>
          <w:p>
            <w:pPr>
              <w:jc w:val="center"/>
              <w:spacing w:after="0"/>
              <w:rPr>
                <w:sz w:val="20"/>
                <w:szCs w:val="20"/>
                <w:color w:val="auto"/>
              </w:rPr>
            </w:pPr>
            <w:r>
              <w:rPr>
                <w:rFonts w:ascii="Arial" w:cs="Arial" w:eastAsia="Arial" w:hAnsi="Arial"/>
                <w:sz w:val="18"/>
                <w:szCs w:val="18"/>
                <w:color w:val="auto"/>
              </w:rPr>
              <w:t>May 9, 2018</w:t>
            </w:r>
          </w:p>
        </w:tc>
      </w:tr>
      <w:tr>
        <w:trPr>
          <w:trHeight w:val="527"/>
        </w:trPr>
        <w:tc>
          <w:tcPr>
            <w:tcW w:w="900" w:type="dxa"/>
            <w:vAlign w:val="bottom"/>
          </w:tcPr>
          <w:p>
            <w:pPr>
              <w:jc w:val="center"/>
              <w:spacing w:after="0"/>
              <w:rPr>
                <w:sz w:val="20"/>
                <w:szCs w:val="20"/>
                <w:color w:val="auto"/>
              </w:rPr>
            </w:pPr>
            <w:r>
              <w:rPr>
                <w:rFonts w:ascii="Arial" w:cs="Arial" w:eastAsia="Arial" w:hAnsi="Arial"/>
                <w:sz w:val="18"/>
                <w:szCs w:val="18"/>
                <w:color w:val="auto"/>
                <w:w w:val="99"/>
              </w:rPr>
              <w:t>S-1</w:t>
            </w:r>
          </w:p>
        </w:tc>
        <w:tc>
          <w:tcPr>
            <w:tcW w:w="1300" w:type="dxa"/>
            <w:vAlign w:val="bottom"/>
            <w:gridSpan w:val="2"/>
          </w:tcPr>
          <w:p>
            <w:pPr>
              <w:jc w:val="center"/>
              <w:spacing w:after="0"/>
              <w:rPr>
                <w:sz w:val="20"/>
                <w:szCs w:val="20"/>
                <w:color w:val="auto"/>
              </w:rPr>
            </w:pPr>
            <w:r>
              <w:rPr>
                <w:rFonts w:ascii="Arial" w:cs="Arial" w:eastAsia="Arial" w:hAnsi="Arial"/>
                <w:sz w:val="18"/>
                <w:szCs w:val="18"/>
                <w:color w:val="auto"/>
                <w:w w:val="99"/>
              </w:rPr>
              <w:t>333-213899</w:t>
            </w:r>
          </w:p>
        </w:tc>
        <w:tc>
          <w:tcPr>
            <w:tcW w:w="840" w:type="dxa"/>
            <w:vAlign w:val="bottom"/>
            <w:gridSpan w:val="2"/>
          </w:tcPr>
          <w:p>
            <w:pPr>
              <w:jc w:val="center"/>
              <w:spacing w:after="0"/>
              <w:rPr>
                <w:sz w:val="20"/>
                <w:szCs w:val="20"/>
                <w:color w:val="auto"/>
              </w:rPr>
            </w:pPr>
            <w:r>
              <w:rPr>
                <w:rFonts w:ascii="Arial" w:cs="Arial" w:eastAsia="Arial" w:hAnsi="Arial"/>
                <w:sz w:val="18"/>
                <w:szCs w:val="18"/>
                <w:color w:val="auto"/>
              </w:rPr>
              <w:t>10.22</w:t>
            </w:r>
          </w:p>
        </w:tc>
        <w:tc>
          <w:tcPr>
            <w:tcW w:w="60" w:type="dxa"/>
            <w:vAlign w:val="bottom"/>
          </w:tcPr>
          <w:p>
            <w:pPr>
              <w:spacing w:after="0"/>
              <w:rPr>
                <w:sz w:val="24"/>
                <w:szCs w:val="24"/>
                <w:color w:val="auto"/>
              </w:rPr>
            </w:pPr>
          </w:p>
        </w:tc>
        <w:tc>
          <w:tcPr>
            <w:tcW w:w="1880" w:type="dxa"/>
            <w:vAlign w:val="bottom"/>
          </w:tcPr>
          <w:p>
            <w:pPr>
              <w:jc w:val="center"/>
              <w:spacing w:after="0"/>
              <w:rPr>
                <w:sz w:val="20"/>
                <w:szCs w:val="20"/>
                <w:color w:val="auto"/>
              </w:rPr>
            </w:pPr>
            <w:r>
              <w:rPr>
                <w:rFonts w:ascii="Arial" w:cs="Arial" w:eastAsia="Arial" w:hAnsi="Arial"/>
                <w:sz w:val="18"/>
                <w:szCs w:val="18"/>
                <w:color w:val="auto"/>
              </w:rPr>
              <w:t>September 30, 2016</w:t>
            </w:r>
          </w:p>
        </w:tc>
      </w:tr>
      <w:tr>
        <w:trPr>
          <w:trHeight w:val="527"/>
        </w:trPr>
        <w:tc>
          <w:tcPr>
            <w:tcW w:w="900" w:type="dxa"/>
            <w:vAlign w:val="bottom"/>
          </w:tcPr>
          <w:p>
            <w:pPr>
              <w:jc w:val="center"/>
              <w:spacing w:after="0"/>
              <w:rPr>
                <w:sz w:val="20"/>
                <w:szCs w:val="20"/>
                <w:color w:val="auto"/>
              </w:rPr>
            </w:pPr>
            <w:r>
              <w:rPr>
                <w:rFonts w:ascii="Arial" w:cs="Arial" w:eastAsia="Arial" w:hAnsi="Arial"/>
                <w:sz w:val="18"/>
                <w:szCs w:val="18"/>
                <w:color w:val="auto"/>
                <w:w w:val="99"/>
              </w:rPr>
              <w:t>S-1</w:t>
            </w:r>
          </w:p>
        </w:tc>
        <w:tc>
          <w:tcPr>
            <w:tcW w:w="1300" w:type="dxa"/>
            <w:vAlign w:val="bottom"/>
            <w:gridSpan w:val="2"/>
          </w:tcPr>
          <w:p>
            <w:pPr>
              <w:jc w:val="center"/>
              <w:spacing w:after="0"/>
              <w:rPr>
                <w:sz w:val="20"/>
                <w:szCs w:val="20"/>
                <w:color w:val="auto"/>
              </w:rPr>
            </w:pPr>
            <w:r>
              <w:rPr>
                <w:rFonts w:ascii="Arial" w:cs="Arial" w:eastAsia="Arial" w:hAnsi="Arial"/>
                <w:sz w:val="18"/>
                <w:szCs w:val="18"/>
                <w:color w:val="auto"/>
                <w:w w:val="99"/>
              </w:rPr>
              <w:t>333-213899</w:t>
            </w:r>
          </w:p>
        </w:tc>
        <w:tc>
          <w:tcPr>
            <w:tcW w:w="840" w:type="dxa"/>
            <w:vAlign w:val="bottom"/>
            <w:gridSpan w:val="2"/>
          </w:tcPr>
          <w:p>
            <w:pPr>
              <w:jc w:val="center"/>
              <w:spacing w:after="0"/>
              <w:rPr>
                <w:sz w:val="20"/>
                <w:szCs w:val="20"/>
                <w:color w:val="auto"/>
              </w:rPr>
            </w:pPr>
            <w:r>
              <w:rPr>
                <w:rFonts w:ascii="Arial" w:cs="Arial" w:eastAsia="Arial" w:hAnsi="Arial"/>
                <w:sz w:val="18"/>
                <w:szCs w:val="18"/>
                <w:color w:val="auto"/>
              </w:rPr>
              <w:t>10.23</w:t>
            </w:r>
          </w:p>
        </w:tc>
        <w:tc>
          <w:tcPr>
            <w:tcW w:w="60" w:type="dxa"/>
            <w:vAlign w:val="bottom"/>
          </w:tcPr>
          <w:p>
            <w:pPr>
              <w:spacing w:after="0"/>
              <w:rPr>
                <w:sz w:val="24"/>
                <w:szCs w:val="24"/>
                <w:color w:val="auto"/>
              </w:rPr>
            </w:pPr>
          </w:p>
        </w:tc>
        <w:tc>
          <w:tcPr>
            <w:tcW w:w="1880" w:type="dxa"/>
            <w:vAlign w:val="bottom"/>
          </w:tcPr>
          <w:p>
            <w:pPr>
              <w:jc w:val="center"/>
              <w:spacing w:after="0"/>
              <w:rPr>
                <w:sz w:val="20"/>
                <w:szCs w:val="20"/>
                <w:color w:val="auto"/>
              </w:rPr>
            </w:pPr>
            <w:r>
              <w:rPr>
                <w:rFonts w:ascii="Arial" w:cs="Arial" w:eastAsia="Arial" w:hAnsi="Arial"/>
                <w:sz w:val="18"/>
                <w:szCs w:val="18"/>
                <w:color w:val="auto"/>
              </w:rPr>
              <w:t>September 30, 2016</w:t>
            </w:r>
          </w:p>
        </w:tc>
      </w:tr>
      <w:tr>
        <w:trPr>
          <w:trHeight w:val="527"/>
        </w:trPr>
        <w:tc>
          <w:tcPr>
            <w:tcW w:w="900" w:type="dxa"/>
            <w:vAlign w:val="bottom"/>
          </w:tcPr>
          <w:p>
            <w:pPr>
              <w:jc w:val="center"/>
              <w:spacing w:after="0"/>
              <w:rPr>
                <w:sz w:val="20"/>
                <w:szCs w:val="20"/>
                <w:color w:val="auto"/>
              </w:rPr>
            </w:pPr>
            <w:r>
              <w:rPr>
                <w:rFonts w:ascii="Arial" w:cs="Arial" w:eastAsia="Arial" w:hAnsi="Arial"/>
                <w:sz w:val="18"/>
                <w:szCs w:val="18"/>
                <w:color w:val="auto"/>
                <w:w w:val="99"/>
              </w:rPr>
              <w:t>S-1</w:t>
            </w:r>
          </w:p>
        </w:tc>
        <w:tc>
          <w:tcPr>
            <w:tcW w:w="1300" w:type="dxa"/>
            <w:vAlign w:val="bottom"/>
            <w:gridSpan w:val="2"/>
          </w:tcPr>
          <w:p>
            <w:pPr>
              <w:jc w:val="center"/>
              <w:spacing w:after="0"/>
              <w:rPr>
                <w:sz w:val="20"/>
                <w:szCs w:val="20"/>
                <w:color w:val="auto"/>
              </w:rPr>
            </w:pPr>
            <w:r>
              <w:rPr>
                <w:rFonts w:ascii="Arial" w:cs="Arial" w:eastAsia="Arial" w:hAnsi="Arial"/>
                <w:sz w:val="18"/>
                <w:szCs w:val="18"/>
                <w:color w:val="auto"/>
                <w:w w:val="99"/>
              </w:rPr>
              <w:t>333-213899</w:t>
            </w:r>
          </w:p>
        </w:tc>
        <w:tc>
          <w:tcPr>
            <w:tcW w:w="840" w:type="dxa"/>
            <w:vAlign w:val="bottom"/>
            <w:gridSpan w:val="2"/>
          </w:tcPr>
          <w:p>
            <w:pPr>
              <w:jc w:val="center"/>
              <w:spacing w:after="0"/>
              <w:rPr>
                <w:sz w:val="20"/>
                <w:szCs w:val="20"/>
                <w:color w:val="auto"/>
              </w:rPr>
            </w:pPr>
            <w:r>
              <w:rPr>
                <w:rFonts w:ascii="Arial" w:cs="Arial" w:eastAsia="Arial" w:hAnsi="Arial"/>
                <w:sz w:val="18"/>
                <w:szCs w:val="18"/>
                <w:color w:val="auto"/>
              </w:rPr>
              <w:t>10.24</w:t>
            </w:r>
          </w:p>
        </w:tc>
        <w:tc>
          <w:tcPr>
            <w:tcW w:w="60" w:type="dxa"/>
            <w:vAlign w:val="bottom"/>
          </w:tcPr>
          <w:p>
            <w:pPr>
              <w:spacing w:after="0"/>
              <w:rPr>
                <w:sz w:val="24"/>
                <w:szCs w:val="24"/>
                <w:color w:val="auto"/>
              </w:rPr>
            </w:pPr>
          </w:p>
        </w:tc>
        <w:tc>
          <w:tcPr>
            <w:tcW w:w="1880" w:type="dxa"/>
            <w:vAlign w:val="bottom"/>
          </w:tcPr>
          <w:p>
            <w:pPr>
              <w:jc w:val="center"/>
              <w:spacing w:after="0"/>
              <w:rPr>
                <w:sz w:val="20"/>
                <w:szCs w:val="20"/>
                <w:color w:val="auto"/>
              </w:rPr>
            </w:pPr>
            <w:r>
              <w:rPr>
                <w:rFonts w:ascii="Arial" w:cs="Arial" w:eastAsia="Arial" w:hAnsi="Arial"/>
                <w:sz w:val="18"/>
                <w:szCs w:val="18"/>
                <w:color w:val="auto"/>
              </w:rPr>
              <w:t>September 30, 2016</w:t>
            </w:r>
          </w:p>
        </w:tc>
      </w:tr>
      <w:tr>
        <w:trPr>
          <w:trHeight w:val="527"/>
        </w:trPr>
        <w:tc>
          <w:tcPr>
            <w:tcW w:w="900" w:type="dxa"/>
            <w:vAlign w:val="bottom"/>
          </w:tcPr>
          <w:p>
            <w:pPr>
              <w:jc w:val="center"/>
              <w:spacing w:after="0"/>
              <w:rPr>
                <w:sz w:val="20"/>
                <w:szCs w:val="20"/>
                <w:color w:val="auto"/>
              </w:rPr>
            </w:pPr>
            <w:r>
              <w:rPr>
                <w:rFonts w:ascii="Arial" w:cs="Arial" w:eastAsia="Arial" w:hAnsi="Arial"/>
                <w:sz w:val="18"/>
                <w:szCs w:val="18"/>
                <w:color w:val="auto"/>
                <w:w w:val="99"/>
              </w:rPr>
              <w:t>S-1</w:t>
            </w:r>
          </w:p>
        </w:tc>
        <w:tc>
          <w:tcPr>
            <w:tcW w:w="1300" w:type="dxa"/>
            <w:vAlign w:val="bottom"/>
            <w:gridSpan w:val="2"/>
          </w:tcPr>
          <w:p>
            <w:pPr>
              <w:jc w:val="center"/>
              <w:spacing w:after="0"/>
              <w:rPr>
                <w:sz w:val="20"/>
                <w:szCs w:val="20"/>
                <w:color w:val="auto"/>
              </w:rPr>
            </w:pPr>
            <w:r>
              <w:rPr>
                <w:rFonts w:ascii="Arial" w:cs="Arial" w:eastAsia="Arial" w:hAnsi="Arial"/>
                <w:sz w:val="18"/>
                <w:szCs w:val="18"/>
                <w:color w:val="auto"/>
                <w:w w:val="99"/>
              </w:rPr>
              <w:t>333-213899</w:t>
            </w:r>
          </w:p>
        </w:tc>
        <w:tc>
          <w:tcPr>
            <w:tcW w:w="840" w:type="dxa"/>
            <w:vAlign w:val="bottom"/>
            <w:gridSpan w:val="2"/>
          </w:tcPr>
          <w:p>
            <w:pPr>
              <w:jc w:val="center"/>
              <w:spacing w:after="0"/>
              <w:rPr>
                <w:sz w:val="20"/>
                <w:szCs w:val="20"/>
                <w:color w:val="auto"/>
              </w:rPr>
            </w:pPr>
            <w:r>
              <w:rPr>
                <w:rFonts w:ascii="Arial" w:cs="Arial" w:eastAsia="Arial" w:hAnsi="Arial"/>
                <w:sz w:val="18"/>
                <w:szCs w:val="18"/>
                <w:color w:val="auto"/>
              </w:rPr>
              <w:t>10.25</w:t>
            </w:r>
          </w:p>
        </w:tc>
        <w:tc>
          <w:tcPr>
            <w:tcW w:w="60" w:type="dxa"/>
            <w:vAlign w:val="bottom"/>
          </w:tcPr>
          <w:p>
            <w:pPr>
              <w:spacing w:after="0"/>
              <w:rPr>
                <w:sz w:val="24"/>
                <w:szCs w:val="24"/>
                <w:color w:val="auto"/>
              </w:rPr>
            </w:pPr>
          </w:p>
        </w:tc>
        <w:tc>
          <w:tcPr>
            <w:tcW w:w="1880" w:type="dxa"/>
            <w:vAlign w:val="bottom"/>
          </w:tcPr>
          <w:p>
            <w:pPr>
              <w:jc w:val="center"/>
              <w:spacing w:after="0"/>
              <w:rPr>
                <w:sz w:val="20"/>
                <w:szCs w:val="20"/>
                <w:color w:val="auto"/>
              </w:rPr>
            </w:pPr>
            <w:r>
              <w:rPr>
                <w:rFonts w:ascii="Arial" w:cs="Arial" w:eastAsia="Arial" w:hAnsi="Arial"/>
                <w:sz w:val="18"/>
                <w:szCs w:val="18"/>
                <w:color w:val="auto"/>
              </w:rPr>
              <w:t>September 30, 2016</w:t>
            </w:r>
          </w:p>
        </w:tc>
      </w:tr>
      <w:tr>
        <w:trPr>
          <w:trHeight w:val="527"/>
        </w:trPr>
        <w:tc>
          <w:tcPr>
            <w:tcW w:w="900" w:type="dxa"/>
            <w:vAlign w:val="bottom"/>
          </w:tcPr>
          <w:p>
            <w:pPr>
              <w:jc w:val="center"/>
              <w:spacing w:after="0"/>
              <w:rPr>
                <w:sz w:val="20"/>
                <w:szCs w:val="20"/>
                <w:color w:val="auto"/>
              </w:rPr>
            </w:pPr>
            <w:r>
              <w:rPr>
                <w:rFonts w:ascii="Arial" w:cs="Arial" w:eastAsia="Arial" w:hAnsi="Arial"/>
                <w:sz w:val="18"/>
                <w:szCs w:val="18"/>
                <w:color w:val="auto"/>
                <w:w w:val="99"/>
              </w:rPr>
              <w:t>S-1</w:t>
            </w:r>
          </w:p>
        </w:tc>
        <w:tc>
          <w:tcPr>
            <w:tcW w:w="1300" w:type="dxa"/>
            <w:vAlign w:val="bottom"/>
            <w:gridSpan w:val="2"/>
          </w:tcPr>
          <w:p>
            <w:pPr>
              <w:jc w:val="center"/>
              <w:spacing w:after="0"/>
              <w:rPr>
                <w:sz w:val="20"/>
                <w:szCs w:val="20"/>
                <w:color w:val="auto"/>
              </w:rPr>
            </w:pPr>
            <w:r>
              <w:rPr>
                <w:rFonts w:ascii="Arial" w:cs="Arial" w:eastAsia="Arial" w:hAnsi="Arial"/>
                <w:sz w:val="18"/>
                <w:szCs w:val="18"/>
                <w:color w:val="auto"/>
                <w:w w:val="99"/>
              </w:rPr>
              <w:t>333-213899</w:t>
            </w:r>
          </w:p>
        </w:tc>
        <w:tc>
          <w:tcPr>
            <w:tcW w:w="840" w:type="dxa"/>
            <w:vAlign w:val="bottom"/>
            <w:gridSpan w:val="2"/>
          </w:tcPr>
          <w:p>
            <w:pPr>
              <w:jc w:val="center"/>
              <w:spacing w:after="0"/>
              <w:rPr>
                <w:sz w:val="20"/>
                <w:szCs w:val="20"/>
                <w:color w:val="auto"/>
              </w:rPr>
            </w:pPr>
            <w:r>
              <w:rPr>
                <w:rFonts w:ascii="Arial" w:cs="Arial" w:eastAsia="Arial" w:hAnsi="Arial"/>
                <w:sz w:val="18"/>
                <w:szCs w:val="18"/>
                <w:color w:val="auto"/>
              </w:rPr>
              <w:t>10.26</w:t>
            </w:r>
          </w:p>
        </w:tc>
        <w:tc>
          <w:tcPr>
            <w:tcW w:w="60" w:type="dxa"/>
            <w:vAlign w:val="bottom"/>
          </w:tcPr>
          <w:p>
            <w:pPr>
              <w:spacing w:after="0"/>
              <w:rPr>
                <w:sz w:val="24"/>
                <w:szCs w:val="24"/>
                <w:color w:val="auto"/>
              </w:rPr>
            </w:pPr>
          </w:p>
        </w:tc>
        <w:tc>
          <w:tcPr>
            <w:tcW w:w="1880" w:type="dxa"/>
            <w:vAlign w:val="bottom"/>
          </w:tcPr>
          <w:p>
            <w:pPr>
              <w:jc w:val="center"/>
              <w:spacing w:after="0"/>
              <w:rPr>
                <w:sz w:val="20"/>
                <w:szCs w:val="20"/>
                <w:color w:val="auto"/>
              </w:rPr>
            </w:pPr>
            <w:r>
              <w:rPr>
                <w:rFonts w:ascii="Arial" w:cs="Arial" w:eastAsia="Arial" w:hAnsi="Arial"/>
                <w:sz w:val="18"/>
                <w:szCs w:val="18"/>
                <w:color w:val="auto"/>
              </w:rPr>
              <w:t>September 30, 2016</w:t>
            </w:r>
          </w:p>
        </w:tc>
      </w:tr>
      <w:tr>
        <w:trPr>
          <w:trHeight w:val="527"/>
        </w:trPr>
        <w:tc>
          <w:tcPr>
            <w:tcW w:w="900" w:type="dxa"/>
            <w:vAlign w:val="bottom"/>
          </w:tcPr>
          <w:p>
            <w:pPr>
              <w:jc w:val="center"/>
              <w:spacing w:after="0"/>
              <w:rPr>
                <w:sz w:val="20"/>
                <w:szCs w:val="20"/>
                <w:color w:val="auto"/>
              </w:rPr>
            </w:pPr>
            <w:r>
              <w:rPr>
                <w:rFonts w:ascii="Arial" w:cs="Arial" w:eastAsia="Arial" w:hAnsi="Arial"/>
                <w:sz w:val="18"/>
                <w:szCs w:val="18"/>
                <w:color w:val="auto"/>
                <w:w w:val="99"/>
              </w:rPr>
              <w:t>S-1</w:t>
            </w:r>
          </w:p>
        </w:tc>
        <w:tc>
          <w:tcPr>
            <w:tcW w:w="1300" w:type="dxa"/>
            <w:vAlign w:val="bottom"/>
            <w:gridSpan w:val="2"/>
          </w:tcPr>
          <w:p>
            <w:pPr>
              <w:jc w:val="center"/>
              <w:spacing w:after="0"/>
              <w:rPr>
                <w:sz w:val="20"/>
                <w:szCs w:val="20"/>
                <w:color w:val="auto"/>
              </w:rPr>
            </w:pPr>
            <w:r>
              <w:rPr>
                <w:rFonts w:ascii="Arial" w:cs="Arial" w:eastAsia="Arial" w:hAnsi="Arial"/>
                <w:sz w:val="18"/>
                <w:szCs w:val="18"/>
                <w:color w:val="auto"/>
                <w:w w:val="99"/>
              </w:rPr>
              <w:t>333-213899</w:t>
            </w:r>
          </w:p>
        </w:tc>
        <w:tc>
          <w:tcPr>
            <w:tcW w:w="840" w:type="dxa"/>
            <w:vAlign w:val="bottom"/>
            <w:gridSpan w:val="2"/>
          </w:tcPr>
          <w:p>
            <w:pPr>
              <w:jc w:val="center"/>
              <w:spacing w:after="0"/>
              <w:rPr>
                <w:sz w:val="20"/>
                <w:szCs w:val="20"/>
                <w:color w:val="auto"/>
              </w:rPr>
            </w:pPr>
            <w:r>
              <w:rPr>
                <w:rFonts w:ascii="Arial" w:cs="Arial" w:eastAsia="Arial" w:hAnsi="Arial"/>
                <w:sz w:val="18"/>
                <w:szCs w:val="18"/>
                <w:color w:val="auto"/>
              </w:rPr>
              <w:t>10.27</w:t>
            </w:r>
          </w:p>
        </w:tc>
        <w:tc>
          <w:tcPr>
            <w:tcW w:w="60" w:type="dxa"/>
            <w:vAlign w:val="bottom"/>
          </w:tcPr>
          <w:p>
            <w:pPr>
              <w:spacing w:after="0"/>
              <w:rPr>
                <w:sz w:val="24"/>
                <w:szCs w:val="24"/>
                <w:color w:val="auto"/>
              </w:rPr>
            </w:pPr>
          </w:p>
        </w:tc>
        <w:tc>
          <w:tcPr>
            <w:tcW w:w="1880" w:type="dxa"/>
            <w:vAlign w:val="bottom"/>
          </w:tcPr>
          <w:p>
            <w:pPr>
              <w:jc w:val="center"/>
              <w:spacing w:after="0"/>
              <w:rPr>
                <w:sz w:val="20"/>
                <w:szCs w:val="20"/>
                <w:color w:val="auto"/>
              </w:rPr>
            </w:pPr>
            <w:r>
              <w:rPr>
                <w:rFonts w:ascii="Arial" w:cs="Arial" w:eastAsia="Arial" w:hAnsi="Arial"/>
                <w:sz w:val="18"/>
                <w:szCs w:val="18"/>
                <w:color w:val="auto"/>
              </w:rPr>
              <w:t>September 30, 2016</w:t>
            </w:r>
          </w:p>
        </w:tc>
      </w:tr>
    </w:tbl>
    <w:p>
      <w:pPr>
        <w:sectPr>
          <w:pgSz w:w="11900" w:h="16838" w:orient="portrait"/>
          <w:cols w:equalWidth="0" w:num="2">
            <w:col w:w="6380" w:space="40"/>
            <w:col w:w="4980"/>
          </w:cols>
          <w:pgMar w:left="240" w:top="342" w:right="259" w:bottom="1440" w:gutter="0" w:footer="0" w:header="0"/>
        </w:sectPr>
      </w:pPr>
    </w:p>
    <w:bookmarkStart w:id="95" w:name="page96"/>
    <w:bookmarkEnd w:id="95"/>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80" w:type="dxa"/>
            <w:vAlign w:val="bottom"/>
          </w:tcPr>
          <w:p>
            <w:pPr>
              <w:spacing w:after="0"/>
              <w:rPr>
                <w:sz w:val="14"/>
                <w:szCs w:val="14"/>
                <w:color w:val="auto"/>
              </w:rPr>
            </w:pPr>
          </w:p>
        </w:tc>
        <w:tc>
          <w:tcPr>
            <w:tcW w:w="940" w:type="dxa"/>
            <w:vAlign w:val="bottom"/>
          </w:tcPr>
          <w:p>
            <w:pPr>
              <w:ind w:left="200"/>
              <w:spacing w:after="0"/>
              <w:rPr>
                <w:sz w:val="20"/>
                <w:szCs w:val="20"/>
                <w:color w:val="auto"/>
              </w:rPr>
            </w:pPr>
            <w:r>
              <w:rPr>
                <w:rFonts w:ascii="Arial" w:cs="Arial" w:eastAsia="Arial" w:hAnsi="Arial"/>
                <w:sz w:val="14"/>
                <w:szCs w:val="14"/>
                <w:b w:val="1"/>
                <w:bCs w:val="1"/>
                <w:color w:val="auto"/>
              </w:rPr>
              <w:t>Exhibit</w:t>
            </w:r>
          </w:p>
        </w:tc>
        <w:tc>
          <w:tcPr>
            <w:tcW w:w="60" w:type="dxa"/>
            <w:vAlign w:val="bottom"/>
          </w:tcPr>
          <w:p>
            <w:pPr>
              <w:spacing w:after="0"/>
              <w:rPr>
                <w:sz w:val="14"/>
                <w:szCs w:val="14"/>
                <w:color w:val="auto"/>
              </w:rPr>
            </w:pPr>
          </w:p>
        </w:tc>
        <w:tc>
          <w:tcPr>
            <w:tcW w:w="22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r>
      <w:tr>
        <w:trPr>
          <w:trHeight w:val="189"/>
        </w:trPr>
        <w:tc>
          <w:tcPr>
            <w:tcW w:w="80" w:type="dxa"/>
            <w:vAlign w:val="bottom"/>
          </w:tcPr>
          <w:p>
            <w:pPr>
              <w:spacing w:after="0"/>
              <w:rPr>
                <w:sz w:val="16"/>
                <w:szCs w:val="16"/>
                <w:color w:val="auto"/>
              </w:rPr>
            </w:pPr>
          </w:p>
        </w:tc>
        <w:tc>
          <w:tcPr>
            <w:tcW w:w="940" w:type="dxa"/>
            <w:vAlign w:val="bottom"/>
            <w:tcBorders>
              <w:bottom w:val="single" w:sz="8" w:color="auto"/>
            </w:tcBorders>
          </w:tcPr>
          <w:p>
            <w:pPr>
              <w:ind w:left="200"/>
              <w:spacing w:after="0"/>
              <w:rPr>
                <w:sz w:val="20"/>
                <w:szCs w:val="20"/>
                <w:color w:val="auto"/>
              </w:rPr>
            </w:pPr>
            <w:r>
              <w:rPr>
                <w:rFonts w:ascii="Arial" w:cs="Arial" w:eastAsia="Arial" w:hAnsi="Arial"/>
                <w:sz w:val="14"/>
                <w:szCs w:val="14"/>
                <w:b w:val="1"/>
                <w:bCs w:val="1"/>
                <w:color w:val="auto"/>
              </w:rPr>
              <w:t>Number</w:t>
            </w:r>
          </w:p>
        </w:tc>
        <w:tc>
          <w:tcPr>
            <w:tcW w:w="60" w:type="dxa"/>
            <w:vAlign w:val="bottom"/>
          </w:tcPr>
          <w:p>
            <w:pPr>
              <w:spacing w:after="0"/>
              <w:rPr>
                <w:sz w:val="16"/>
                <w:szCs w:val="16"/>
                <w:color w:val="auto"/>
              </w:rPr>
            </w:pPr>
          </w:p>
        </w:tc>
        <w:tc>
          <w:tcPr>
            <w:tcW w:w="2240" w:type="dxa"/>
            <w:vAlign w:val="bottom"/>
            <w:tcBorders>
              <w:bottom w:val="single" w:sz="8" w:color="auto"/>
            </w:tcBorders>
          </w:tcPr>
          <w:p>
            <w:pPr>
              <w:spacing w:after="0"/>
              <w:rPr>
                <w:sz w:val="16"/>
                <w:szCs w:val="16"/>
                <w:color w:val="auto"/>
              </w:rPr>
            </w:pPr>
          </w:p>
        </w:tc>
        <w:tc>
          <w:tcPr>
            <w:tcW w:w="3040" w:type="dxa"/>
            <w:vAlign w:val="bottom"/>
            <w:tcBorders>
              <w:bottom w:val="single" w:sz="8" w:color="auto"/>
            </w:tcBorders>
            <w:gridSpan w:val="24"/>
          </w:tcPr>
          <w:p>
            <w:pPr>
              <w:spacing w:after="0"/>
              <w:rPr>
                <w:sz w:val="20"/>
                <w:szCs w:val="20"/>
                <w:color w:val="auto"/>
              </w:rPr>
            </w:pPr>
            <w:r>
              <w:rPr>
                <w:rFonts w:ascii="Arial" w:cs="Arial" w:eastAsia="Arial" w:hAnsi="Arial"/>
                <w:sz w:val="14"/>
                <w:szCs w:val="14"/>
                <w:b w:val="1"/>
                <w:bCs w:val="1"/>
                <w:color w:val="auto"/>
              </w:rPr>
              <w:t>Description</w:t>
            </w:r>
          </w:p>
        </w:tc>
      </w:tr>
      <w:tr>
        <w:trPr>
          <w:trHeight w:val="291"/>
        </w:trPr>
        <w:tc>
          <w:tcPr>
            <w:tcW w:w="1020" w:type="dxa"/>
            <w:vAlign w:val="bottom"/>
            <w:gridSpan w:val="2"/>
          </w:tcPr>
          <w:p>
            <w:pPr>
              <w:spacing w:after="0"/>
              <w:rPr>
                <w:sz w:val="20"/>
                <w:szCs w:val="20"/>
                <w:color w:val="auto"/>
              </w:rPr>
            </w:pPr>
            <w:r>
              <w:rPr>
                <w:rFonts w:ascii="Arial" w:cs="Arial" w:eastAsia="Arial" w:hAnsi="Arial"/>
                <w:sz w:val="18"/>
                <w:szCs w:val="18"/>
                <w:color w:val="auto"/>
              </w:rPr>
              <w:t>10.23*</w:t>
            </w:r>
          </w:p>
        </w:tc>
        <w:tc>
          <w:tcPr>
            <w:tcW w:w="5200" w:type="dxa"/>
            <w:vAlign w:val="bottom"/>
            <w:tcBorders>
              <w:bottom w:val="single" w:sz="8" w:color="0000EE"/>
            </w:tcBorders>
            <w:gridSpan w:val="23"/>
          </w:tcPr>
          <w:p>
            <w:pPr>
              <w:spacing w:after="0"/>
              <w:rPr>
                <w:rFonts w:ascii="Arial" w:cs="Arial" w:eastAsia="Arial" w:hAnsi="Arial"/>
                <w:sz w:val="18"/>
                <w:szCs w:val="18"/>
                <w:color w:val="0000EE"/>
                <w:w w:val="99"/>
              </w:rPr>
            </w:pPr>
            <w:hyperlink r:id="rId161">
              <w:r>
                <w:rPr>
                  <w:rFonts w:ascii="Arial" w:cs="Arial" w:eastAsia="Arial" w:hAnsi="Arial"/>
                  <w:sz w:val="18"/>
                  <w:szCs w:val="18"/>
                  <w:color w:val="0000EE"/>
                  <w:w w:val="99"/>
                </w:rPr>
                <w:t>Third Amendment to Office Lease, by and between the Company</w:t>
              </w:r>
            </w:hyperlink>
          </w:p>
        </w:tc>
        <w:tc>
          <w:tcPr>
            <w:tcW w:w="140" w:type="dxa"/>
            <w:vAlign w:val="bottom"/>
            <w:gridSpan w:val="3"/>
          </w:tcPr>
          <w:p>
            <w:pPr>
              <w:spacing w:after="0"/>
              <w:rPr>
                <w:sz w:val="24"/>
                <w:szCs w:val="24"/>
                <w:color w:val="auto"/>
              </w:rPr>
            </w:pPr>
          </w:p>
        </w:tc>
      </w:tr>
      <w:tr>
        <w:trPr>
          <w:trHeight w:val="183"/>
        </w:trPr>
        <w:tc>
          <w:tcPr>
            <w:tcW w:w="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4320" w:type="dxa"/>
            <w:vAlign w:val="bottom"/>
            <w:tcBorders>
              <w:bottom w:val="single" w:sz="8" w:color="0000EE"/>
            </w:tcBorders>
            <w:gridSpan w:val="9"/>
          </w:tcPr>
          <w:p>
            <w:pPr>
              <w:spacing w:after="0" w:line="182" w:lineRule="exact"/>
              <w:rPr>
                <w:rFonts w:ascii="Arial" w:cs="Arial" w:eastAsia="Arial" w:hAnsi="Arial"/>
                <w:sz w:val="18"/>
                <w:szCs w:val="18"/>
                <w:color w:val="0000EE"/>
                <w:w w:val="99"/>
              </w:rPr>
            </w:pPr>
            <w:hyperlink r:id="rId161">
              <w:r>
                <w:rPr>
                  <w:rFonts w:ascii="Arial" w:cs="Arial" w:eastAsia="Arial" w:hAnsi="Arial"/>
                  <w:sz w:val="18"/>
                  <w:szCs w:val="18"/>
                  <w:color w:val="0000EE"/>
                  <w:w w:val="99"/>
                </w:rPr>
                <w:t>and Douglas Emmett 2008, LLC, dated June24, 2014.</w:t>
              </w:r>
            </w:hyperlink>
          </w:p>
        </w:tc>
        <w:tc>
          <w:tcPr>
            <w:tcW w:w="1020" w:type="dxa"/>
            <w:vAlign w:val="bottom"/>
            <w:gridSpan w:val="17"/>
          </w:tcPr>
          <w:p>
            <w:pPr>
              <w:spacing w:after="0"/>
              <w:rPr>
                <w:sz w:val="15"/>
                <w:szCs w:val="15"/>
                <w:color w:val="auto"/>
              </w:rPr>
            </w:pPr>
          </w:p>
        </w:tc>
      </w:tr>
      <w:tr>
        <w:trPr>
          <w:trHeight w:val="304"/>
        </w:trPr>
        <w:tc>
          <w:tcPr>
            <w:tcW w:w="1020" w:type="dxa"/>
            <w:vAlign w:val="bottom"/>
            <w:gridSpan w:val="2"/>
          </w:tcPr>
          <w:p>
            <w:pPr>
              <w:spacing w:after="0"/>
              <w:rPr>
                <w:sz w:val="20"/>
                <w:szCs w:val="20"/>
                <w:color w:val="auto"/>
              </w:rPr>
            </w:pPr>
            <w:r>
              <w:rPr>
                <w:rFonts w:ascii="Arial" w:cs="Arial" w:eastAsia="Arial" w:hAnsi="Arial"/>
                <w:sz w:val="18"/>
                <w:szCs w:val="18"/>
                <w:color w:val="auto"/>
              </w:rPr>
              <w:t>10.24</w:t>
            </w:r>
          </w:p>
        </w:tc>
        <w:tc>
          <w:tcPr>
            <w:tcW w:w="5300" w:type="dxa"/>
            <w:vAlign w:val="bottom"/>
            <w:tcBorders>
              <w:bottom w:val="single" w:sz="8" w:color="0000EE"/>
            </w:tcBorders>
            <w:gridSpan w:val="25"/>
          </w:tcPr>
          <w:p>
            <w:pPr>
              <w:spacing w:after="0"/>
              <w:rPr>
                <w:rFonts w:ascii="Arial" w:cs="Arial" w:eastAsia="Arial" w:hAnsi="Arial"/>
                <w:sz w:val="18"/>
                <w:szCs w:val="18"/>
                <w:color w:val="0000EE"/>
                <w:w w:val="99"/>
              </w:rPr>
            </w:pPr>
            <w:hyperlink r:id="rId162">
              <w:r>
                <w:rPr>
                  <w:rFonts w:ascii="Arial" w:cs="Arial" w:eastAsia="Arial" w:hAnsi="Arial"/>
                  <w:sz w:val="18"/>
                  <w:szCs w:val="18"/>
                  <w:color w:val="0000EE"/>
                  <w:w w:val="99"/>
                </w:rPr>
                <w:t>Fourth Amendment to Office Lease, by and between the Company</w:t>
              </w:r>
            </w:hyperlink>
          </w:p>
        </w:tc>
        <w:tc>
          <w:tcPr>
            <w:tcW w:w="40" w:type="dxa"/>
            <w:vAlign w:val="bottom"/>
          </w:tcPr>
          <w:p>
            <w:pPr>
              <w:spacing w:after="0"/>
              <w:rPr>
                <w:sz w:val="24"/>
                <w:szCs w:val="24"/>
                <w:color w:val="auto"/>
              </w:rPr>
            </w:pPr>
          </w:p>
        </w:tc>
      </w:tr>
      <w:tr>
        <w:trPr>
          <w:trHeight w:val="183"/>
        </w:trPr>
        <w:tc>
          <w:tcPr>
            <w:tcW w:w="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5340" w:type="dxa"/>
            <w:vAlign w:val="bottom"/>
            <w:gridSpan w:val="26"/>
          </w:tcPr>
          <w:p>
            <w:pPr>
              <w:spacing w:after="0" w:line="182" w:lineRule="exact"/>
              <w:rPr>
                <w:rFonts w:ascii="Arial" w:cs="Arial" w:eastAsia="Arial" w:hAnsi="Arial"/>
                <w:sz w:val="18"/>
                <w:szCs w:val="18"/>
                <w:color w:val="0000EE"/>
              </w:rPr>
            </w:pPr>
            <w:hyperlink r:id="rId162">
              <w:r>
                <w:rPr>
                  <w:rFonts w:ascii="Arial" w:cs="Arial" w:eastAsia="Arial" w:hAnsi="Arial"/>
                  <w:sz w:val="18"/>
                  <w:szCs w:val="18"/>
                  <w:color w:val="0000EE"/>
                </w:rPr>
                <w:t>and Douglas Emmett 2008, LLC, dated January 29, 2015.</w:t>
              </w:r>
            </w:hyperlink>
          </w:p>
        </w:tc>
      </w:tr>
      <w:tr>
        <w:trPr>
          <w:trHeight w:val="20"/>
        </w:trPr>
        <w:tc>
          <w:tcPr>
            <w:tcW w:w="1020" w:type="dxa"/>
            <w:vAlign w:val="bottom"/>
            <w:gridSpan w:val="2"/>
          </w:tcPr>
          <w:p>
            <w:pPr>
              <w:spacing w:after="0" w:line="20" w:lineRule="exact"/>
              <w:rPr>
                <w:sz w:val="1"/>
                <w:szCs w:val="1"/>
                <w:color w:val="auto"/>
              </w:rPr>
            </w:pPr>
          </w:p>
        </w:tc>
        <w:tc>
          <w:tcPr>
            <w:tcW w:w="2300" w:type="dxa"/>
            <w:vAlign w:val="bottom"/>
            <w:gridSpan w:val="2"/>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100" w:type="dxa"/>
            <w:vAlign w:val="bottom"/>
            <w:gridSpan w:val="2"/>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r>
      <w:tr>
        <w:trPr>
          <w:trHeight w:val="304"/>
        </w:trPr>
        <w:tc>
          <w:tcPr>
            <w:tcW w:w="1020" w:type="dxa"/>
            <w:vAlign w:val="bottom"/>
            <w:gridSpan w:val="2"/>
          </w:tcPr>
          <w:p>
            <w:pPr>
              <w:spacing w:after="0"/>
              <w:rPr>
                <w:sz w:val="20"/>
                <w:szCs w:val="20"/>
                <w:color w:val="auto"/>
              </w:rPr>
            </w:pPr>
            <w:r>
              <w:rPr>
                <w:rFonts w:ascii="Arial" w:cs="Arial" w:eastAsia="Arial" w:hAnsi="Arial"/>
                <w:sz w:val="18"/>
                <w:szCs w:val="18"/>
                <w:color w:val="auto"/>
              </w:rPr>
              <w:t>10.25</w:t>
            </w:r>
          </w:p>
        </w:tc>
        <w:tc>
          <w:tcPr>
            <w:tcW w:w="5340" w:type="dxa"/>
            <w:vAlign w:val="bottom"/>
            <w:gridSpan w:val="26"/>
          </w:tcPr>
          <w:p>
            <w:pPr>
              <w:spacing w:after="0"/>
              <w:rPr>
                <w:rFonts w:ascii="Arial" w:cs="Arial" w:eastAsia="Arial" w:hAnsi="Arial"/>
                <w:sz w:val="18"/>
                <w:szCs w:val="18"/>
                <w:color w:val="0000EE"/>
              </w:rPr>
            </w:pPr>
            <w:hyperlink r:id="rId163">
              <w:r>
                <w:rPr>
                  <w:rFonts w:ascii="Arial" w:cs="Arial" w:eastAsia="Arial" w:hAnsi="Arial"/>
                  <w:sz w:val="18"/>
                  <w:szCs w:val="18"/>
                  <w:color w:val="0000EE"/>
                </w:rPr>
                <w:t>Fifth Amendment to Office Lease, by and between the Company</w:t>
              </w:r>
            </w:hyperlink>
          </w:p>
        </w:tc>
      </w:tr>
      <w:tr>
        <w:trPr>
          <w:trHeight w:val="183"/>
        </w:trPr>
        <w:tc>
          <w:tcPr>
            <w:tcW w:w="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5120" w:type="dxa"/>
            <w:vAlign w:val="bottom"/>
            <w:tcBorders>
              <w:top w:val="single" w:sz="8" w:color="0000EE"/>
            </w:tcBorders>
            <w:gridSpan w:val="20"/>
          </w:tcPr>
          <w:p>
            <w:pPr>
              <w:spacing w:after="0" w:line="182" w:lineRule="exact"/>
              <w:rPr>
                <w:rFonts w:ascii="Arial" w:cs="Arial" w:eastAsia="Arial" w:hAnsi="Arial"/>
                <w:sz w:val="18"/>
                <w:szCs w:val="18"/>
                <w:color w:val="0000EE"/>
              </w:rPr>
            </w:pPr>
            <w:hyperlink r:id="rId163">
              <w:r>
                <w:rPr>
                  <w:rFonts w:ascii="Arial" w:cs="Arial" w:eastAsia="Arial" w:hAnsi="Arial"/>
                  <w:sz w:val="18"/>
                  <w:szCs w:val="18"/>
                  <w:color w:val="0000EE"/>
                </w:rPr>
                <w:t>and Douglas Emmett 2008, LLC, dated October 6, 2016.</w:t>
              </w:r>
            </w:hyperlink>
          </w:p>
        </w:tc>
        <w:tc>
          <w:tcPr>
            <w:tcW w:w="220" w:type="dxa"/>
            <w:vAlign w:val="bottom"/>
            <w:gridSpan w:val="6"/>
          </w:tcPr>
          <w:p>
            <w:pPr>
              <w:spacing w:after="0"/>
              <w:rPr>
                <w:sz w:val="15"/>
                <w:szCs w:val="15"/>
                <w:color w:val="auto"/>
              </w:rPr>
            </w:pPr>
          </w:p>
        </w:tc>
      </w:tr>
      <w:tr>
        <w:trPr>
          <w:trHeight w:val="20"/>
        </w:trPr>
        <w:tc>
          <w:tcPr>
            <w:tcW w:w="1020" w:type="dxa"/>
            <w:vAlign w:val="bottom"/>
            <w:gridSpan w:val="2"/>
          </w:tcPr>
          <w:p>
            <w:pPr>
              <w:spacing w:after="0" w:line="20" w:lineRule="exact"/>
              <w:rPr>
                <w:sz w:val="1"/>
                <w:szCs w:val="1"/>
                <w:color w:val="auto"/>
              </w:rPr>
            </w:pPr>
          </w:p>
        </w:tc>
        <w:tc>
          <w:tcPr>
            <w:tcW w:w="2300" w:type="dxa"/>
            <w:vAlign w:val="bottom"/>
            <w:gridSpan w:val="2"/>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100" w:type="dxa"/>
            <w:vAlign w:val="bottom"/>
            <w:gridSpan w:val="2"/>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r>
      <w:tr>
        <w:trPr>
          <w:trHeight w:val="304"/>
        </w:trPr>
        <w:tc>
          <w:tcPr>
            <w:tcW w:w="1020" w:type="dxa"/>
            <w:vAlign w:val="bottom"/>
            <w:gridSpan w:val="2"/>
          </w:tcPr>
          <w:p>
            <w:pPr>
              <w:spacing w:after="0"/>
              <w:rPr>
                <w:sz w:val="20"/>
                <w:szCs w:val="20"/>
                <w:color w:val="auto"/>
              </w:rPr>
            </w:pPr>
            <w:r>
              <w:rPr>
                <w:rFonts w:ascii="Arial" w:cs="Arial" w:eastAsia="Arial" w:hAnsi="Arial"/>
                <w:sz w:val="18"/>
                <w:szCs w:val="18"/>
                <w:color w:val="auto"/>
              </w:rPr>
              <w:t>10.26</w:t>
            </w:r>
          </w:p>
        </w:tc>
        <w:tc>
          <w:tcPr>
            <w:tcW w:w="5180" w:type="dxa"/>
            <w:vAlign w:val="bottom"/>
            <w:tcBorders>
              <w:bottom w:val="single" w:sz="8" w:color="0000EE"/>
            </w:tcBorders>
            <w:gridSpan w:val="22"/>
          </w:tcPr>
          <w:p>
            <w:pPr>
              <w:spacing w:after="0"/>
              <w:rPr>
                <w:rFonts w:ascii="Arial" w:cs="Arial" w:eastAsia="Arial" w:hAnsi="Arial"/>
                <w:sz w:val="18"/>
                <w:szCs w:val="18"/>
                <w:color w:val="0000EE"/>
                <w:w w:val="99"/>
              </w:rPr>
            </w:pPr>
            <w:hyperlink r:id="rId164">
              <w:r>
                <w:rPr>
                  <w:rFonts w:ascii="Arial" w:cs="Arial" w:eastAsia="Arial" w:hAnsi="Arial"/>
                  <w:sz w:val="18"/>
                  <w:szCs w:val="18"/>
                  <w:color w:val="0000EE"/>
                  <w:w w:val="99"/>
                </w:rPr>
                <w:t>Sixth Amendment to Office Lease, by and between the Company</w:t>
              </w:r>
            </w:hyperlink>
          </w:p>
        </w:tc>
        <w:tc>
          <w:tcPr>
            <w:tcW w:w="160" w:type="dxa"/>
            <w:vAlign w:val="bottom"/>
            <w:gridSpan w:val="4"/>
          </w:tcPr>
          <w:p>
            <w:pPr>
              <w:spacing w:after="0"/>
              <w:rPr>
                <w:sz w:val="24"/>
                <w:szCs w:val="24"/>
                <w:color w:val="auto"/>
              </w:rPr>
            </w:pPr>
          </w:p>
        </w:tc>
      </w:tr>
      <w:tr>
        <w:trPr>
          <w:trHeight w:val="183"/>
        </w:trPr>
        <w:tc>
          <w:tcPr>
            <w:tcW w:w="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5340" w:type="dxa"/>
            <w:vAlign w:val="bottom"/>
            <w:gridSpan w:val="26"/>
          </w:tcPr>
          <w:p>
            <w:pPr>
              <w:spacing w:after="0" w:line="182" w:lineRule="exact"/>
              <w:rPr>
                <w:rFonts w:ascii="Arial" w:cs="Arial" w:eastAsia="Arial" w:hAnsi="Arial"/>
                <w:sz w:val="18"/>
                <w:szCs w:val="18"/>
                <w:color w:val="0000EE"/>
              </w:rPr>
            </w:pPr>
            <w:hyperlink r:id="rId164">
              <w:r>
                <w:rPr>
                  <w:rFonts w:ascii="Arial" w:cs="Arial" w:eastAsia="Arial" w:hAnsi="Arial"/>
                  <w:sz w:val="18"/>
                  <w:szCs w:val="18"/>
                  <w:color w:val="0000EE"/>
                </w:rPr>
                <w:t>and Douglas Emmett 2008, LLC, dated May 10, 2017.</w:t>
              </w:r>
            </w:hyperlink>
          </w:p>
        </w:tc>
      </w:tr>
      <w:tr>
        <w:trPr>
          <w:trHeight w:val="20"/>
        </w:trPr>
        <w:tc>
          <w:tcPr>
            <w:tcW w:w="1020" w:type="dxa"/>
            <w:vAlign w:val="bottom"/>
            <w:gridSpan w:val="2"/>
          </w:tcPr>
          <w:p>
            <w:pPr>
              <w:spacing w:after="0" w:line="20" w:lineRule="exact"/>
              <w:rPr>
                <w:sz w:val="1"/>
                <w:szCs w:val="1"/>
                <w:color w:val="auto"/>
              </w:rPr>
            </w:pPr>
          </w:p>
        </w:tc>
        <w:tc>
          <w:tcPr>
            <w:tcW w:w="2300" w:type="dxa"/>
            <w:vAlign w:val="bottom"/>
            <w:gridSpan w:val="2"/>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2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r>
      <w:tr>
        <w:trPr>
          <w:trHeight w:val="304"/>
        </w:trPr>
        <w:tc>
          <w:tcPr>
            <w:tcW w:w="1020" w:type="dxa"/>
            <w:vAlign w:val="bottom"/>
            <w:gridSpan w:val="2"/>
          </w:tcPr>
          <w:p>
            <w:pPr>
              <w:spacing w:after="0"/>
              <w:rPr>
                <w:sz w:val="20"/>
                <w:szCs w:val="20"/>
                <w:color w:val="auto"/>
              </w:rPr>
            </w:pPr>
            <w:r>
              <w:rPr>
                <w:rFonts w:ascii="Arial" w:cs="Arial" w:eastAsia="Arial" w:hAnsi="Arial"/>
                <w:sz w:val="18"/>
                <w:szCs w:val="18"/>
                <w:color w:val="auto"/>
              </w:rPr>
              <w:t>10.27</w:t>
            </w:r>
          </w:p>
        </w:tc>
        <w:tc>
          <w:tcPr>
            <w:tcW w:w="4620" w:type="dxa"/>
            <w:vAlign w:val="bottom"/>
            <w:tcBorders>
              <w:bottom w:val="single" w:sz="8" w:color="0000EE"/>
            </w:tcBorders>
            <w:gridSpan w:val="13"/>
          </w:tcPr>
          <w:p>
            <w:pPr>
              <w:spacing w:after="0"/>
              <w:rPr>
                <w:rFonts w:ascii="Arial" w:cs="Arial" w:eastAsia="Arial" w:hAnsi="Arial"/>
                <w:sz w:val="18"/>
                <w:szCs w:val="18"/>
                <w:color w:val="0000EE"/>
                <w:w w:val="99"/>
              </w:rPr>
            </w:pPr>
            <w:hyperlink r:id="rId165">
              <w:r>
                <w:rPr>
                  <w:rFonts w:ascii="Arial" w:cs="Arial" w:eastAsia="Arial" w:hAnsi="Arial"/>
                  <w:sz w:val="18"/>
                  <w:szCs w:val="18"/>
                  <w:color w:val="0000EE"/>
                  <w:w w:val="99"/>
                </w:rPr>
                <w:t>Seventh Amendment to Office Lease, by and between the</w:t>
              </w:r>
            </w:hyperlink>
          </w:p>
        </w:tc>
        <w:tc>
          <w:tcPr>
            <w:tcW w:w="720" w:type="dxa"/>
            <w:vAlign w:val="bottom"/>
            <w:gridSpan w:val="13"/>
          </w:tcPr>
          <w:p>
            <w:pPr>
              <w:spacing w:after="0"/>
              <w:rPr>
                <w:sz w:val="24"/>
                <w:szCs w:val="24"/>
                <w:color w:val="auto"/>
              </w:rPr>
            </w:pPr>
          </w:p>
        </w:tc>
      </w:tr>
      <w:tr>
        <w:trPr>
          <w:trHeight w:val="183"/>
        </w:trPr>
        <w:tc>
          <w:tcPr>
            <w:tcW w:w="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5340" w:type="dxa"/>
            <w:vAlign w:val="bottom"/>
            <w:gridSpan w:val="26"/>
          </w:tcPr>
          <w:p>
            <w:pPr>
              <w:spacing w:after="0" w:line="182" w:lineRule="exact"/>
              <w:rPr>
                <w:rFonts w:ascii="Arial" w:cs="Arial" w:eastAsia="Arial" w:hAnsi="Arial"/>
                <w:sz w:val="18"/>
                <w:szCs w:val="18"/>
                <w:color w:val="0000EE"/>
              </w:rPr>
            </w:pPr>
            <w:hyperlink r:id="rId165">
              <w:r>
                <w:rPr>
                  <w:rFonts w:ascii="Arial" w:cs="Arial" w:eastAsia="Arial" w:hAnsi="Arial"/>
                  <w:sz w:val="18"/>
                  <w:szCs w:val="18"/>
                  <w:color w:val="0000EE"/>
                </w:rPr>
                <w:t>Company and Douglas Emmett 2008, LLC, dated May 18, 2017.</w:t>
              </w:r>
            </w:hyperlink>
          </w:p>
        </w:tc>
      </w:tr>
      <w:tr>
        <w:trPr>
          <w:trHeight w:val="304"/>
        </w:trPr>
        <w:tc>
          <w:tcPr>
            <w:tcW w:w="1020" w:type="dxa"/>
            <w:vAlign w:val="bottom"/>
            <w:gridSpan w:val="2"/>
          </w:tcPr>
          <w:p>
            <w:pPr>
              <w:spacing w:after="0"/>
              <w:rPr>
                <w:sz w:val="20"/>
                <w:szCs w:val="20"/>
                <w:color w:val="auto"/>
              </w:rPr>
            </w:pPr>
            <w:r>
              <w:rPr>
                <w:rFonts w:ascii="Arial" w:cs="Arial" w:eastAsia="Arial" w:hAnsi="Arial"/>
                <w:sz w:val="18"/>
                <w:szCs w:val="18"/>
                <w:color w:val="auto"/>
              </w:rPr>
              <w:t>10.28</w:t>
            </w:r>
          </w:p>
        </w:tc>
        <w:tc>
          <w:tcPr>
            <w:tcW w:w="5120" w:type="dxa"/>
            <w:vAlign w:val="bottom"/>
            <w:tcBorders>
              <w:top w:val="single" w:sz="8" w:color="0000EE"/>
            </w:tcBorders>
            <w:gridSpan w:val="20"/>
          </w:tcPr>
          <w:p>
            <w:pPr>
              <w:spacing w:after="0"/>
              <w:rPr>
                <w:rFonts w:ascii="Arial" w:cs="Arial" w:eastAsia="Arial" w:hAnsi="Arial"/>
                <w:sz w:val="18"/>
                <w:szCs w:val="18"/>
                <w:color w:val="0000EE"/>
              </w:rPr>
            </w:pPr>
            <w:hyperlink r:id="rId166">
              <w:r>
                <w:rPr>
                  <w:rFonts w:ascii="Arial" w:cs="Arial" w:eastAsia="Arial" w:hAnsi="Arial"/>
                  <w:sz w:val="18"/>
                  <w:szCs w:val="18"/>
                  <w:color w:val="0000EE"/>
                </w:rPr>
                <w:t>Purchase Agreement, dated August 8, 2019, by and among the</w:t>
              </w:r>
            </w:hyperlink>
          </w:p>
        </w:tc>
        <w:tc>
          <w:tcPr>
            <w:tcW w:w="220" w:type="dxa"/>
            <w:vAlign w:val="bottom"/>
            <w:gridSpan w:val="6"/>
          </w:tcPr>
          <w:p>
            <w:pPr>
              <w:spacing w:after="0"/>
              <w:rPr>
                <w:sz w:val="24"/>
                <w:szCs w:val="24"/>
                <w:color w:val="auto"/>
              </w:rPr>
            </w:pPr>
          </w:p>
        </w:tc>
      </w:tr>
      <w:tr>
        <w:trPr>
          <w:trHeight w:val="183"/>
        </w:trPr>
        <w:tc>
          <w:tcPr>
            <w:tcW w:w="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5040" w:type="dxa"/>
            <w:vAlign w:val="bottom"/>
            <w:tcBorders>
              <w:top w:val="single" w:sz="8" w:color="0000EE"/>
            </w:tcBorders>
            <w:gridSpan w:val="17"/>
          </w:tcPr>
          <w:p>
            <w:pPr>
              <w:spacing w:after="0" w:line="182" w:lineRule="exact"/>
              <w:rPr>
                <w:rFonts w:ascii="Arial" w:cs="Arial" w:eastAsia="Arial" w:hAnsi="Arial"/>
                <w:sz w:val="18"/>
                <w:szCs w:val="18"/>
                <w:color w:val="0000EE"/>
              </w:rPr>
            </w:pPr>
            <w:hyperlink r:id="rId166">
              <w:r>
                <w:rPr>
                  <w:rFonts w:ascii="Arial" w:cs="Arial" w:eastAsia="Arial" w:hAnsi="Arial"/>
                  <w:sz w:val="18"/>
                  <w:szCs w:val="18"/>
                  <w:color w:val="0000EE"/>
                </w:rPr>
                <w:t>Company and Morgan Stanley &amp; Co. LLC and J.P. Morgan</w:t>
              </w:r>
            </w:hyperlink>
          </w:p>
        </w:tc>
        <w:tc>
          <w:tcPr>
            <w:tcW w:w="300" w:type="dxa"/>
            <w:vAlign w:val="bottom"/>
            <w:gridSpan w:val="9"/>
          </w:tcPr>
          <w:p>
            <w:pPr>
              <w:spacing w:after="0"/>
              <w:rPr>
                <w:sz w:val="15"/>
                <w:szCs w:val="15"/>
                <w:color w:val="auto"/>
              </w:rPr>
            </w:pPr>
          </w:p>
        </w:tc>
      </w:tr>
      <w:tr>
        <w:trPr>
          <w:trHeight w:val="20"/>
        </w:trPr>
        <w:tc>
          <w:tcPr>
            <w:tcW w:w="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300" w:type="dxa"/>
            <w:vAlign w:val="bottom"/>
            <w:gridSpan w:val="2"/>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600" w:type="dxa"/>
            <w:vAlign w:val="bottom"/>
            <w:gridSpan w:val="3"/>
            <w:shd w:val="clear" w:color="auto" w:fill="0000EE"/>
          </w:tcPr>
          <w:p>
            <w:pPr>
              <w:spacing w:after="0" w:line="20" w:lineRule="exact"/>
              <w:rPr>
                <w:sz w:val="1"/>
                <w:szCs w:val="1"/>
                <w:color w:val="auto"/>
              </w:rPr>
            </w:pPr>
          </w:p>
        </w:tc>
        <w:tc>
          <w:tcPr>
            <w:tcW w:w="260" w:type="dxa"/>
            <w:vAlign w:val="bottom"/>
            <w:gridSpan w:val="4"/>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r>
      <w:tr>
        <w:trPr>
          <w:trHeight w:val="183"/>
        </w:trPr>
        <w:tc>
          <w:tcPr>
            <w:tcW w:w="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5280" w:type="dxa"/>
            <w:vAlign w:val="bottom"/>
            <w:tcBorders>
              <w:bottom w:val="single" w:sz="8" w:color="0000EE"/>
            </w:tcBorders>
            <w:gridSpan w:val="24"/>
          </w:tcPr>
          <w:p>
            <w:pPr>
              <w:spacing w:after="0" w:line="182" w:lineRule="exact"/>
              <w:rPr>
                <w:rFonts w:ascii="Arial" w:cs="Arial" w:eastAsia="Arial" w:hAnsi="Arial"/>
                <w:sz w:val="18"/>
                <w:szCs w:val="18"/>
                <w:color w:val="0000EE"/>
                <w:w w:val="99"/>
              </w:rPr>
            </w:pPr>
            <w:hyperlink r:id="rId166">
              <w:r>
                <w:rPr>
                  <w:rFonts w:ascii="Arial" w:cs="Arial" w:eastAsia="Arial" w:hAnsi="Arial"/>
                  <w:sz w:val="18"/>
                  <w:szCs w:val="18"/>
                  <w:color w:val="0000EE"/>
                  <w:w w:val="99"/>
                </w:rPr>
                <w:t>Securities LLC, as representatives of the several initial purchasers</w:t>
              </w:r>
            </w:hyperlink>
          </w:p>
        </w:tc>
        <w:tc>
          <w:tcPr>
            <w:tcW w:w="60" w:type="dxa"/>
            <w:vAlign w:val="bottom"/>
            <w:gridSpan w:val="2"/>
          </w:tcPr>
          <w:p>
            <w:pPr>
              <w:spacing w:after="0"/>
              <w:rPr>
                <w:sz w:val="15"/>
                <w:szCs w:val="15"/>
                <w:color w:val="auto"/>
              </w:rPr>
            </w:pPr>
          </w:p>
        </w:tc>
      </w:tr>
      <w:tr>
        <w:trPr>
          <w:trHeight w:val="183"/>
        </w:trPr>
        <w:tc>
          <w:tcPr>
            <w:tcW w:w="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5340" w:type="dxa"/>
            <w:vAlign w:val="bottom"/>
            <w:gridSpan w:val="26"/>
          </w:tcPr>
          <w:p>
            <w:pPr>
              <w:spacing w:after="0" w:line="182" w:lineRule="exact"/>
              <w:rPr>
                <w:rFonts w:ascii="Arial" w:cs="Arial" w:eastAsia="Arial" w:hAnsi="Arial"/>
                <w:sz w:val="18"/>
                <w:szCs w:val="18"/>
                <w:color w:val="0000EE"/>
              </w:rPr>
            </w:pPr>
            <w:hyperlink r:id="rId166">
              <w:r>
                <w:rPr>
                  <w:rFonts w:ascii="Arial" w:cs="Arial" w:eastAsia="Arial" w:hAnsi="Arial"/>
                  <w:sz w:val="18"/>
                  <w:szCs w:val="18"/>
                  <w:color w:val="0000EE"/>
                </w:rPr>
                <w:t>named in Schedule I thereto.</w:t>
              </w:r>
            </w:hyperlink>
          </w:p>
        </w:tc>
      </w:tr>
      <w:tr>
        <w:trPr>
          <w:trHeight w:val="20"/>
        </w:trPr>
        <w:tc>
          <w:tcPr>
            <w:tcW w:w="1020" w:type="dxa"/>
            <w:vAlign w:val="bottom"/>
            <w:gridSpan w:val="2"/>
          </w:tcPr>
          <w:p>
            <w:pPr>
              <w:spacing w:after="0" w:line="20" w:lineRule="exact"/>
              <w:rPr>
                <w:sz w:val="1"/>
                <w:szCs w:val="1"/>
                <w:color w:val="auto"/>
              </w:rPr>
            </w:pPr>
          </w:p>
        </w:tc>
        <w:tc>
          <w:tcPr>
            <w:tcW w:w="2300" w:type="dxa"/>
            <w:vAlign w:val="bottom"/>
            <w:gridSpan w:val="2"/>
            <w:shd w:val="clear" w:color="auto" w:fill="0000EE"/>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00" w:type="dxa"/>
            <w:vAlign w:val="bottom"/>
            <w:gridSpan w:val="3"/>
          </w:tcPr>
          <w:p>
            <w:pPr>
              <w:spacing w:after="0" w:line="20" w:lineRule="exact"/>
              <w:rPr>
                <w:sz w:val="1"/>
                <w:szCs w:val="1"/>
                <w:color w:val="auto"/>
              </w:rPr>
            </w:pPr>
          </w:p>
        </w:tc>
        <w:tc>
          <w:tcPr>
            <w:tcW w:w="320" w:type="dxa"/>
            <w:vAlign w:val="bottom"/>
            <w:gridSpan w:val="5"/>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r>
      <w:tr>
        <w:trPr>
          <w:trHeight w:val="304"/>
        </w:trPr>
        <w:tc>
          <w:tcPr>
            <w:tcW w:w="1020" w:type="dxa"/>
            <w:vAlign w:val="bottom"/>
            <w:gridSpan w:val="2"/>
          </w:tcPr>
          <w:p>
            <w:pPr>
              <w:spacing w:after="0"/>
              <w:rPr>
                <w:sz w:val="20"/>
                <w:szCs w:val="20"/>
                <w:color w:val="auto"/>
              </w:rPr>
            </w:pPr>
            <w:r>
              <w:rPr>
                <w:rFonts w:ascii="Arial" w:cs="Arial" w:eastAsia="Arial" w:hAnsi="Arial"/>
                <w:sz w:val="18"/>
                <w:szCs w:val="18"/>
                <w:color w:val="auto"/>
              </w:rPr>
              <w:t>10.29</w:t>
            </w:r>
          </w:p>
        </w:tc>
        <w:tc>
          <w:tcPr>
            <w:tcW w:w="5340" w:type="dxa"/>
            <w:vAlign w:val="bottom"/>
            <w:gridSpan w:val="26"/>
          </w:tcPr>
          <w:p>
            <w:pPr>
              <w:spacing w:after="0"/>
              <w:rPr>
                <w:rFonts w:ascii="Arial" w:cs="Arial" w:eastAsia="Arial" w:hAnsi="Arial"/>
                <w:sz w:val="18"/>
                <w:szCs w:val="18"/>
                <w:color w:val="0000EE"/>
              </w:rPr>
            </w:pPr>
            <w:hyperlink r:id="rId167">
              <w:r>
                <w:rPr>
                  <w:rFonts w:ascii="Arial" w:cs="Arial" w:eastAsia="Arial" w:hAnsi="Arial"/>
                  <w:sz w:val="18"/>
                  <w:szCs w:val="18"/>
                  <w:color w:val="0000EE"/>
                </w:rPr>
                <w:t>Form of Capped Call Confirmation.</w:t>
              </w:r>
            </w:hyperlink>
          </w:p>
        </w:tc>
      </w:tr>
      <w:tr>
        <w:trPr>
          <w:trHeight w:val="20"/>
        </w:trPr>
        <w:tc>
          <w:tcPr>
            <w:tcW w:w="1020" w:type="dxa"/>
            <w:vAlign w:val="bottom"/>
            <w:gridSpan w:val="2"/>
          </w:tcPr>
          <w:p>
            <w:pPr>
              <w:spacing w:after="0" w:line="20" w:lineRule="exact"/>
              <w:rPr>
                <w:sz w:val="1"/>
                <w:szCs w:val="1"/>
                <w:color w:val="auto"/>
              </w:rPr>
            </w:pPr>
          </w:p>
        </w:tc>
        <w:tc>
          <w:tcPr>
            <w:tcW w:w="2780" w:type="dxa"/>
            <w:vAlign w:val="bottom"/>
            <w:gridSpan w:val="3"/>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00" w:type="dxa"/>
            <w:vAlign w:val="bottom"/>
            <w:gridSpan w:val="3"/>
          </w:tcPr>
          <w:p>
            <w:pPr>
              <w:spacing w:after="0" w:line="20" w:lineRule="exact"/>
              <w:rPr>
                <w:sz w:val="1"/>
                <w:szCs w:val="1"/>
                <w:color w:val="auto"/>
              </w:rPr>
            </w:pPr>
          </w:p>
        </w:tc>
        <w:tc>
          <w:tcPr>
            <w:tcW w:w="320" w:type="dxa"/>
            <w:vAlign w:val="bottom"/>
            <w:gridSpan w:val="5"/>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r>
      <w:tr>
        <w:trPr>
          <w:trHeight w:val="304"/>
        </w:trPr>
        <w:tc>
          <w:tcPr>
            <w:tcW w:w="1020" w:type="dxa"/>
            <w:vAlign w:val="bottom"/>
            <w:gridSpan w:val="2"/>
          </w:tcPr>
          <w:p>
            <w:pPr>
              <w:spacing w:after="0"/>
              <w:rPr>
                <w:sz w:val="20"/>
                <w:szCs w:val="20"/>
                <w:color w:val="auto"/>
              </w:rPr>
            </w:pPr>
            <w:r>
              <w:rPr>
                <w:rFonts w:ascii="Arial" w:cs="Arial" w:eastAsia="Arial" w:hAnsi="Arial"/>
                <w:sz w:val="18"/>
                <w:szCs w:val="18"/>
                <w:color w:val="auto"/>
              </w:rPr>
              <w:t>21.1**</w:t>
            </w:r>
          </w:p>
        </w:tc>
        <w:tc>
          <w:tcPr>
            <w:tcW w:w="2840" w:type="dxa"/>
            <w:vAlign w:val="bottom"/>
            <w:tcBorders>
              <w:bottom w:val="single" w:sz="8" w:color="0000EE"/>
            </w:tcBorders>
            <w:gridSpan w:val="4"/>
          </w:tcPr>
          <w:p>
            <w:pPr>
              <w:spacing w:after="0"/>
              <w:rPr>
                <w:rFonts w:ascii="Arial" w:cs="Arial" w:eastAsia="Arial" w:hAnsi="Arial"/>
                <w:sz w:val="18"/>
                <w:szCs w:val="18"/>
                <w:color w:val="0000EE"/>
                <w:w w:val="98"/>
              </w:rPr>
            </w:pPr>
            <w:hyperlink w:anchor="page107">
              <w:r>
                <w:rPr>
                  <w:rFonts w:ascii="Arial" w:cs="Arial" w:eastAsia="Arial" w:hAnsi="Arial"/>
                  <w:sz w:val="18"/>
                  <w:szCs w:val="18"/>
                  <w:color w:val="0000EE"/>
                  <w:w w:val="98"/>
                </w:rPr>
                <w:t>List of subsidiaries of the Company.</w:t>
              </w:r>
            </w:hyperlink>
          </w:p>
        </w:tc>
        <w:tc>
          <w:tcPr>
            <w:tcW w:w="2500" w:type="dxa"/>
            <w:vAlign w:val="bottom"/>
            <w:gridSpan w:val="22"/>
          </w:tcPr>
          <w:p>
            <w:pPr>
              <w:spacing w:after="0"/>
              <w:rPr>
                <w:sz w:val="24"/>
                <w:szCs w:val="24"/>
                <w:color w:val="auto"/>
              </w:rPr>
            </w:pPr>
          </w:p>
        </w:tc>
      </w:tr>
      <w:tr>
        <w:trPr>
          <w:trHeight w:val="345"/>
        </w:trPr>
        <w:tc>
          <w:tcPr>
            <w:tcW w:w="1020" w:type="dxa"/>
            <w:vAlign w:val="bottom"/>
            <w:gridSpan w:val="2"/>
          </w:tcPr>
          <w:p>
            <w:pPr>
              <w:spacing w:after="0"/>
              <w:rPr>
                <w:sz w:val="20"/>
                <w:szCs w:val="20"/>
                <w:color w:val="auto"/>
              </w:rPr>
            </w:pPr>
            <w:r>
              <w:rPr>
                <w:rFonts w:ascii="Arial" w:cs="Arial" w:eastAsia="Arial" w:hAnsi="Arial"/>
                <w:sz w:val="18"/>
                <w:szCs w:val="18"/>
                <w:color w:val="auto"/>
              </w:rPr>
              <w:t>23.1**</w:t>
            </w:r>
          </w:p>
        </w:tc>
        <w:tc>
          <w:tcPr>
            <w:tcW w:w="5340" w:type="dxa"/>
            <w:vAlign w:val="bottom"/>
            <w:gridSpan w:val="26"/>
          </w:tcPr>
          <w:p>
            <w:pPr>
              <w:spacing w:after="0"/>
              <w:rPr>
                <w:rFonts w:ascii="Arial" w:cs="Arial" w:eastAsia="Arial" w:hAnsi="Arial"/>
                <w:sz w:val="18"/>
                <w:szCs w:val="18"/>
                <w:color w:val="0000EE"/>
              </w:rPr>
            </w:pPr>
            <w:hyperlink w:anchor="page108">
              <w:r>
                <w:rPr>
                  <w:rFonts w:ascii="Arial" w:cs="Arial" w:eastAsia="Arial" w:hAnsi="Arial"/>
                  <w:sz w:val="18"/>
                  <w:szCs w:val="18"/>
                  <w:color w:val="0000EE"/>
                </w:rPr>
                <w:t>Consent of Independent Registered Public Accounting Firm.</w:t>
              </w:r>
            </w:hyperlink>
          </w:p>
        </w:tc>
      </w:tr>
      <w:tr>
        <w:trPr>
          <w:trHeight w:val="345"/>
        </w:trPr>
        <w:tc>
          <w:tcPr>
            <w:tcW w:w="1020" w:type="dxa"/>
            <w:vAlign w:val="bottom"/>
            <w:gridSpan w:val="2"/>
          </w:tcPr>
          <w:p>
            <w:pPr>
              <w:spacing w:after="0"/>
              <w:rPr>
                <w:sz w:val="20"/>
                <w:szCs w:val="20"/>
                <w:color w:val="auto"/>
              </w:rPr>
            </w:pPr>
            <w:r>
              <w:rPr>
                <w:rFonts w:ascii="Arial" w:cs="Arial" w:eastAsia="Arial" w:hAnsi="Arial"/>
                <w:sz w:val="18"/>
                <w:szCs w:val="18"/>
                <w:color w:val="auto"/>
              </w:rPr>
              <w:t>24.1**</w:t>
            </w:r>
          </w:p>
        </w:tc>
        <w:tc>
          <w:tcPr>
            <w:tcW w:w="4780" w:type="dxa"/>
            <w:vAlign w:val="bottom"/>
            <w:tcBorders>
              <w:top w:val="single" w:sz="8" w:color="0000EE"/>
            </w:tcBorders>
            <w:gridSpan w:val="16"/>
          </w:tcPr>
          <w:p>
            <w:pPr>
              <w:spacing w:after="0"/>
              <w:rPr>
                <w:rFonts w:ascii="Arial" w:cs="Arial" w:eastAsia="Arial" w:hAnsi="Arial"/>
                <w:sz w:val="18"/>
                <w:szCs w:val="18"/>
                <w:color w:val="0000EE"/>
              </w:rPr>
            </w:pPr>
            <w:hyperlink w:anchor="page98">
              <w:r>
                <w:rPr>
                  <w:rFonts w:ascii="Arial" w:cs="Arial" w:eastAsia="Arial" w:hAnsi="Arial"/>
                  <w:sz w:val="18"/>
                  <w:szCs w:val="18"/>
                  <w:color w:val="0000EE"/>
                </w:rPr>
                <w:t>Power of Attorney (included in signature pages hereto).</w:t>
              </w:r>
            </w:hyperlink>
          </w:p>
        </w:tc>
        <w:tc>
          <w:tcPr>
            <w:tcW w:w="560" w:type="dxa"/>
            <w:vAlign w:val="bottom"/>
            <w:gridSpan w:val="10"/>
          </w:tcPr>
          <w:p>
            <w:pPr>
              <w:spacing w:after="0"/>
              <w:rPr>
                <w:sz w:val="24"/>
                <w:szCs w:val="24"/>
                <w:color w:val="auto"/>
              </w:rPr>
            </w:pPr>
          </w:p>
        </w:tc>
      </w:tr>
      <w:tr>
        <w:trPr>
          <w:trHeight w:val="20"/>
        </w:trPr>
        <w:tc>
          <w:tcPr>
            <w:tcW w:w="1020" w:type="dxa"/>
            <w:vAlign w:val="bottom"/>
            <w:gridSpan w:val="2"/>
          </w:tcPr>
          <w:p>
            <w:pPr>
              <w:spacing w:after="0" w:line="20" w:lineRule="exact"/>
              <w:rPr>
                <w:sz w:val="1"/>
                <w:szCs w:val="1"/>
                <w:color w:val="auto"/>
              </w:rPr>
            </w:pPr>
          </w:p>
        </w:tc>
        <w:tc>
          <w:tcPr>
            <w:tcW w:w="3160" w:type="dxa"/>
            <w:vAlign w:val="bottom"/>
            <w:gridSpan w:val="5"/>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600" w:type="dxa"/>
            <w:vAlign w:val="bottom"/>
            <w:gridSpan w:val="3"/>
            <w:shd w:val="clear" w:color="auto" w:fill="0000EE"/>
          </w:tcPr>
          <w:p>
            <w:pPr>
              <w:spacing w:after="0" w:line="20" w:lineRule="exact"/>
              <w:rPr>
                <w:sz w:val="1"/>
                <w:szCs w:val="1"/>
                <w:color w:val="auto"/>
              </w:rPr>
            </w:pPr>
          </w:p>
        </w:tc>
        <w:tc>
          <w:tcPr>
            <w:tcW w:w="320" w:type="dxa"/>
            <w:vAlign w:val="bottom"/>
            <w:gridSpan w:val="5"/>
          </w:tcPr>
          <w:p>
            <w:pPr>
              <w:spacing w:after="0" w:line="20" w:lineRule="exact"/>
              <w:rPr>
                <w:sz w:val="1"/>
                <w:szCs w:val="1"/>
                <w:color w:val="auto"/>
              </w:rPr>
            </w:pPr>
          </w:p>
        </w:tc>
        <w:tc>
          <w:tcPr>
            <w:tcW w:w="34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r>
      <w:tr>
        <w:trPr>
          <w:trHeight w:val="345"/>
        </w:trPr>
        <w:tc>
          <w:tcPr>
            <w:tcW w:w="1020" w:type="dxa"/>
            <w:vAlign w:val="bottom"/>
            <w:gridSpan w:val="2"/>
          </w:tcPr>
          <w:p>
            <w:pPr>
              <w:spacing w:after="0"/>
              <w:rPr>
                <w:sz w:val="20"/>
                <w:szCs w:val="20"/>
                <w:color w:val="auto"/>
              </w:rPr>
            </w:pPr>
            <w:r>
              <w:rPr>
                <w:rFonts w:ascii="Arial" w:cs="Arial" w:eastAsia="Arial" w:hAnsi="Arial"/>
                <w:sz w:val="18"/>
                <w:szCs w:val="18"/>
                <w:color w:val="auto"/>
              </w:rPr>
              <w:t>31.1**</w:t>
            </w:r>
          </w:p>
        </w:tc>
        <w:tc>
          <w:tcPr>
            <w:tcW w:w="5340" w:type="dxa"/>
            <w:vAlign w:val="bottom"/>
            <w:gridSpan w:val="26"/>
          </w:tcPr>
          <w:p>
            <w:pPr>
              <w:spacing w:after="0"/>
              <w:rPr>
                <w:rFonts w:ascii="Arial" w:cs="Arial" w:eastAsia="Arial" w:hAnsi="Arial"/>
                <w:sz w:val="18"/>
                <w:szCs w:val="18"/>
                <w:color w:val="0000EE"/>
              </w:rPr>
            </w:pPr>
            <w:hyperlink w:anchor="page109">
              <w:r>
                <w:rPr>
                  <w:rFonts w:ascii="Arial" w:cs="Arial" w:eastAsia="Arial" w:hAnsi="Arial"/>
                  <w:sz w:val="18"/>
                  <w:szCs w:val="18"/>
                  <w:color w:val="0000EE"/>
                </w:rPr>
                <w:t>Certification of Chief Executive Officer pursuant to Exchange Act</w:t>
              </w:r>
            </w:hyperlink>
          </w:p>
        </w:tc>
      </w:tr>
      <w:tr>
        <w:trPr>
          <w:trHeight w:val="183"/>
        </w:trPr>
        <w:tc>
          <w:tcPr>
            <w:tcW w:w="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5140" w:type="dxa"/>
            <w:vAlign w:val="bottom"/>
            <w:tcBorders>
              <w:top w:val="single" w:sz="8" w:color="0000EE"/>
            </w:tcBorders>
            <w:gridSpan w:val="21"/>
          </w:tcPr>
          <w:p>
            <w:pPr>
              <w:spacing w:after="0" w:line="182" w:lineRule="exact"/>
              <w:rPr>
                <w:rFonts w:ascii="Arial" w:cs="Arial" w:eastAsia="Arial" w:hAnsi="Arial"/>
                <w:sz w:val="18"/>
                <w:szCs w:val="18"/>
                <w:color w:val="0000EE"/>
              </w:rPr>
            </w:pPr>
            <w:hyperlink w:anchor="page109">
              <w:r>
                <w:rPr>
                  <w:rFonts w:ascii="Arial" w:cs="Arial" w:eastAsia="Arial" w:hAnsi="Arial"/>
                  <w:sz w:val="18"/>
                  <w:szCs w:val="18"/>
                  <w:color w:val="0000EE"/>
                </w:rPr>
                <w:t>Rules 13a-14(a) and 15d-14(a), as adopted pursuant to Section</w:t>
              </w:r>
            </w:hyperlink>
          </w:p>
        </w:tc>
        <w:tc>
          <w:tcPr>
            <w:tcW w:w="200" w:type="dxa"/>
            <w:vAlign w:val="bottom"/>
            <w:gridSpan w:val="5"/>
          </w:tcPr>
          <w:p>
            <w:pPr>
              <w:spacing w:after="0"/>
              <w:rPr>
                <w:sz w:val="15"/>
                <w:szCs w:val="15"/>
                <w:color w:val="auto"/>
              </w:rPr>
            </w:pPr>
          </w:p>
        </w:tc>
      </w:tr>
      <w:tr>
        <w:trPr>
          <w:trHeight w:val="183"/>
        </w:trPr>
        <w:tc>
          <w:tcPr>
            <w:tcW w:w="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3180" w:type="dxa"/>
            <w:vAlign w:val="bottom"/>
            <w:tcBorders>
              <w:top w:val="single" w:sz="8" w:color="0000EE"/>
              <w:bottom w:val="single" w:sz="8" w:color="0000EE"/>
            </w:tcBorders>
            <w:gridSpan w:val="6"/>
          </w:tcPr>
          <w:p>
            <w:pPr>
              <w:spacing w:after="0" w:line="182" w:lineRule="exact"/>
              <w:rPr>
                <w:rFonts w:ascii="Arial" w:cs="Arial" w:eastAsia="Arial" w:hAnsi="Arial"/>
                <w:sz w:val="18"/>
                <w:szCs w:val="18"/>
                <w:color w:val="0000EE"/>
              </w:rPr>
            </w:pPr>
            <w:hyperlink w:anchor="page109">
              <w:r>
                <w:rPr>
                  <w:rFonts w:ascii="Arial" w:cs="Arial" w:eastAsia="Arial" w:hAnsi="Arial"/>
                  <w:sz w:val="18"/>
                  <w:szCs w:val="18"/>
                  <w:color w:val="0000EE"/>
                </w:rPr>
                <w:t>302 of the Sarbanes-Oxley Act of 2002.</w:t>
              </w:r>
            </w:hyperlink>
          </w:p>
        </w:tc>
        <w:tc>
          <w:tcPr>
            <w:tcW w:w="1880" w:type="dxa"/>
            <w:vAlign w:val="bottom"/>
            <w:tcBorders>
              <w:top w:val="single" w:sz="8" w:color="0000EE"/>
            </w:tcBorders>
            <w:gridSpan w:val="12"/>
          </w:tcPr>
          <w:p>
            <w:pPr>
              <w:spacing w:after="0"/>
              <w:rPr>
                <w:sz w:val="15"/>
                <w:szCs w:val="15"/>
                <w:color w:val="auto"/>
              </w:rPr>
            </w:pPr>
          </w:p>
        </w:tc>
        <w:tc>
          <w:tcPr>
            <w:tcW w:w="280" w:type="dxa"/>
            <w:vAlign w:val="bottom"/>
            <w:gridSpan w:val="8"/>
          </w:tcPr>
          <w:p>
            <w:pPr>
              <w:spacing w:after="0"/>
              <w:rPr>
                <w:sz w:val="15"/>
                <w:szCs w:val="15"/>
                <w:color w:val="auto"/>
              </w:rPr>
            </w:pPr>
          </w:p>
        </w:tc>
      </w:tr>
      <w:tr>
        <w:trPr>
          <w:trHeight w:val="304"/>
        </w:trPr>
        <w:tc>
          <w:tcPr>
            <w:tcW w:w="1020" w:type="dxa"/>
            <w:vAlign w:val="bottom"/>
            <w:gridSpan w:val="2"/>
          </w:tcPr>
          <w:p>
            <w:pPr>
              <w:spacing w:after="0"/>
              <w:rPr>
                <w:sz w:val="20"/>
                <w:szCs w:val="20"/>
                <w:color w:val="auto"/>
              </w:rPr>
            </w:pPr>
            <w:r>
              <w:rPr>
                <w:rFonts w:ascii="Arial" w:cs="Arial" w:eastAsia="Arial" w:hAnsi="Arial"/>
                <w:sz w:val="18"/>
                <w:szCs w:val="18"/>
                <w:color w:val="auto"/>
              </w:rPr>
              <w:t>31.2**</w:t>
            </w:r>
          </w:p>
        </w:tc>
        <w:tc>
          <w:tcPr>
            <w:tcW w:w="5340" w:type="dxa"/>
            <w:vAlign w:val="bottom"/>
            <w:gridSpan w:val="26"/>
          </w:tcPr>
          <w:p>
            <w:pPr>
              <w:spacing w:after="0"/>
              <w:rPr>
                <w:rFonts w:ascii="Arial" w:cs="Arial" w:eastAsia="Arial" w:hAnsi="Arial"/>
                <w:sz w:val="18"/>
                <w:szCs w:val="18"/>
                <w:color w:val="0000EE"/>
              </w:rPr>
            </w:pPr>
            <w:hyperlink w:anchor="page110">
              <w:r>
                <w:rPr>
                  <w:rFonts w:ascii="Arial" w:cs="Arial" w:eastAsia="Arial" w:hAnsi="Arial"/>
                  <w:sz w:val="18"/>
                  <w:szCs w:val="18"/>
                  <w:color w:val="0000EE"/>
                </w:rPr>
                <w:t>Certification of Chief Financial Officer pursuant to Exchange Act</w:t>
              </w:r>
            </w:hyperlink>
          </w:p>
        </w:tc>
      </w:tr>
      <w:tr>
        <w:trPr>
          <w:trHeight w:val="183"/>
        </w:trPr>
        <w:tc>
          <w:tcPr>
            <w:tcW w:w="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5080" w:type="dxa"/>
            <w:vAlign w:val="bottom"/>
            <w:tcBorders>
              <w:top w:val="single" w:sz="8" w:color="0000EE"/>
            </w:tcBorders>
            <w:gridSpan w:val="19"/>
          </w:tcPr>
          <w:p>
            <w:pPr>
              <w:spacing w:after="0" w:line="182" w:lineRule="exact"/>
              <w:rPr>
                <w:rFonts w:ascii="Arial" w:cs="Arial" w:eastAsia="Arial" w:hAnsi="Arial"/>
                <w:sz w:val="18"/>
                <w:szCs w:val="18"/>
                <w:color w:val="0000EE"/>
                <w:w w:val="99"/>
              </w:rPr>
            </w:pPr>
            <w:hyperlink w:anchor="page110">
              <w:r>
                <w:rPr>
                  <w:rFonts w:ascii="Arial" w:cs="Arial" w:eastAsia="Arial" w:hAnsi="Arial"/>
                  <w:sz w:val="18"/>
                  <w:szCs w:val="18"/>
                  <w:color w:val="0000EE"/>
                  <w:w w:val="99"/>
                </w:rPr>
                <w:t>Rules 13a-14(a) and 15d-14(a), as adopted pursuant to Section</w:t>
              </w:r>
            </w:hyperlink>
          </w:p>
        </w:tc>
        <w:tc>
          <w:tcPr>
            <w:tcW w:w="260" w:type="dxa"/>
            <w:vAlign w:val="bottom"/>
            <w:gridSpan w:val="7"/>
          </w:tcPr>
          <w:p>
            <w:pPr>
              <w:spacing w:after="0"/>
              <w:rPr>
                <w:sz w:val="15"/>
                <w:szCs w:val="15"/>
                <w:color w:val="auto"/>
              </w:rPr>
            </w:pPr>
          </w:p>
        </w:tc>
      </w:tr>
      <w:tr>
        <w:trPr>
          <w:trHeight w:val="183"/>
        </w:trPr>
        <w:tc>
          <w:tcPr>
            <w:tcW w:w="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3160" w:type="dxa"/>
            <w:vAlign w:val="bottom"/>
            <w:tcBorders>
              <w:top w:val="single" w:sz="8" w:color="0000EE"/>
              <w:bottom w:val="single" w:sz="8" w:color="0000EE"/>
            </w:tcBorders>
            <w:gridSpan w:val="5"/>
          </w:tcPr>
          <w:p>
            <w:pPr>
              <w:spacing w:after="0" w:line="182" w:lineRule="exact"/>
              <w:rPr>
                <w:rFonts w:ascii="Arial" w:cs="Arial" w:eastAsia="Arial" w:hAnsi="Arial"/>
                <w:sz w:val="18"/>
                <w:szCs w:val="18"/>
                <w:color w:val="0000EE"/>
                <w:w w:val="99"/>
              </w:rPr>
            </w:pPr>
            <w:hyperlink w:anchor="page110">
              <w:r>
                <w:rPr>
                  <w:rFonts w:ascii="Arial" w:cs="Arial" w:eastAsia="Arial" w:hAnsi="Arial"/>
                  <w:sz w:val="18"/>
                  <w:szCs w:val="18"/>
                  <w:color w:val="0000EE"/>
                  <w:w w:val="99"/>
                </w:rPr>
                <w:t>302 of the Sarbanes-Oxley Act of 2002.</w:t>
              </w:r>
            </w:hyperlink>
          </w:p>
        </w:tc>
        <w:tc>
          <w:tcPr>
            <w:tcW w:w="1900" w:type="dxa"/>
            <w:vAlign w:val="bottom"/>
            <w:tcBorders>
              <w:top w:val="single" w:sz="8" w:color="0000EE"/>
            </w:tcBorders>
            <w:gridSpan w:val="13"/>
          </w:tcPr>
          <w:p>
            <w:pPr>
              <w:spacing w:after="0"/>
              <w:rPr>
                <w:sz w:val="15"/>
                <w:szCs w:val="15"/>
                <w:color w:val="auto"/>
              </w:rPr>
            </w:pPr>
          </w:p>
        </w:tc>
        <w:tc>
          <w:tcPr>
            <w:tcW w:w="280" w:type="dxa"/>
            <w:vAlign w:val="bottom"/>
            <w:gridSpan w:val="8"/>
          </w:tcPr>
          <w:p>
            <w:pPr>
              <w:spacing w:after="0"/>
              <w:rPr>
                <w:sz w:val="15"/>
                <w:szCs w:val="15"/>
                <w:color w:val="auto"/>
              </w:rPr>
            </w:pPr>
          </w:p>
        </w:tc>
      </w:tr>
      <w:tr>
        <w:trPr>
          <w:trHeight w:val="304"/>
        </w:trPr>
        <w:tc>
          <w:tcPr>
            <w:tcW w:w="1020" w:type="dxa"/>
            <w:vAlign w:val="bottom"/>
            <w:gridSpan w:val="2"/>
          </w:tcPr>
          <w:p>
            <w:pPr>
              <w:spacing w:after="0"/>
              <w:rPr>
                <w:sz w:val="20"/>
                <w:szCs w:val="20"/>
                <w:color w:val="auto"/>
              </w:rPr>
            </w:pPr>
            <w:r>
              <w:rPr>
                <w:rFonts w:ascii="Arial" w:cs="Arial" w:eastAsia="Arial" w:hAnsi="Arial"/>
                <w:sz w:val="18"/>
                <w:szCs w:val="18"/>
                <w:color w:val="auto"/>
              </w:rPr>
              <w:t>32.1†</w:t>
            </w:r>
          </w:p>
        </w:tc>
        <w:tc>
          <w:tcPr>
            <w:tcW w:w="5340" w:type="dxa"/>
            <w:vAlign w:val="bottom"/>
            <w:gridSpan w:val="26"/>
          </w:tcPr>
          <w:p>
            <w:pPr>
              <w:spacing w:after="0"/>
              <w:rPr>
                <w:rFonts w:ascii="Arial" w:cs="Arial" w:eastAsia="Arial" w:hAnsi="Arial"/>
                <w:sz w:val="18"/>
                <w:szCs w:val="18"/>
                <w:color w:val="0000EE"/>
              </w:rPr>
            </w:pPr>
            <w:hyperlink w:anchor="page111">
              <w:r>
                <w:rPr>
                  <w:rFonts w:ascii="Arial" w:cs="Arial" w:eastAsia="Arial" w:hAnsi="Arial"/>
                  <w:sz w:val="18"/>
                  <w:szCs w:val="18"/>
                  <w:color w:val="0000EE"/>
                </w:rPr>
                <w:t>Certifications of Chief Executive Officer and Chief Financial Officer</w:t>
              </w:r>
            </w:hyperlink>
          </w:p>
        </w:tc>
      </w:tr>
      <w:tr>
        <w:trPr>
          <w:trHeight w:val="183"/>
        </w:trPr>
        <w:tc>
          <w:tcPr>
            <w:tcW w:w="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5280" w:type="dxa"/>
            <w:vAlign w:val="bottom"/>
            <w:tcBorders>
              <w:top w:val="single" w:sz="8" w:color="0000EE"/>
            </w:tcBorders>
            <w:gridSpan w:val="24"/>
          </w:tcPr>
          <w:p>
            <w:pPr>
              <w:spacing w:after="0" w:line="182" w:lineRule="exact"/>
              <w:rPr>
                <w:rFonts w:ascii="Arial" w:cs="Arial" w:eastAsia="Arial" w:hAnsi="Arial"/>
                <w:sz w:val="18"/>
                <w:szCs w:val="18"/>
                <w:color w:val="0000EE"/>
              </w:rPr>
            </w:pPr>
            <w:hyperlink w:anchor="page111">
              <w:r>
                <w:rPr>
                  <w:rFonts w:ascii="Arial" w:cs="Arial" w:eastAsia="Arial" w:hAnsi="Arial"/>
                  <w:sz w:val="18"/>
                  <w:szCs w:val="18"/>
                  <w:color w:val="0000EE"/>
                </w:rPr>
                <w:t>pursuant to 18 U.S.C. Section 1350 as adopted pursuant to</w:t>
              </w:r>
            </w:hyperlink>
          </w:p>
        </w:tc>
        <w:tc>
          <w:tcPr>
            <w:tcW w:w="60" w:type="dxa"/>
            <w:vAlign w:val="bottom"/>
            <w:gridSpan w:val="2"/>
          </w:tcPr>
          <w:p>
            <w:pPr>
              <w:spacing w:after="0"/>
              <w:rPr>
                <w:sz w:val="15"/>
                <w:szCs w:val="15"/>
                <w:color w:val="auto"/>
              </w:rPr>
            </w:pPr>
          </w:p>
        </w:tc>
      </w:tr>
      <w:tr>
        <w:trPr>
          <w:trHeight w:val="183"/>
        </w:trPr>
        <w:tc>
          <w:tcPr>
            <w:tcW w:w="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4720" w:type="dxa"/>
            <w:vAlign w:val="bottom"/>
            <w:tcBorders>
              <w:top w:val="single" w:sz="8" w:color="0000EE"/>
            </w:tcBorders>
            <w:gridSpan w:val="15"/>
          </w:tcPr>
          <w:p>
            <w:pPr>
              <w:spacing w:after="0" w:line="182" w:lineRule="exact"/>
              <w:rPr>
                <w:rFonts w:ascii="Arial" w:cs="Arial" w:eastAsia="Arial" w:hAnsi="Arial"/>
                <w:sz w:val="18"/>
                <w:szCs w:val="18"/>
                <w:color w:val="0000EE"/>
              </w:rPr>
            </w:pPr>
            <w:hyperlink w:anchor="page111">
              <w:r>
                <w:rPr>
                  <w:rFonts w:ascii="Arial" w:cs="Arial" w:eastAsia="Arial" w:hAnsi="Arial"/>
                  <w:sz w:val="18"/>
                  <w:szCs w:val="18"/>
                  <w:color w:val="0000EE"/>
                </w:rPr>
                <w:t>Section 906 of the Sarbanes-Oxley Act of 2002.</w:t>
              </w:r>
            </w:hyperlink>
          </w:p>
        </w:tc>
        <w:tc>
          <w:tcPr>
            <w:tcW w:w="620" w:type="dxa"/>
            <w:vAlign w:val="bottom"/>
            <w:gridSpan w:val="11"/>
          </w:tcPr>
          <w:p>
            <w:pPr>
              <w:spacing w:after="0"/>
              <w:rPr>
                <w:sz w:val="15"/>
                <w:szCs w:val="15"/>
                <w:color w:val="auto"/>
              </w:rPr>
            </w:pPr>
          </w:p>
        </w:tc>
      </w:tr>
      <w:tr>
        <w:trPr>
          <w:trHeight w:val="345"/>
        </w:trPr>
        <w:tc>
          <w:tcPr>
            <w:tcW w:w="1020" w:type="dxa"/>
            <w:vAlign w:val="bottom"/>
            <w:gridSpan w:val="2"/>
          </w:tcPr>
          <w:p>
            <w:pPr>
              <w:spacing w:after="0"/>
              <w:rPr>
                <w:sz w:val="20"/>
                <w:szCs w:val="20"/>
                <w:color w:val="auto"/>
              </w:rPr>
            </w:pPr>
            <w:r>
              <w:rPr>
                <w:rFonts w:ascii="Arial" w:cs="Arial" w:eastAsia="Arial" w:hAnsi="Arial"/>
                <w:sz w:val="18"/>
                <w:szCs w:val="18"/>
                <w:color w:val="auto"/>
              </w:rPr>
              <w:t>101.INS**</w:t>
            </w:r>
          </w:p>
        </w:tc>
        <w:tc>
          <w:tcPr>
            <w:tcW w:w="3800" w:type="dxa"/>
            <w:vAlign w:val="bottom"/>
            <w:tcBorders>
              <w:top w:val="single" w:sz="8" w:color="0000EE"/>
            </w:tcBorders>
            <w:gridSpan w:val="7"/>
          </w:tcPr>
          <w:p>
            <w:pPr>
              <w:spacing w:after="0"/>
              <w:rPr>
                <w:sz w:val="20"/>
                <w:szCs w:val="20"/>
                <w:color w:val="auto"/>
              </w:rPr>
            </w:pPr>
            <w:r>
              <w:rPr>
                <w:rFonts w:ascii="Arial" w:cs="Arial" w:eastAsia="Arial" w:hAnsi="Arial"/>
                <w:sz w:val="18"/>
                <w:szCs w:val="18"/>
                <w:color w:val="auto"/>
              </w:rPr>
              <w:t>Inline XBRL Instance Document</w:t>
            </w:r>
          </w:p>
        </w:tc>
        <w:tc>
          <w:tcPr>
            <w:tcW w:w="1540" w:type="dxa"/>
            <w:vAlign w:val="bottom"/>
            <w:gridSpan w:val="19"/>
          </w:tcPr>
          <w:p>
            <w:pPr>
              <w:spacing w:after="0"/>
              <w:rPr>
                <w:sz w:val="24"/>
                <w:szCs w:val="24"/>
                <w:color w:val="auto"/>
              </w:rPr>
            </w:pPr>
          </w:p>
        </w:tc>
      </w:tr>
      <w:tr>
        <w:trPr>
          <w:trHeight w:val="365"/>
        </w:trPr>
        <w:tc>
          <w:tcPr>
            <w:tcW w:w="1020" w:type="dxa"/>
            <w:vAlign w:val="bottom"/>
            <w:gridSpan w:val="2"/>
          </w:tcPr>
          <w:p>
            <w:pPr>
              <w:spacing w:after="0"/>
              <w:rPr>
                <w:sz w:val="20"/>
                <w:szCs w:val="20"/>
                <w:color w:val="auto"/>
              </w:rPr>
            </w:pPr>
            <w:r>
              <w:rPr>
                <w:rFonts w:ascii="Arial" w:cs="Arial" w:eastAsia="Arial" w:hAnsi="Arial"/>
                <w:sz w:val="18"/>
                <w:szCs w:val="18"/>
                <w:color w:val="auto"/>
              </w:rPr>
              <w:t>101.SCH**</w:t>
            </w:r>
          </w:p>
        </w:tc>
        <w:tc>
          <w:tcPr>
            <w:tcW w:w="5340" w:type="dxa"/>
            <w:vAlign w:val="bottom"/>
            <w:gridSpan w:val="26"/>
          </w:tcPr>
          <w:p>
            <w:pPr>
              <w:spacing w:after="0"/>
              <w:rPr>
                <w:sz w:val="20"/>
                <w:szCs w:val="20"/>
                <w:color w:val="auto"/>
              </w:rPr>
            </w:pPr>
            <w:r>
              <w:rPr>
                <w:rFonts w:ascii="Arial" w:cs="Arial" w:eastAsia="Arial" w:hAnsi="Arial"/>
                <w:sz w:val="18"/>
                <w:szCs w:val="18"/>
                <w:color w:val="auto"/>
              </w:rPr>
              <w:t>Inline XBRL Taxonomy Extension Schema Document</w:t>
            </w:r>
          </w:p>
        </w:tc>
      </w:tr>
      <w:tr>
        <w:trPr>
          <w:trHeight w:val="365"/>
        </w:trPr>
        <w:tc>
          <w:tcPr>
            <w:tcW w:w="1020" w:type="dxa"/>
            <w:vAlign w:val="bottom"/>
            <w:gridSpan w:val="2"/>
          </w:tcPr>
          <w:p>
            <w:pPr>
              <w:spacing w:after="0"/>
              <w:rPr>
                <w:sz w:val="20"/>
                <w:szCs w:val="20"/>
                <w:color w:val="auto"/>
              </w:rPr>
            </w:pPr>
            <w:r>
              <w:rPr>
                <w:rFonts w:ascii="Arial" w:cs="Arial" w:eastAsia="Arial" w:hAnsi="Arial"/>
                <w:sz w:val="18"/>
                <w:szCs w:val="18"/>
                <w:color w:val="auto"/>
              </w:rPr>
              <w:t>101.CAL**</w:t>
            </w:r>
          </w:p>
        </w:tc>
        <w:tc>
          <w:tcPr>
            <w:tcW w:w="5340" w:type="dxa"/>
            <w:vAlign w:val="bottom"/>
            <w:gridSpan w:val="26"/>
          </w:tcPr>
          <w:p>
            <w:pPr>
              <w:spacing w:after="0"/>
              <w:rPr>
                <w:sz w:val="20"/>
                <w:szCs w:val="20"/>
                <w:color w:val="auto"/>
              </w:rPr>
            </w:pPr>
            <w:r>
              <w:rPr>
                <w:rFonts w:ascii="Arial" w:cs="Arial" w:eastAsia="Arial" w:hAnsi="Arial"/>
                <w:sz w:val="18"/>
                <w:szCs w:val="18"/>
                <w:color w:val="auto"/>
              </w:rPr>
              <w:t>Inline XBRL Taxonomy Extension Calculation Linkbase Document</w:t>
            </w:r>
          </w:p>
        </w:tc>
      </w:tr>
      <w:tr>
        <w:trPr>
          <w:trHeight w:val="365"/>
        </w:trPr>
        <w:tc>
          <w:tcPr>
            <w:tcW w:w="1020" w:type="dxa"/>
            <w:vAlign w:val="bottom"/>
            <w:gridSpan w:val="2"/>
          </w:tcPr>
          <w:p>
            <w:pPr>
              <w:spacing w:after="0"/>
              <w:rPr>
                <w:sz w:val="20"/>
                <w:szCs w:val="20"/>
                <w:color w:val="auto"/>
              </w:rPr>
            </w:pPr>
            <w:r>
              <w:rPr>
                <w:rFonts w:ascii="Arial" w:cs="Arial" w:eastAsia="Arial" w:hAnsi="Arial"/>
                <w:sz w:val="18"/>
                <w:szCs w:val="18"/>
                <w:color w:val="auto"/>
              </w:rPr>
              <w:t>101.DEF**</w:t>
            </w:r>
          </w:p>
        </w:tc>
        <w:tc>
          <w:tcPr>
            <w:tcW w:w="5340" w:type="dxa"/>
            <w:vAlign w:val="bottom"/>
            <w:gridSpan w:val="26"/>
          </w:tcPr>
          <w:p>
            <w:pPr>
              <w:spacing w:after="0"/>
              <w:rPr>
                <w:sz w:val="20"/>
                <w:szCs w:val="20"/>
                <w:color w:val="auto"/>
              </w:rPr>
            </w:pPr>
            <w:r>
              <w:rPr>
                <w:rFonts w:ascii="Arial" w:cs="Arial" w:eastAsia="Arial" w:hAnsi="Arial"/>
                <w:sz w:val="18"/>
                <w:szCs w:val="18"/>
                <w:color w:val="auto"/>
              </w:rPr>
              <w:t>Inline XBRL Taxonomy Extension Definition Linkbase Document</w:t>
            </w:r>
          </w:p>
        </w:tc>
      </w:tr>
      <w:tr>
        <w:trPr>
          <w:trHeight w:val="365"/>
        </w:trPr>
        <w:tc>
          <w:tcPr>
            <w:tcW w:w="1020" w:type="dxa"/>
            <w:vAlign w:val="bottom"/>
            <w:gridSpan w:val="2"/>
          </w:tcPr>
          <w:p>
            <w:pPr>
              <w:spacing w:after="0"/>
              <w:rPr>
                <w:sz w:val="20"/>
                <w:szCs w:val="20"/>
                <w:color w:val="auto"/>
              </w:rPr>
            </w:pPr>
            <w:r>
              <w:rPr>
                <w:rFonts w:ascii="Arial" w:cs="Arial" w:eastAsia="Arial" w:hAnsi="Arial"/>
                <w:sz w:val="18"/>
                <w:szCs w:val="18"/>
                <w:color w:val="auto"/>
              </w:rPr>
              <w:t>101.LAB**</w:t>
            </w:r>
          </w:p>
        </w:tc>
        <w:tc>
          <w:tcPr>
            <w:tcW w:w="5340" w:type="dxa"/>
            <w:vAlign w:val="bottom"/>
            <w:gridSpan w:val="26"/>
          </w:tcPr>
          <w:p>
            <w:pPr>
              <w:spacing w:after="0"/>
              <w:rPr>
                <w:sz w:val="20"/>
                <w:szCs w:val="20"/>
                <w:color w:val="auto"/>
              </w:rPr>
            </w:pPr>
            <w:r>
              <w:rPr>
                <w:rFonts w:ascii="Arial" w:cs="Arial" w:eastAsia="Arial" w:hAnsi="Arial"/>
                <w:sz w:val="18"/>
                <w:szCs w:val="18"/>
                <w:color w:val="auto"/>
              </w:rPr>
              <w:t>Inline XBRL Taxonomy Extension Label Linkbase Document</w:t>
            </w:r>
          </w:p>
        </w:tc>
      </w:tr>
      <w:tr>
        <w:trPr>
          <w:trHeight w:val="581"/>
        </w:trPr>
        <w:tc>
          <w:tcPr>
            <w:tcW w:w="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5040" w:type="dxa"/>
            <w:vAlign w:val="bottom"/>
            <w:gridSpan w:val="17"/>
          </w:tcPr>
          <w:p>
            <w:pPr>
              <w:ind w:left="4600"/>
              <w:spacing w:after="0"/>
              <w:rPr>
                <w:sz w:val="20"/>
                <w:szCs w:val="20"/>
                <w:color w:val="auto"/>
              </w:rPr>
            </w:pPr>
            <w:r>
              <w:rPr>
                <w:rFonts w:ascii="Arial" w:cs="Arial" w:eastAsia="Arial" w:hAnsi="Arial"/>
                <w:sz w:val="18"/>
                <w:szCs w:val="18"/>
                <w:color w:val="auto"/>
              </w:rPr>
              <w:t>96</w:t>
            </w: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wp:posOffset>
            </wp:positionV>
            <wp:extent cx="7272020" cy="425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68">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jc w:val="center"/>
        <w:spacing w:after="0"/>
        <w:rPr>
          <w:sz w:val="20"/>
          <w:szCs w:val="20"/>
          <w:color w:val="auto"/>
        </w:rPr>
      </w:pPr>
      <w:r>
        <w:rPr>
          <w:rFonts w:ascii="Arial" w:cs="Arial" w:eastAsia="Arial" w:hAnsi="Arial"/>
          <w:sz w:val="14"/>
          <w:szCs w:val="14"/>
          <w:b w:val="1"/>
          <w:bCs w:val="1"/>
          <w:color w:val="auto"/>
        </w:rPr>
        <w:t>Incorporated by Reference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17780</wp:posOffset>
            </wp:positionV>
            <wp:extent cx="3155950" cy="889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69">
                      <a:extLst>
                        <a:ext uri="{28A0092B-C50C-407E-A947-70E740481C1C}"/>
                      </a:extLst>
                    </a:blip>
                    <a:srcRect/>
                    <a:stretch>
                      <a:fillRect/>
                    </a:stretch>
                  </pic:blipFill>
                  <pic:spPr bwMode="auto">
                    <a:xfrm>
                      <a:off x="0" y="0"/>
                      <a:ext cx="3155950" cy="8890"/>
                    </a:xfrm>
                    <a:prstGeom prst="rect">
                      <a:avLst/>
                    </a:prstGeom>
                    <a:noFill/>
                  </pic:spPr>
                </pic:pic>
              </a:graphicData>
            </a:graphic>
          </wp:anchor>
        </w:drawing>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900" w:type="dxa"/>
            <w:vAlign w:val="bottom"/>
            <w:tcBorders>
              <w:bottom w:val="single" w:sz="8" w:color="auto"/>
            </w:tcBorders>
          </w:tcPr>
          <w:p>
            <w:pPr>
              <w:ind w:left="280"/>
              <w:spacing w:after="0"/>
              <w:rPr>
                <w:sz w:val="20"/>
                <w:szCs w:val="20"/>
                <w:color w:val="auto"/>
              </w:rPr>
            </w:pPr>
            <w:r>
              <w:rPr>
                <w:rFonts w:ascii="Arial" w:cs="Arial" w:eastAsia="Arial" w:hAnsi="Arial"/>
                <w:sz w:val="14"/>
                <w:szCs w:val="14"/>
                <w:b w:val="1"/>
                <w:bCs w:val="1"/>
                <w:color w:val="auto"/>
              </w:rPr>
              <w:t>Form</w:t>
            </w:r>
          </w:p>
        </w:tc>
        <w:tc>
          <w:tcPr>
            <w:tcW w:w="80" w:type="dxa"/>
            <w:vAlign w:val="bottom"/>
          </w:tcPr>
          <w:p>
            <w:pPr>
              <w:spacing w:after="0"/>
              <w:rPr>
                <w:sz w:val="16"/>
                <w:szCs w:val="16"/>
                <w:color w:val="auto"/>
              </w:rPr>
            </w:pPr>
          </w:p>
        </w:tc>
        <w:tc>
          <w:tcPr>
            <w:tcW w:w="1220" w:type="dxa"/>
            <w:vAlign w:val="bottom"/>
            <w:tcBorders>
              <w:bottom w:val="single" w:sz="8" w:color="auto"/>
            </w:tcBorders>
          </w:tcPr>
          <w:p>
            <w:pPr>
              <w:ind w:left="360"/>
              <w:spacing w:after="0"/>
              <w:rPr>
                <w:sz w:val="20"/>
                <w:szCs w:val="20"/>
                <w:color w:val="auto"/>
              </w:rPr>
            </w:pPr>
            <w:r>
              <w:rPr>
                <w:rFonts w:ascii="Arial" w:cs="Arial" w:eastAsia="Arial" w:hAnsi="Arial"/>
                <w:sz w:val="14"/>
                <w:szCs w:val="14"/>
                <w:b w:val="1"/>
                <w:bCs w:val="1"/>
                <w:color w:val="auto"/>
              </w:rPr>
              <w:t>File No.</w:t>
            </w:r>
          </w:p>
        </w:tc>
        <w:tc>
          <w:tcPr>
            <w:tcW w:w="60" w:type="dxa"/>
            <w:vAlign w:val="bottom"/>
          </w:tcPr>
          <w:p>
            <w:pPr>
              <w:spacing w:after="0"/>
              <w:rPr>
                <w:sz w:val="16"/>
                <w:szCs w:val="16"/>
                <w:color w:val="auto"/>
              </w:rPr>
            </w:pPr>
          </w:p>
        </w:tc>
        <w:tc>
          <w:tcPr>
            <w:tcW w:w="780" w:type="dxa"/>
            <w:vAlign w:val="bottom"/>
            <w:tcBorders>
              <w:bottom w:val="single" w:sz="8" w:color="auto"/>
            </w:tcBorders>
          </w:tcPr>
          <w:p>
            <w:pPr>
              <w:ind w:left="140"/>
              <w:spacing w:after="0"/>
              <w:rPr>
                <w:sz w:val="20"/>
                <w:szCs w:val="20"/>
                <w:color w:val="auto"/>
              </w:rPr>
            </w:pPr>
            <w:r>
              <w:rPr>
                <w:rFonts w:ascii="Arial" w:cs="Arial" w:eastAsia="Arial" w:hAnsi="Arial"/>
                <w:sz w:val="14"/>
                <w:szCs w:val="14"/>
                <w:b w:val="1"/>
                <w:bCs w:val="1"/>
                <w:color w:val="auto"/>
              </w:rPr>
              <w:t>Exhibit</w:t>
            </w:r>
          </w:p>
        </w:tc>
        <w:tc>
          <w:tcPr>
            <w:tcW w:w="60" w:type="dxa"/>
            <w:vAlign w:val="bottom"/>
          </w:tcPr>
          <w:p>
            <w:pPr>
              <w:spacing w:after="0"/>
              <w:rPr>
                <w:sz w:val="16"/>
                <w:szCs w:val="16"/>
                <w:color w:val="auto"/>
              </w:rPr>
            </w:pPr>
          </w:p>
        </w:tc>
        <w:tc>
          <w:tcPr>
            <w:tcW w:w="1880" w:type="dxa"/>
            <w:vAlign w:val="bottom"/>
            <w:tcBorders>
              <w:bottom w:val="single" w:sz="8" w:color="auto"/>
            </w:tcBorders>
          </w:tcPr>
          <w:p>
            <w:pPr>
              <w:ind w:left="580"/>
              <w:spacing w:after="0"/>
              <w:rPr>
                <w:sz w:val="20"/>
                <w:szCs w:val="20"/>
                <w:color w:val="auto"/>
              </w:rPr>
            </w:pPr>
            <w:r>
              <w:rPr>
                <w:rFonts w:ascii="Arial" w:cs="Arial" w:eastAsia="Arial" w:hAnsi="Arial"/>
                <w:sz w:val="14"/>
                <w:szCs w:val="14"/>
                <w:b w:val="1"/>
                <w:bCs w:val="1"/>
                <w:color w:val="auto"/>
              </w:rPr>
              <w:t>Filing Date</w:t>
            </w:r>
          </w:p>
        </w:tc>
      </w:tr>
      <w:tr>
        <w:trPr>
          <w:trHeight w:val="331"/>
        </w:trPr>
        <w:tc>
          <w:tcPr>
            <w:tcW w:w="900" w:type="dxa"/>
            <w:vAlign w:val="bottom"/>
          </w:tcPr>
          <w:p>
            <w:pPr>
              <w:jc w:val="center"/>
              <w:spacing w:after="0"/>
              <w:rPr>
                <w:sz w:val="20"/>
                <w:szCs w:val="20"/>
                <w:color w:val="auto"/>
              </w:rPr>
            </w:pPr>
            <w:r>
              <w:rPr>
                <w:rFonts w:ascii="Arial" w:cs="Arial" w:eastAsia="Arial" w:hAnsi="Arial"/>
                <w:sz w:val="18"/>
                <w:szCs w:val="18"/>
                <w:color w:val="auto"/>
                <w:w w:val="99"/>
              </w:rPr>
              <w:t>S-1</w:t>
            </w:r>
          </w:p>
        </w:tc>
        <w:tc>
          <w:tcPr>
            <w:tcW w:w="1300" w:type="dxa"/>
            <w:vAlign w:val="bottom"/>
            <w:gridSpan w:val="2"/>
          </w:tcPr>
          <w:p>
            <w:pPr>
              <w:jc w:val="center"/>
              <w:spacing w:after="0"/>
              <w:rPr>
                <w:sz w:val="20"/>
                <w:szCs w:val="20"/>
                <w:color w:val="auto"/>
              </w:rPr>
            </w:pPr>
            <w:r>
              <w:rPr>
                <w:rFonts w:ascii="Arial" w:cs="Arial" w:eastAsia="Arial" w:hAnsi="Arial"/>
                <w:sz w:val="18"/>
                <w:szCs w:val="18"/>
                <w:color w:val="auto"/>
                <w:w w:val="99"/>
              </w:rPr>
              <w:t>333-213899</w:t>
            </w:r>
          </w:p>
        </w:tc>
        <w:tc>
          <w:tcPr>
            <w:tcW w:w="840" w:type="dxa"/>
            <w:vAlign w:val="bottom"/>
            <w:gridSpan w:val="2"/>
          </w:tcPr>
          <w:p>
            <w:pPr>
              <w:jc w:val="center"/>
              <w:spacing w:after="0"/>
              <w:rPr>
                <w:sz w:val="20"/>
                <w:szCs w:val="20"/>
                <w:color w:val="auto"/>
              </w:rPr>
            </w:pPr>
            <w:r>
              <w:rPr>
                <w:rFonts w:ascii="Arial" w:cs="Arial" w:eastAsia="Arial" w:hAnsi="Arial"/>
                <w:sz w:val="18"/>
                <w:szCs w:val="18"/>
                <w:color w:val="auto"/>
              </w:rPr>
              <w:t>10.28</w:t>
            </w:r>
          </w:p>
        </w:tc>
        <w:tc>
          <w:tcPr>
            <w:tcW w:w="60" w:type="dxa"/>
            <w:vAlign w:val="bottom"/>
          </w:tcPr>
          <w:p>
            <w:pPr>
              <w:spacing w:after="0"/>
              <w:rPr>
                <w:sz w:val="24"/>
                <w:szCs w:val="24"/>
                <w:color w:val="auto"/>
              </w:rPr>
            </w:pPr>
          </w:p>
        </w:tc>
        <w:tc>
          <w:tcPr>
            <w:tcW w:w="1880" w:type="dxa"/>
            <w:vAlign w:val="bottom"/>
          </w:tcPr>
          <w:p>
            <w:pPr>
              <w:jc w:val="center"/>
              <w:spacing w:after="0"/>
              <w:rPr>
                <w:sz w:val="20"/>
                <w:szCs w:val="20"/>
                <w:color w:val="auto"/>
              </w:rPr>
            </w:pPr>
            <w:r>
              <w:rPr>
                <w:rFonts w:ascii="Arial" w:cs="Arial" w:eastAsia="Arial" w:hAnsi="Arial"/>
                <w:sz w:val="18"/>
                <w:szCs w:val="18"/>
                <w:color w:val="auto"/>
              </w:rPr>
              <w:t>September 30, 2016</w:t>
            </w:r>
          </w:p>
        </w:tc>
      </w:tr>
      <w:tr>
        <w:trPr>
          <w:trHeight w:val="527"/>
        </w:trPr>
        <w:tc>
          <w:tcPr>
            <w:tcW w:w="900" w:type="dxa"/>
            <w:vAlign w:val="bottom"/>
          </w:tcPr>
          <w:p>
            <w:pPr>
              <w:jc w:val="center"/>
              <w:spacing w:after="0"/>
              <w:rPr>
                <w:sz w:val="20"/>
                <w:szCs w:val="20"/>
                <w:color w:val="auto"/>
              </w:rPr>
            </w:pPr>
            <w:r>
              <w:rPr>
                <w:rFonts w:ascii="Arial" w:cs="Arial" w:eastAsia="Arial" w:hAnsi="Arial"/>
                <w:sz w:val="18"/>
                <w:szCs w:val="18"/>
                <w:color w:val="auto"/>
                <w:w w:val="99"/>
              </w:rPr>
              <w:t>S-1</w:t>
            </w:r>
          </w:p>
        </w:tc>
        <w:tc>
          <w:tcPr>
            <w:tcW w:w="1300" w:type="dxa"/>
            <w:vAlign w:val="bottom"/>
            <w:gridSpan w:val="2"/>
          </w:tcPr>
          <w:p>
            <w:pPr>
              <w:jc w:val="center"/>
              <w:spacing w:after="0"/>
              <w:rPr>
                <w:sz w:val="20"/>
                <w:szCs w:val="20"/>
                <w:color w:val="auto"/>
              </w:rPr>
            </w:pPr>
            <w:r>
              <w:rPr>
                <w:rFonts w:ascii="Arial" w:cs="Arial" w:eastAsia="Arial" w:hAnsi="Arial"/>
                <w:sz w:val="18"/>
                <w:szCs w:val="18"/>
                <w:color w:val="auto"/>
                <w:w w:val="99"/>
              </w:rPr>
              <w:t>333-213899</w:t>
            </w:r>
          </w:p>
        </w:tc>
        <w:tc>
          <w:tcPr>
            <w:tcW w:w="840" w:type="dxa"/>
            <w:vAlign w:val="bottom"/>
            <w:gridSpan w:val="2"/>
          </w:tcPr>
          <w:p>
            <w:pPr>
              <w:jc w:val="center"/>
              <w:spacing w:after="0"/>
              <w:rPr>
                <w:sz w:val="20"/>
                <w:szCs w:val="20"/>
                <w:color w:val="auto"/>
              </w:rPr>
            </w:pPr>
            <w:r>
              <w:rPr>
                <w:rFonts w:ascii="Arial" w:cs="Arial" w:eastAsia="Arial" w:hAnsi="Arial"/>
                <w:sz w:val="18"/>
                <w:szCs w:val="18"/>
                <w:color w:val="auto"/>
              </w:rPr>
              <w:t>10.29</w:t>
            </w:r>
          </w:p>
        </w:tc>
        <w:tc>
          <w:tcPr>
            <w:tcW w:w="60" w:type="dxa"/>
            <w:vAlign w:val="bottom"/>
          </w:tcPr>
          <w:p>
            <w:pPr>
              <w:spacing w:after="0"/>
              <w:rPr>
                <w:sz w:val="24"/>
                <w:szCs w:val="24"/>
                <w:color w:val="auto"/>
              </w:rPr>
            </w:pPr>
          </w:p>
        </w:tc>
        <w:tc>
          <w:tcPr>
            <w:tcW w:w="1880" w:type="dxa"/>
            <w:vAlign w:val="bottom"/>
          </w:tcPr>
          <w:p>
            <w:pPr>
              <w:jc w:val="center"/>
              <w:spacing w:after="0"/>
              <w:rPr>
                <w:sz w:val="20"/>
                <w:szCs w:val="20"/>
                <w:color w:val="auto"/>
              </w:rPr>
            </w:pPr>
            <w:r>
              <w:rPr>
                <w:rFonts w:ascii="Arial" w:cs="Arial" w:eastAsia="Arial" w:hAnsi="Arial"/>
                <w:sz w:val="18"/>
                <w:szCs w:val="18"/>
                <w:color w:val="auto"/>
              </w:rPr>
              <w:t>September 30, 2016</w:t>
            </w:r>
          </w:p>
        </w:tc>
      </w:tr>
      <w:tr>
        <w:trPr>
          <w:trHeight w:val="527"/>
        </w:trPr>
        <w:tc>
          <w:tcPr>
            <w:tcW w:w="900" w:type="dxa"/>
            <w:vAlign w:val="bottom"/>
          </w:tcPr>
          <w:p>
            <w:pPr>
              <w:jc w:val="center"/>
              <w:spacing w:after="0"/>
              <w:rPr>
                <w:sz w:val="20"/>
                <w:szCs w:val="20"/>
                <w:color w:val="auto"/>
              </w:rPr>
            </w:pPr>
            <w:r>
              <w:rPr>
                <w:rFonts w:ascii="Arial" w:cs="Arial" w:eastAsia="Arial" w:hAnsi="Arial"/>
                <w:sz w:val="18"/>
                <w:szCs w:val="18"/>
                <w:color w:val="auto"/>
                <w:w w:val="97"/>
              </w:rPr>
              <w:t>S-1/A</w:t>
            </w:r>
          </w:p>
        </w:tc>
        <w:tc>
          <w:tcPr>
            <w:tcW w:w="1300" w:type="dxa"/>
            <w:vAlign w:val="bottom"/>
            <w:gridSpan w:val="2"/>
          </w:tcPr>
          <w:p>
            <w:pPr>
              <w:jc w:val="center"/>
              <w:spacing w:after="0"/>
              <w:rPr>
                <w:sz w:val="20"/>
                <w:szCs w:val="20"/>
                <w:color w:val="auto"/>
              </w:rPr>
            </w:pPr>
            <w:r>
              <w:rPr>
                <w:rFonts w:ascii="Arial" w:cs="Arial" w:eastAsia="Arial" w:hAnsi="Arial"/>
                <w:sz w:val="18"/>
                <w:szCs w:val="18"/>
                <w:color w:val="auto"/>
                <w:w w:val="99"/>
              </w:rPr>
              <w:t>333-217981</w:t>
            </w:r>
          </w:p>
        </w:tc>
        <w:tc>
          <w:tcPr>
            <w:tcW w:w="840" w:type="dxa"/>
            <w:vAlign w:val="bottom"/>
            <w:gridSpan w:val="2"/>
          </w:tcPr>
          <w:p>
            <w:pPr>
              <w:jc w:val="center"/>
              <w:spacing w:after="0"/>
              <w:rPr>
                <w:sz w:val="20"/>
                <w:szCs w:val="20"/>
                <w:color w:val="auto"/>
              </w:rPr>
            </w:pPr>
            <w:r>
              <w:rPr>
                <w:rFonts w:ascii="Arial" w:cs="Arial" w:eastAsia="Arial" w:hAnsi="Arial"/>
                <w:sz w:val="18"/>
                <w:szCs w:val="18"/>
                <w:color w:val="auto"/>
              </w:rPr>
              <w:t>10.26</w:t>
            </w:r>
          </w:p>
        </w:tc>
        <w:tc>
          <w:tcPr>
            <w:tcW w:w="60" w:type="dxa"/>
            <w:vAlign w:val="bottom"/>
          </w:tcPr>
          <w:p>
            <w:pPr>
              <w:spacing w:after="0"/>
              <w:rPr>
                <w:sz w:val="24"/>
                <w:szCs w:val="24"/>
                <w:color w:val="auto"/>
              </w:rPr>
            </w:pPr>
          </w:p>
        </w:tc>
        <w:tc>
          <w:tcPr>
            <w:tcW w:w="1880" w:type="dxa"/>
            <w:vAlign w:val="bottom"/>
          </w:tcPr>
          <w:p>
            <w:pPr>
              <w:jc w:val="center"/>
              <w:spacing w:after="0"/>
              <w:rPr>
                <w:sz w:val="20"/>
                <w:szCs w:val="20"/>
                <w:color w:val="auto"/>
              </w:rPr>
            </w:pPr>
            <w:r>
              <w:rPr>
                <w:rFonts w:ascii="Arial" w:cs="Arial" w:eastAsia="Arial" w:hAnsi="Arial"/>
                <w:sz w:val="18"/>
                <w:szCs w:val="18"/>
                <w:color w:val="auto"/>
                <w:w w:val="98"/>
              </w:rPr>
              <w:t>May 22, 2017</w:t>
            </w:r>
          </w:p>
        </w:tc>
      </w:tr>
      <w:tr>
        <w:trPr>
          <w:trHeight w:val="527"/>
        </w:trPr>
        <w:tc>
          <w:tcPr>
            <w:tcW w:w="900" w:type="dxa"/>
            <w:vAlign w:val="bottom"/>
          </w:tcPr>
          <w:p>
            <w:pPr>
              <w:jc w:val="center"/>
              <w:spacing w:after="0"/>
              <w:rPr>
                <w:sz w:val="20"/>
                <w:szCs w:val="20"/>
                <w:color w:val="auto"/>
              </w:rPr>
            </w:pPr>
            <w:r>
              <w:rPr>
                <w:rFonts w:ascii="Arial" w:cs="Arial" w:eastAsia="Arial" w:hAnsi="Arial"/>
                <w:sz w:val="18"/>
                <w:szCs w:val="18"/>
                <w:color w:val="auto"/>
                <w:w w:val="97"/>
              </w:rPr>
              <w:t>S-1/A</w:t>
            </w:r>
          </w:p>
        </w:tc>
        <w:tc>
          <w:tcPr>
            <w:tcW w:w="1300" w:type="dxa"/>
            <w:vAlign w:val="bottom"/>
            <w:gridSpan w:val="2"/>
          </w:tcPr>
          <w:p>
            <w:pPr>
              <w:jc w:val="center"/>
              <w:spacing w:after="0"/>
              <w:rPr>
                <w:sz w:val="20"/>
                <w:szCs w:val="20"/>
                <w:color w:val="auto"/>
              </w:rPr>
            </w:pPr>
            <w:r>
              <w:rPr>
                <w:rFonts w:ascii="Arial" w:cs="Arial" w:eastAsia="Arial" w:hAnsi="Arial"/>
                <w:sz w:val="18"/>
                <w:szCs w:val="18"/>
                <w:color w:val="auto"/>
                <w:w w:val="99"/>
              </w:rPr>
              <w:t>333-217981</w:t>
            </w:r>
          </w:p>
        </w:tc>
        <w:tc>
          <w:tcPr>
            <w:tcW w:w="840" w:type="dxa"/>
            <w:vAlign w:val="bottom"/>
            <w:gridSpan w:val="2"/>
          </w:tcPr>
          <w:p>
            <w:pPr>
              <w:jc w:val="center"/>
              <w:spacing w:after="0"/>
              <w:rPr>
                <w:sz w:val="20"/>
                <w:szCs w:val="20"/>
                <w:color w:val="auto"/>
              </w:rPr>
            </w:pPr>
            <w:r>
              <w:rPr>
                <w:rFonts w:ascii="Arial" w:cs="Arial" w:eastAsia="Arial" w:hAnsi="Arial"/>
                <w:sz w:val="18"/>
                <w:szCs w:val="18"/>
                <w:color w:val="auto"/>
              </w:rPr>
              <w:t>10.27</w:t>
            </w:r>
          </w:p>
        </w:tc>
        <w:tc>
          <w:tcPr>
            <w:tcW w:w="60" w:type="dxa"/>
            <w:vAlign w:val="bottom"/>
          </w:tcPr>
          <w:p>
            <w:pPr>
              <w:spacing w:after="0"/>
              <w:rPr>
                <w:sz w:val="24"/>
                <w:szCs w:val="24"/>
                <w:color w:val="auto"/>
              </w:rPr>
            </w:pPr>
          </w:p>
        </w:tc>
        <w:tc>
          <w:tcPr>
            <w:tcW w:w="1880" w:type="dxa"/>
            <w:vAlign w:val="bottom"/>
          </w:tcPr>
          <w:p>
            <w:pPr>
              <w:jc w:val="center"/>
              <w:spacing w:after="0"/>
              <w:rPr>
                <w:sz w:val="20"/>
                <w:szCs w:val="20"/>
                <w:color w:val="auto"/>
              </w:rPr>
            </w:pPr>
            <w:r>
              <w:rPr>
                <w:rFonts w:ascii="Arial" w:cs="Arial" w:eastAsia="Arial" w:hAnsi="Arial"/>
                <w:sz w:val="18"/>
                <w:szCs w:val="18"/>
                <w:color w:val="auto"/>
                <w:w w:val="98"/>
              </w:rPr>
              <w:t>May 22, 2017</w:t>
            </w:r>
          </w:p>
        </w:tc>
      </w:tr>
      <w:tr>
        <w:trPr>
          <w:trHeight w:val="527"/>
        </w:trPr>
        <w:tc>
          <w:tcPr>
            <w:tcW w:w="900" w:type="dxa"/>
            <w:vAlign w:val="bottom"/>
          </w:tcPr>
          <w:p>
            <w:pPr>
              <w:jc w:val="center"/>
              <w:spacing w:after="0"/>
              <w:rPr>
                <w:sz w:val="20"/>
                <w:szCs w:val="20"/>
                <w:color w:val="auto"/>
              </w:rPr>
            </w:pPr>
            <w:r>
              <w:rPr>
                <w:rFonts w:ascii="Arial" w:cs="Arial" w:eastAsia="Arial" w:hAnsi="Arial"/>
                <w:sz w:val="18"/>
                <w:szCs w:val="18"/>
                <w:color w:val="auto"/>
                <w:w w:val="97"/>
              </w:rPr>
              <w:t>S-1/A</w:t>
            </w:r>
          </w:p>
        </w:tc>
        <w:tc>
          <w:tcPr>
            <w:tcW w:w="1300" w:type="dxa"/>
            <w:vAlign w:val="bottom"/>
            <w:gridSpan w:val="2"/>
          </w:tcPr>
          <w:p>
            <w:pPr>
              <w:jc w:val="center"/>
              <w:spacing w:after="0"/>
              <w:rPr>
                <w:sz w:val="20"/>
                <w:szCs w:val="20"/>
                <w:color w:val="auto"/>
              </w:rPr>
            </w:pPr>
            <w:r>
              <w:rPr>
                <w:rFonts w:ascii="Arial" w:cs="Arial" w:eastAsia="Arial" w:hAnsi="Arial"/>
                <w:sz w:val="18"/>
                <w:szCs w:val="18"/>
                <w:color w:val="auto"/>
                <w:w w:val="99"/>
              </w:rPr>
              <w:t>333-217981</w:t>
            </w:r>
          </w:p>
        </w:tc>
        <w:tc>
          <w:tcPr>
            <w:tcW w:w="840" w:type="dxa"/>
            <w:vAlign w:val="bottom"/>
            <w:gridSpan w:val="2"/>
          </w:tcPr>
          <w:p>
            <w:pPr>
              <w:jc w:val="center"/>
              <w:spacing w:after="0"/>
              <w:rPr>
                <w:sz w:val="20"/>
                <w:szCs w:val="20"/>
                <w:color w:val="auto"/>
              </w:rPr>
            </w:pPr>
            <w:r>
              <w:rPr>
                <w:rFonts w:ascii="Arial" w:cs="Arial" w:eastAsia="Arial" w:hAnsi="Arial"/>
                <w:sz w:val="18"/>
                <w:szCs w:val="18"/>
                <w:color w:val="auto"/>
              </w:rPr>
              <w:t>10.28</w:t>
            </w:r>
          </w:p>
        </w:tc>
        <w:tc>
          <w:tcPr>
            <w:tcW w:w="60" w:type="dxa"/>
            <w:vAlign w:val="bottom"/>
          </w:tcPr>
          <w:p>
            <w:pPr>
              <w:spacing w:after="0"/>
              <w:rPr>
                <w:sz w:val="24"/>
                <w:szCs w:val="24"/>
                <w:color w:val="auto"/>
              </w:rPr>
            </w:pPr>
          </w:p>
        </w:tc>
        <w:tc>
          <w:tcPr>
            <w:tcW w:w="1880" w:type="dxa"/>
            <w:vAlign w:val="bottom"/>
          </w:tcPr>
          <w:p>
            <w:pPr>
              <w:jc w:val="center"/>
              <w:spacing w:after="0"/>
              <w:rPr>
                <w:sz w:val="20"/>
                <w:szCs w:val="20"/>
                <w:color w:val="auto"/>
              </w:rPr>
            </w:pPr>
            <w:r>
              <w:rPr>
                <w:rFonts w:ascii="Arial" w:cs="Arial" w:eastAsia="Arial" w:hAnsi="Arial"/>
                <w:sz w:val="18"/>
                <w:szCs w:val="18"/>
                <w:color w:val="auto"/>
                <w:w w:val="98"/>
              </w:rPr>
              <w:t>May 22, 2017</w:t>
            </w:r>
          </w:p>
        </w:tc>
      </w:tr>
      <w:tr>
        <w:trPr>
          <w:trHeight w:val="527"/>
        </w:trPr>
        <w:tc>
          <w:tcPr>
            <w:tcW w:w="900" w:type="dxa"/>
            <w:vAlign w:val="bottom"/>
          </w:tcPr>
          <w:p>
            <w:pPr>
              <w:jc w:val="center"/>
              <w:spacing w:after="0"/>
              <w:rPr>
                <w:sz w:val="20"/>
                <w:szCs w:val="20"/>
                <w:color w:val="auto"/>
              </w:rPr>
            </w:pPr>
            <w:r>
              <w:rPr>
                <w:rFonts w:ascii="Arial" w:cs="Arial" w:eastAsia="Arial" w:hAnsi="Arial"/>
                <w:sz w:val="18"/>
                <w:szCs w:val="18"/>
                <w:color w:val="auto"/>
                <w:w w:val="99"/>
              </w:rPr>
              <w:t>8-K</w:t>
            </w:r>
          </w:p>
        </w:tc>
        <w:tc>
          <w:tcPr>
            <w:tcW w:w="1300" w:type="dxa"/>
            <w:vAlign w:val="bottom"/>
            <w:gridSpan w:val="2"/>
          </w:tcPr>
          <w:p>
            <w:pPr>
              <w:jc w:val="center"/>
              <w:spacing w:after="0"/>
              <w:rPr>
                <w:sz w:val="20"/>
                <w:szCs w:val="20"/>
                <w:color w:val="auto"/>
              </w:rPr>
            </w:pPr>
            <w:r>
              <w:rPr>
                <w:rFonts w:ascii="Arial" w:cs="Arial" w:eastAsia="Arial" w:hAnsi="Arial"/>
                <w:sz w:val="18"/>
                <w:szCs w:val="18"/>
                <w:color w:val="auto"/>
                <w:w w:val="99"/>
              </w:rPr>
              <w:t>001-37924</w:t>
            </w:r>
          </w:p>
        </w:tc>
        <w:tc>
          <w:tcPr>
            <w:tcW w:w="840" w:type="dxa"/>
            <w:vAlign w:val="bottom"/>
            <w:gridSpan w:val="2"/>
          </w:tcPr>
          <w:p>
            <w:pPr>
              <w:jc w:val="center"/>
              <w:spacing w:after="0"/>
              <w:rPr>
                <w:sz w:val="20"/>
                <w:szCs w:val="20"/>
                <w:color w:val="auto"/>
              </w:rPr>
            </w:pPr>
            <w:r>
              <w:rPr>
                <w:rFonts w:ascii="Arial" w:cs="Arial" w:eastAsia="Arial" w:hAnsi="Arial"/>
                <w:sz w:val="18"/>
                <w:szCs w:val="18"/>
                <w:color w:val="auto"/>
                <w:w w:val="96"/>
              </w:rPr>
              <w:t>10.1</w:t>
            </w:r>
          </w:p>
        </w:tc>
        <w:tc>
          <w:tcPr>
            <w:tcW w:w="60" w:type="dxa"/>
            <w:vAlign w:val="bottom"/>
          </w:tcPr>
          <w:p>
            <w:pPr>
              <w:spacing w:after="0"/>
              <w:rPr>
                <w:sz w:val="24"/>
                <w:szCs w:val="24"/>
                <w:color w:val="auto"/>
              </w:rPr>
            </w:pPr>
          </w:p>
        </w:tc>
        <w:tc>
          <w:tcPr>
            <w:tcW w:w="1880" w:type="dxa"/>
            <w:vAlign w:val="bottom"/>
          </w:tcPr>
          <w:p>
            <w:pPr>
              <w:jc w:val="center"/>
              <w:spacing w:after="0"/>
              <w:rPr>
                <w:sz w:val="20"/>
                <w:szCs w:val="20"/>
                <w:color w:val="auto"/>
              </w:rPr>
            </w:pPr>
            <w:r>
              <w:rPr>
                <w:rFonts w:ascii="Arial" w:cs="Arial" w:eastAsia="Arial" w:hAnsi="Arial"/>
                <w:sz w:val="18"/>
                <w:szCs w:val="18"/>
                <w:color w:val="auto"/>
              </w:rPr>
              <w:t>August 13, 2019</w:t>
            </w:r>
          </w:p>
        </w:tc>
      </w:tr>
      <w:tr>
        <w:trPr>
          <w:trHeight w:val="932"/>
        </w:trPr>
        <w:tc>
          <w:tcPr>
            <w:tcW w:w="900" w:type="dxa"/>
            <w:vAlign w:val="bottom"/>
          </w:tcPr>
          <w:p>
            <w:pPr>
              <w:jc w:val="center"/>
              <w:spacing w:after="0"/>
              <w:rPr>
                <w:sz w:val="20"/>
                <w:szCs w:val="20"/>
                <w:color w:val="auto"/>
              </w:rPr>
            </w:pPr>
            <w:r>
              <w:rPr>
                <w:rFonts w:ascii="Arial" w:cs="Arial" w:eastAsia="Arial" w:hAnsi="Arial"/>
                <w:sz w:val="18"/>
                <w:szCs w:val="18"/>
                <w:color w:val="auto"/>
                <w:w w:val="99"/>
              </w:rPr>
              <w:t>8-K</w:t>
            </w:r>
          </w:p>
        </w:tc>
        <w:tc>
          <w:tcPr>
            <w:tcW w:w="1300" w:type="dxa"/>
            <w:vAlign w:val="bottom"/>
            <w:gridSpan w:val="2"/>
          </w:tcPr>
          <w:p>
            <w:pPr>
              <w:jc w:val="center"/>
              <w:spacing w:after="0"/>
              <w:rPr>
                <w:sz w:val="20"/>
                <w:szCs w:val="20"/>
                <w:color w:val="auto"/>
              </w:rPr>
            </w:pPr>
            <w:r>
              <w:rPr>
                <w:rFonts w:ascii="Arial" w:cs="Arial" w:eastAsia="Arial" w:hAnsi="Arial"/>
                <w:sz w:val="18"/>
                <w:szCs w:val="18"/>
                <w:color w:val="auto"/>
                <w:w w:val="99"/>
              </w:rPr>
              <w:t>001-37924</w:t>
            </w:r>
          </w:p>
        </w:tc>
        <w:tc>
          <w:tcPr>
            <w:tcW w:w="840" w:type="dxa"/>
            <w:vAlign w:val="bottom"/>
            <w:gridSpan w:val="2"/>
          </w:tcPr>
          <w:p>
            <w:pPr>
              <w:jc w:val="center"/>
              <w:spacing w:after="0"/>
              <w:rPr>
                <w:sz w:val="20"/>
                <w:szCs w:val="20"/>
                <w:color w:val="auto"/>
              </w:rPr>
            </w:pPr>
            <w:r>
              <w:rPr>
                <w:rFonts w:ascii="Arial" w:cs="Arial" w:eastAsia="Arial" w:hAnsi="Arial"/>
                <w:sz w:val="18"/>
                <w:szCs w:val="18"/>
                <w:color w:val="auto"/>
                <w:w w:val="96"/>
              </w:rPr>
              <w:t>10.2</w:t>
            </w:r>
          </w:p>
        </w:tc>
        <w:tc>
          <w:tcPr>
            <w:tcW w:w="60" w:type="dxa"/>
            <w:vAlign w:val="bottom"/>
          </w:tcPr>
          <w:p>
            <w:pPr>
              <w:spacing w:after="0"/>
              <w:rPr>
                <w:sz w:val="24"/>
                <w:szCs w:val="24"/>
                <w:color w:val="auto"/>
              </w:rPr>
            </w:pPr>
          </w:p>
        </w:tc>
        <w:tc>
          <w:tcPr>
            <w:tcW w:w="1880" w:type="dxa"/>
            <w:vAlign w:val="bottom"/>
          </w:tcPr>
          <w:p>
            <w:pPr>
              <w:jc w:val="center"/>
              <w:spacing w:after="0"/>
              <w:rPr>
                <w:sz w:val="20"/>
                <w:szCs w:val="20"/>
                <w:color w:val="auto"/>
              </w:rPr>
            </w:pPr>
            <w:r>
              <w:rPr>
                <w:rFonts w:ascii="Arial" w:cs="Arial" w:eastAsia="Arial" w:hAnsi="Arial"/>
                <w:sz w:val="18"/>
                <w:szCs w:val="18"/>
                <w:color w:val="auto"/>
              </w:rPr>
              <w:t>August 13, 2019</w:t>
            </w:r>
          </w:p>
        </w:tc>
      </w:tr>
    </w:tbl>
    <w:p>
      <w:pPr>
        <w:sectPr>
          <w:pgSz w:w="11900" w:h="16838" w:orient="portrait"/>
          <w:cols w:equalWidth="0" w:num="2">
            <w:col w:w="6360" w:space="60"/>
            <w:col w:w="4980"/>
          </w:cols>
          <w:pgMar w:left="240" w:top="342" w:right="259" w:bottom="1440" w:gutter="0" w:footer="0" w:header="0"/>
        </w:sectPr>
      </w:pPr>
    </w:p>
    <w:bookmarkStart w:id="96" w:name="page97"/>
    <w:bookmarkEnd w:id="96"/>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80" w:type="dxa"/>
            <w:vAlign w:val="bottom"/>
          </w:tcPr>
          <w:p>
            <w:pPr>
              <w:spacing w:after="0"/>
              <w:rPr>
                <w:sz w:val="16"/>
                <w:szCs w:val="16"/>
                <w:color w:val="auto"/>
              </w:rPr>
            </w:pPr>
          </w:p>
        </w:tc>
        <w:tc>
          <w:tcPr>
            <w:tcW w:w="940" w:type="dxa"/>
            <w:vAlign w:val="bottom"/>
            <w:vMerge w:val="restart"/>
          </w:tcPr>
          <w:p>
            <w:pPr>
              <w:ind w:left="200"/>
              <w:spacing w:after="0"/>
              <w:rPr>
                <w:sz w:val="20"/>
                <w:szCs w:val="20"/>
                <w:color w:val="auto"/>
              </w:rPr>
            </w:pPr>
            <w:r>
              <w:rPr>
                <w:rFonts w:ascii="Arial" w:cs="Arial" w:eastAsia="Arial" w:hAnsi="Arial"/>
                <w:sz w:val="14"/>
                <w:szCs w:val="14"/>
                <w:b w:val="1"/>
                <w:bCs w:val="1"/>
                <w:color w:val="auto"/>
              </w:rPr>
              <w:t>Exhibit</w:t>
            </w:r>
          </w:p>
        </w:tc>
        <w:tc>
          <w:tcPr>
            <w:tcW w:w="60" w:type="dxa"/>
            <w:vAlign w:val="bottom"/>
          </w:tcPr>
          <w:p>
            <w:pPr>
              <w:spacing w:after="0"/>
              <w:rPr>
                <w:sz w:val="16"/>
                <w:szCs w:val="16"/>
                <w:color w:val="auto"/>
              </w:rPr>
            </w:pPr>
          </w:p>
        </w:tc>
        <w:tc>
          <w:tcPr>
            <w:tcW w:w="52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2560" w:type="dxa"/>
            <w:vAlign w:val="bottom"/>
            <w:tcBorders>
              <w:bottom w:val="single" w:sz="8" w:color="auto"/>
            </w:tcBorders>
            <w:gridSpan w:val="5"/>
          </w:tcPr>
          <w:p>
            <w:pPr>
              <w:ind w:left="600"/>
              <w:spacing w:after="0"/>
              <w:rPr>
                <w:sz w:val="20"/>
                <w:szCs w:val="20"/>
                <w:color w:val="auto"/>
              </w:rPr>
            </w:pPr>
            <w:r>
              <w:rPr>
                <w:rFonts w:ascii="Arial" w:cs="Arial" w:eastAsia="Arial" w:hAnsi="Arial"/>
                <w:sz w:val="14"/>
                <w:szCs w:val="14"/>
                <w:b w:val="1"/>
                <w:bCs w:val="1"/>
                <w:color w:val="auto"/>
              </w:rPr>
              <w:t>Incorporated by Reference</w:t>
            </w:r>
          </w:p>
        </w:tc>
        <w:tc>
          <w:tcPr>
            <w:tcW w:w="14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42"/>
        </w:trPr>
        <w:tc>
          <w:tcPr>
            <w:tcW w:w="80" w:type="dxa"/>
            <w:vAlign w:val="bottom"/>
          </w:tcPr>
          <w:p>
            <w:pPr>
              <w:spacing w:after="0"/>
              <w:rPr>
                <w:sz w:val="12"/>
                <w:szCs w:val="12"/>
                <w:color w:val="auto"/>
              </w:rPr>
            </w:pPr>
          </w:p>
        </w:tc>
        <w:tc>
          <w:tcPr>
            <w:tcW w:w="940" w:type="dxa"/>
            <w:vAlign w:val="bottom"/>
            <w:vMerge w:val="continue"/>
          </w:tcPr>
          <w:p>
            <w:pPr>
              <w:spacing w:after="0"/>
              <w:rPr>
                <w:sz w:val="12"/>
                <w:szCs w:val="12"/>
                <w:color w:val="auto"/>
              </w:rPr>
            </w:pPr>
          </w:p>
        </w:tc>
        <w:tc>
          <w:tcPr>
            <w:tcW w:w="60" w:type="dxa"/>
            <w:vAlign w:val="bottom"/>
          </w:tcPr>
          <w:p>
            <w:pPr>
              <w:spacing w:after="0"/>
              <w:rPr>
                <w:sz w:val="12"/>
                <w:szCs w:val="12"/>
                <w:color w:val="auto"/>
              </w:rPr>
            </w:pPr>
          </w:p>
        </w:tc>
        <w:tc>
          <w:tcPr>
            <w:tcW w:w="52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9"/>
        </w:trPr>
        <w:tc>
          <w:tcPr>
            <w:tcW w:w="80" w:type="dxa"/>
            <w:vAlign w:val="bottom"/>
          </w:tcPr>
          <w:p>
            <w:pPr>
              <w:spacing w:after="0"/>
              <w:rPr>
                <w:sz w:val="16"/>
                <w:szCs w:val="16"/>
                <w:color w:val="auto"/>
              </w:rPr>
            </w:pPr>
          </w:p>
        </w:tc>
        <w:tc>
          <w:tcPr>
            <w:tcW w:w="940" w:type="dxa"/>
            <w:vAlign w:val="bottom"/>
          </w:tcPr>
          <w:p>
            <w:pPr>
              <w:ind w:left="200"/>
              <w:spacing w:after="0"/>
              <w:rPr>
                <w:sz w:val="20"/>
                <w:szCs w:val="20"/>
                <w:color w:val="auto"/>
              </w:rPr>
            </w:pPr>
            <w:r>
              <w:rPr>
                <w:rFonts w:ascii="Arial" w:cs="Arial" w:eastAsia="Arial" w:hAnsi="Arial"/>
                <w:sz w:val="14"/>
                <w:szCs w:val="14"/>
                <w:b w:val="1"/>
                <w:bCs w:val="1"/>
                <w:color w:val="auto"/>
              </w:rPr>
              <w:t>Number</w:t>
            </w:r>
          </w:p>
        </w:tc>
        <w:tc>
          <w:tcPr>
            <w:tcW w:w="60" w:type="dxa"/>
            <w:vAlign w:val="bottom"/>
          </w:tcPr>
          <w:p>
            <w:pPr>
              <w:spacing w:after="0"/>
              <w:rPr>
                <w:sz w:val="16"/>
                <w:szCs w:val="16"/>
                <w:color w:val="auto"/>
              </w:rPr>
            </w:pPr>
          </w:p>
        </w:tc>
        <w:tc>
          <w:tcPr>
            <w:tcW w:w="5340" w:type="dxa"/>
            <w:vAlign w:val="bottom"/>
            <w:gridSpan w:val="2"/>
          </w:tcPr>
          <w:p>
            <w:pPr>
              <w:ind w:left="2240"/>
              <w:spacing w:after="0"/>
              <w:rPr>
                <w:sz w:val="20"/>
                <w:szCs w:val="20"/>
                <w:color w:val="auto"/>
              </w:rPr>
            </w:pPr>
            <w:r>
              <w:rPr>
                <w:rFonts w:ascii="Arial" w:cs="Arial" w:eastAsia="Arial" w:hAnsi="Arial"/>
                <w:sz w:val="14"/>
                <w:szCs w:val="14"/>
                <w:b w:val="1"/>
                <w:bCs w:val="1"/>
                <w:color w:val="auto"/>
              </w:rPr>
              <w:t>Description</w:t>
            </w:r>
          </w:p>
        </w:tc>
        <w:tc>
          <w:tcPr>
            <w:tcW w:w="900" w:type="dxa"/>
            <w:vAlign w:val="bottom"/>
          </w:tcPr>
          <w:p>
            <w:pPr>
              <w:ind w:left="280"/>
              <w:spacing w:after="0"/>
              <w:rPr>
                <w:sz w:val="20"/>
                <w:szCs w:val="20"/>
                <w:color w:val="auto"/>
              </w:rPr>
            </w:pPr>
            <w:r>
              <w:rPr>
                <w:rFonts w:ascii="Arial" w:cs="Arial" w:eastAsia="Arial" w:hAnsi="Arial"/>
                <w:sz w:val="14"/>
                <w:szCs w:val="14"/>
                <w:b w:val="1"/>
                <w:bCs w:val="1"/>
                <w:color w:val="auto"/>
              </w:rPr>
              <w:t>Form</w:t>
            </w:r>
          </w:p>
        </w:tc>
        <w:tc>
          <w:tcPr>
            <w:tcW w:w="80" w:type="dxa"/>
            <w:vAlign w:val="bottom"/>
          </w:tcPr>
          <w:p>
            <w:pPr>
              <w:spacing w:after="0"/>
              <w:rPr>
                <w:sz w:val="16"/>
                <w:szCs w:val="16"/>
                <w:color w:val="auto"/>
              </w:rPr>
            </w:pPr>
          </w:p>
        </w:tc>
        <w:tc>
          <w:tcPr>
            <w:tcW w:w="1220" w:type="dxa"/>
            <w:vAlign w:val="bottom"/>
          </w:tcPr>
          <w:p>
            <w:pPr>
              <w:ind w:left="360"/>
              <w:spacing w:after="0"/>
              <w:rPr>
                <w:sz w:val="20"/>
                <w:szCs w:val="20"/>
                <w:color w:val="auto"/>
              </w:rPr>
            </w:pPr>
            <w:r>
              <w:rPr>
                <w:rFonts w:ascii="Arial" w:cs="Arial" w:eastAsia="Arial" w:hAnsi="Arial"/>
                <w:sz w:val="14"/>
                <w:szCs w:val="14"/>
                <w:b w:val="1"/>
                <w:bCs w:val="1"/>
                <w:color w:val="auto"/>
              </w:rPr>
              <w:t>File No.</w:t>
            </w:r>
          </w:p>
        </w:tc>
        <w:tc>
          <w:tcPr>
            <w:tcW w:w="60" w:type="dxa"/>
            <w:vAlign w:val="bottom"/>
          </w:tcPr>
          <w:p>
            <w:pPr>
              <w:spacing w:after="0"/>
              <w:rPr>
                <w:sz w:val="16"/>
                <w:szCs w:val="16"/>
                <w:color w:val="auto"/>
              </w:rPr>
            </w:pPr>
          </w:p>
        </w:tc>
        <w:tc>
          <w:tcPr>
            <w:tcW w:w="1280" w:type="dxa"/>
            <w:vAlign w:val="bottom"/>
            <w:gridSpan w:val="3"/>
          </w:tcPr>
          <w:p>
            <w:pPr>
              <w:ind w:left="140"/>
              <w:spacing w:after="0"/>
              <w:rPr>
                <w:sz w:val="20"/>
                <w:szCs w:val="20"/>
                <w:color w:val="auto"/>
              </w:rPr>
            </w:pPr>
            <w:r>
              <w:rPr>
                <w:rFonts w:ascii="Arial" w:cs="Arial" w:eastAsia="Arial" w:hAnsi="Arial"/>
                <w:sz w:val="14"/>
                <w:szCs w:val="14"/>
                <w:b w:val="1"/>
                <w:bCs w:val="1"/>
                <w:color w:val="auto"/>
              </w:rPr>
              <w:t>Exhibit</w:t>
            </w:r>
          </w:p>
        </w:tc>
        <w:tc>
          <w:tcPr>
            <w:tcW w:w="1440" w:type="dxa"/>
            <w:vAlign w:val="bottom"/>
          </w:tcPr>
          <w:p>
            <w:pPr>
              <w:ind w:left="140"/>
              <w:spacing w:after="0"/>
              <w:rPr>
                <w:sz w:val="20"/>
                <w:szCs w:val="20"/>
                <w:color w:val="auto"/>
              </w:rPr>
            </w:pPr>
            <w:r>
              <w:rPr>
                <w:rFonts w:ascii="Arial" w:cs="Arial" w:eastAsia="Arial" w:hAnsi="Arial"/>
                <w:sz w:val="14"/>
                <w:szCs w:val="14"/>
                <w:b w:val="1"/>
                <w:bCs w:val="1"/>
                <w:color w:val="auto"/>
              </w:rPr>
              <w:t>Filing Date</w:t>
            </w:r>
          </w:p>
        </w:tc>
        <w:tc>
          <w:tcPr>
            <w:tcW w:w="0" w:type="dxa"/>
            <w:vAlign w:val="bottom"/>
          </w:tcPr>
          <w:p>
            <w:pPr>
              <w:spacing w:after="0"/>
              <w:rPr>
                <w:sz w:val="1"/>
                <w:szCs w:val="1"/>
                <w:color w:val="auto"/>
              </w:rPr>
            </w:pPr>
          </w:p>
        </w:tc>
      </w:tr>
      <w:tr>
        <w:trPr>
          <w:trHeight w:val="195"/>
        </w:trPr>
        <w:tc>
          <w:tcPr>
            <w:tcW w:w="80" w:type="dxa"/>
            <w:vAlign w:val="bottom"/>
          </w:tcPr>
          <w:p>
            <w:pPr>
              <w:spacing w:after="0"/>
              <w:rPr>
                <w:sz w:val="16"/>
                <w:szCs w:val="16"/>
                <w:color w:val="auto"/>
              </w:rPr>
            </w:pPr>
          </w:p>
        </w:tc>
        <w:tc>
          <w:tcPr>
            <w:tcW w:w="94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101.PRE**</w:t>
            </w:r>
          </w:p>
        </w:tc>
        <w:tc>
          <w:tcPr>
            <w:tcW w:w="60" w:type="dxa"/>
            <w:vAlign w:val="bottom"/>
          </w:tcPr>
          <w:p>
            <w:pPr>
              <w:spacing w:after="0"/>
              <w:rPr>
                <w:sz w:val="16"/>
                <w:szCs w:val="16"/>
                <w:color w:val="auto"/>
              </w:rPr>
            </w:pPr>
          </w:p>
        </w:tc>
        <w:tc>
          <w:tcPr>
            <w:tcW w:w="528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Inline XBRL Taxonomy Extension Presentation Linkbase</w:t>
            </w:r>
          </w:p>
        </w:tc>
        <w:tc>
          <w:tcPr>
            <w:tcW w:w="60" w:type="dxa"/>
            <w:vAlign w:val="bottom"/>
          </w:tcPr>
          <w:p>
            <w:pPr>
              <w:spacing w:after="0"/>
              <w:rPr>
                <w:sz w:val="16"/>
                <w:szCs w:val="16"/>
                <w:color w:val="auto"/>
              </w:rPr>
            </w:pPr>
          </w:p>
        </w:tc>
        <w:tc>
          <w:tcPr>
            <w:tcW w:w="900" w:type="dxa"/>
            <w:vAlign w:val="bottom"/>
            <w:tcBorders>
              <w:top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220" w:type="dxa"/>
            <w:vAlign w:val="bottom"/>
            <w:tcBorders>
              <w:top w:val="single" w:sz="8" w:color="auto"/>
            </w:tcBorders>
          </w:tcPr>
          <w:p>
            <w:pPr>
              <w:spacing w:after="0"/>
              <w:rPr>
                <w:sz w:val="16"/>
                <w:szCs w:val="16"/>
                <w:color w:val="auto"/>
              </w:rPr>
            </w:pPr>
          </w:p>
        </w:tc>
        <w:tc>
          <w:tcPr>
            <w:tcW w:w="60" w:type="dxa"/>
            <w:vAlign w:val="bottom"/>
          </w:tcPr>
          <w:p>
            <w:pPr>
              <w:spacing w:after="0"/>
              <w:rPr>
                <w:sz w:val="16"/>
                <w:szCs w:val="16"/>
                <w:color w:val="auto"/>
              </w:rPr>
            </w:pPr>
          </w:p>
        </w:tc>
        <w:tc>
          <w:tcPr>
            <w:tcW w:w="780" w:type="dxa"/>
            <w:vAlign w:val="bottom"/>
            <w:tcBorders>
              <w:top w:val="single" w:sz="8" w:color="auto"/>
            </w:tcBorders>
          </w:tcPr>
          <w:p>
            <w:pPr>
              <w:spacing w:after="0"/>
              <w:rPr>
                <w:sz w:val="16"/>
                <w:szCs w:val="16"/>
                <w:color w:val="auto"/>
              </w:rPr>
            </w:pPr>
          </w:p>
        </w:tc>
        <w:tc>
          <w:tcPr>
            <w:tcW w:w="60" w:type="dxa"/>
            <w:vAlign w:val="bottom"/>
          </w:tcPr>
          <w:p>
            <w:pPr>
              <w:spacing w:after="0"/>
              <w:rPr>
                <w:sz w:val="16"/>
                <w:szCs w:val="16"/>
                <w:color w:val="auto"/>
              </w:rPr>
            </w:pPr>
          </w:p>
        </w:tc>
        <w:tc>
          <w:tcPr>
            <w:tcW w:w="440" w:type="dxa"/>
            <w:vAlign w:val="bottom"/>
            <w:tcBorders>
              <w:top w:val="single" w:sz="8" w:color="auto"/>
            </w:tcBorders>
          </w:tcPr>
          <w:p>
            <w:pPr>
              <w:spacing w:after="0"/>
              <w:rPr>
                <w:sz w:val="16"/>
                <w:szCs w:val="16"/>
                <w:color w:val="auto"/>
              </w:rPr>
            </w:pPr>
          </w:p>
        </w:tc>
        <w:tc>
          <w:tcPr>
            <w:tcW w:w="144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5400" w:type="dxa"/>
            <w:vAlign w:val="bottom"/>
            <w:gridSpan w:val="3"/>
          </w:tcPr>
          <w:p>
            <w:pPr>
              <w:spacing w:after="0" w:line="202" w:lineRule="exact"/>
              <w:rPr>
                <w:sz w:val="20"/>
                <w:szCs w:val="20"/>
                <w:color w:val="auto"/>
              </w:rPr>
            </w:pPr>
            <w:r>
              <w:rPr>
                <w:rFonts w:ascii="Arial" w:cs="Arial" w:eastAsia="Arial" w:hAnsi="Arial"/>
                <w:sz w:val="18"/>
                <w:szCs w:val="18"/>
                <w:color w:val="auto"/>
              </w:rPr>
              <w:t>Document</w:t>
            </w:r>
          </w:p>
        </w:tc>
        <w:tc>
          <w:tcPr>
            <w:tcW w:w="9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0" w:type="dxa"/>
            <w:vAlign w:val="bottom"/>
          </w:tcPr>
          <w:p>
            <w:pPr>
              <w:spacing w:after="0"/>
              <w:rPr>
                <w:sz w:val="1"/>
                <w:szCs w:val="1"/>
                <w:color w:val="auto"/>
              </w:rPr>
            </w:pPr>
          </w:p>
        </w:tc>
      </w:tr>
    </w:tbl>
    <w:p>
      <w:pPr>
        <w:ind w:left="1020" w:right="5320" w:hanging="1012"/>
        <w:spacing w:after="0" w:line="246" w:lineRule="auto"/>
        <w:tabs>
          <w:tab w:leader="none" w:pos="1020" w:val="left"/>
        </w:tabs>
        <w:numPr>
          <w:ilvl w:val="0"/>
          <w:numId w:val="28"/>
        </w:numPr>
        <w:rPr>
          <w:rFonts w:ascii="Arial" w:cs="Arial" w:eastAsia="Arial" w:hAnsi="Arial"/>
          <w:sz w:val="18"/>
          <w:szCs w:val="18"/>
          <w:color w:val="auto"/>
        </w:rPr>
      </w:pPr>
      <w:r>
        <w:rPr>
          <w:rFonts w:ascii="Arial" w:cs="Arial" w:eastAsia="Arial" w:hAnsi="Arial"/>
          <w:sz w:val="18"/>
          <w:szCs w:val="18"/>
          <w:color w:val="auto"/>
        </w:rPr>
        <w:t>Cover Page Interactive Data File (formatted as inline XBRL and contained in Exhibit 101)</w:t>
      </w:r>
    </w:p>
    <w:p>
      <w:pPr>
        <w:spacing w:after="0" w:line="224" w:lineRule="exact"/>
        <w:rPr>
          <w:sz w:val="20"/>
          <w:szCs w:val="20"/>
          <w:color w:val="auto"/>
        </w:rPr>
      </w:pPr>
    </w:p>
    <w:p>
      <w:pPr>
        <w:ind w:left="520" w:right="60" w:hanging="512"/>
        <w:spacing w:after="0" w:line="234" w:lineRule="auto"/>
        <w:tabs>
          <w:tab w:leader="none" w:pos="520" w:val="left"/>
        </w:tabs>
        <w:numPr>
          <w:ilvl w:val="0"/>
          <w:numId w:val="29"/>
        </w:numPr>
        <w:rPr>
          <w:rFonts w:ascii="Arial" w:cs="Arial" w:eastAsia="Arial" w:hAnsi="Arial"/>
          <w:sz w:val="18"/>
          <w:szCs w:val="18"/>
          <w:color w:val="auto"/>
        </w:rPr>
      </w:pPr>
      <w:r>
        <w:rPr>
          <w:rFonts w:ascii="Arial" w:cs="Arial" w:eastAsia="Arial" w:hAnsi="Arial"/>
          <w:sz w:val="18"/>
          <w:szCs w:val="18"/>
          <w:color w:val="auto"/>
        </w:rPr>
        <w:t>Portions of this exhibit (indicated by “[***]”) have been omitted as the Company has determined the omitted information (i) is not material and (ii) would be competitively harmful to Registrant if publicly disclosed</w:t>
      </w:r>
    </w:p>
    <w:p>
      <w:pPr>
        <w:ind w:left="520" w:hanging="512"/>
        <w:spacing w:after="0" w:line="236" w:lineRule="auto"/>
        <w:tabs>
          <w:tab w:leader="none" w:pos="520" w:val="left"/>
        </w:tabs>
        <w:numPr>
          <w:ilvl w:val="0"/>
          <w:numId w:val="30"/>
        </w:numPr>
        <w:rPr>
          <w:rFonts w:ascii="Arial" w:cs="Arial" w:eastAsia="Arial" w:hAnsi="Arial"/>
          <w:sz w:val="18"/>
          <w:szCs w:val="18"/>
          <w:color w:val="auto"/>
        </w:rPr>
      </w:pPr>
      <w:r>
        <w:rPr>
          <w:rFonts w:ascii="Arial" w:cs="Arial" w:eastAsia="Arial" w:hAnsi="Arial"/>
          <w:sz w:val="18"/>
          <w:szCs w:val="18"/>
          <w:color w:val="auto"/>
        </w:rPr>
        <w:t>Filed herewith.</w:t>
      </w:r>
    </w:p>
    <w:p>
      <w:pPr>
        <w:ind w:left="520" w:hanging="512"/>
        <w:spacing w:after="0" w:line="235" w:lineRule="auto"/>
        <w:tabs>
          <w:tab w:leader="none" w:pos="520" w:val="left"/>
        </w:tabs>
        <w:numPr>
          <w:ilvl w:val="0"/>
          <w:numId w:val="31"/>
        </w:numPr>
        <w:rPr>
          <w:rFonts w:ascii="Arial" w:cs="Arial" w:eastAsia="Arial" w:hAnsi="Arial"/>
          <w:sz w:val="18"/>
          <w:szCs w:val="18"/>
          <w:color w:val="auto"/>
        </w:rPr>
      </w:pPr>
      <w:r>
        <w:rPr>
          <w:rFonts w:ascii="Arial" w:cs="Arial" w:eastAsia="Arial" w:hAnsi="Arial"/>
          <w:sz w:val="18"/>
          <w:szCs w:val="18"/>
          <w:color w:val="auto"/>
        </w:rPr>
        <w:t>Indicates management contract or compensatory plan.</w:t>
      </w:r>
    </w:p>
    <w:p>
      <w:pPr>
        <w:ind w:left="520" w:right="40" w:hanging="512"/>
        <w:spacing w:after="0" w:line="239" w:lineRule="auto"/>
        <w:tabs>
          <w:tab w:leader="none" w:pos="52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certifications attached as Exhibit 32.1 that accompany this Annual Report on Form 10-K are deemed furnished and not filed with the Securities and Exchange Commission and are not to be incorporated by reference into any filing of BlackLine, Inc. under the Securities Act of 1933, as amended, or the Securities Exchange Act of 1934, as amended, whether made before or after the date of this Annual Report on Form 10-K, irrespective of any general incorporation language contained in such filing.</w:t>
      </w:r>
    </w:p>
    <w:p>
      <w:pPr>
        <w:spacing w:after="0" w:line="288"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16.</w:t>
      </w:r>
      <w:r>
        <w:rPr>
          <w:sz w:val="20"/>
          <w:szCs w:val="20"/>
          <w:color w:val="auto"/>
        </w:rPr>
        <w:tab/>
      </w:r>
      <w:r>
        <w:rPr>
          <w:rFonts w:ascii="Arial" w:cs="Arial" w:eastAsia="Arial" w:hAnsi="Arial"/>
          <w:sz w:val="17"/>
          <w:szCs w:val="17"/>
          <w:b w:val="1"/>
          <w:bCs w:val="1"/>
          <w:i w:val="1"/>
          <w:iCs w:val="1"/>
          <w:color w:val="auto"/>
        </w:rPr>
        <w:t>Form 10-K Summary</w:t>
      </w:r>
    </w:p>
    <w:p>
      <w:pPr>
        <w:spacing w:after="0" w:line="126" w:lineRule="exact"/>
        <w:rPr>
          <w:sz w:val="20"/>
          <w:szCs w:val="20"/>
          <w:color w:val="auto"/>
        </w:rPr>
      </w:pPr>
    </w:p>
    <w:p>
      <w:pPr>
        <w:ind w:left="520"/>
        <w:spacing w:after="0"/>
        <w:rPr>
          <w:sz w:val="20"/>
          <w:szCs w:val="20"/>
          <w:color w:val="auto"/>
        </w:rPr>
      </w:pPr>
      <w:r>
        <w:rPr>
          <w:rFonts w:ascii="Arial" w:cs="Arial" w:eastAsia="Arial" w:hAnsi="Arial"/>
          <w:sz w:val="18"/>
          <w:szCs w:val="18"/>
          <w:color w:val="auto"/>
        </w:rPr>
        <w:t>Not applicable.</w:t>
      </w:r>
    </w:p>
    <w:p>
      <w:pPr>
        <w:spacing w:after="0" w:line="21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272020" cy="425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70">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00"/>
          </w:cols>
          <w:pgMar w:left="240" w:top="342" w:right="259" w:bottom="1440" w:gutter="0" w:footer="0" w:header="0"/>
        </w:sectPr>
      </w:pPr>
    </w:p>
    <w:bookmarkStart w:id="97" w:name="page98"/>
    <w:bookmarkEnd w:id="97"/>
    <w:p>
      <w:pPr>
        <w:jc w:val="center"/>
        <w:spacing w:after="0"/>
        <w:rPr>
          <w:sz w:val="20"/>
          <w:szCs w:val="20"/>
          <w:color w:val="auto"/>
        </w:rPr>
      </w:pPr>
      <w:r>
        <w:rPr>
          <w:rFonts w:ascii="Arial" w:cs="Arial" w:eastAsia="Arial" w:hAnsi="Arial"/>
          <w:sz w:val="18"/>
          <w:szCs w:val="18"/>
          <w:b w:val="1"/>
          <w:bCs w:val="1"/>
          <w:color w:val="auto"/>
        </w:rPr>
        <w:t>SIGNATURES</w:t>
      </w:r>
    </w:p>
    <w:p>
      <w:pPr>
        <w:spacing w:after="0" w:line="234" w:lineRule="exact"/>
        <w:rPr>
          <w:sz w:val="20"/>
          <w:szCs w:val="20"/>
          <w:color w:val="auto"/>
        </w:rPr>
      </w:pPr>
    </w:p>
    <w:p>
      <w:pPr>
        <w:ind w:right="120" w:firstLine="518"/>
        <w:spacing w:after="0" w:line="246" w:lineRule="auto"/>
        <w:rPr>
          <w:sz w:val="20"/>
          <w:szCs w:val="20"/>
          <w:color w:val="auto"/>
        </w:rPr>
      </w:pPr>
      <w:r>
        <w:rPr>
          <w:rFonts w:ascii="Arial" w:cs="Arial" w:eastAsia="Arial" w:hAnsi="Arial"/>
          <w:sz w:val="18"/>
          <w:szCs w:val="18"/>
          <w:color w:val="auto"/>
        </w:rPr>
        <w:t>Pursuant to the requirements of Section 13 or 15(d) of the Securities Exchange Act of 1934, the Registrant has duly caused this Annual Report on Form 10-K to be signed on its behalf by the undersigned, thereunto duly authorized, on February 27, 2020.</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BLACKLINE, INC.</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700" w:type="dxa"/>
            <w:vAlign w:val="bottom"/>
          </w:tcPr>
          <w:p>
            <w:pPr>
              <w:spacing w:after="0"/>
              <w:rPr>
                <w:sz w:val="20"/>
                <w:szCs w:val="20"/>
                <w:color w:val="auto"/>
              </w:rPr>
            </w:pPr>
            <w:r>
              <w:rPr>
                <w:rFonts w:ascii="Arial" w:cs="Arial" w:eastAsia="Arial" w:hAnsi="Arial"/>
                <w:sz w:val="18"/>
                <w:szCs w:val="18"/>
                <w:color w:val="auto"/>
              </w:rPr>
              <w:t>By:</w:t>
            </w:r>
          </w:p>
        </w:tc>
        <w:tc>
          <w:tcPr>
            <w:tcW w:w="38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Therese Tucker</w:t>
            </w:r>
          </w:p>
        </w:tc>
      </w:tr>
      <w:tr>
        <w:trPr>
          <w:trHeight w:val="195"/>
        </w:trPr>
        <w:tc>
          <w:tcPr>
            <w:tcW w:w="700" w:type="dxa"/>
            <w:vAlign w:val="bottom"/>
          </w:tcPr>
          <w:p>
            <w:pPr>
              <w:spacing w:after="0" w:line="195" w:lineRule="exact"/>
              <w:rPr>
                <w:sz w:val="20"/>
                <w:szCs w:val="20"/>
                <w:color w:val="auto"/>
              </w:rPr>
            </w:pPr>
            <w:r>
              <w:rPr>
                <w:rFonts w:ascii="Arial" w:cs="Arial" w:eastAsia="Arial" w:hAnsi="Arial"/>
                <w:sz w:val="18"/>
                <w:szCs w:val="18"/>
                <w:color w:val="auto"/>
              </w:rPr>
              <w:t>Name:</w:t>
            </w:r>
          </w:p>
        </w:tc>
        <w:tc>
          <w:tcPr>
            <w:tcW w:w="3880" w:type="dxa"/>
            <w:vAlign w:val="bottom"/>
          </w:tcPr>
          <w:p>
            <w:pPr>
              <w:spacing w:after="0" w:line="195" w:lineRule="exact"/>
              <w:rPr>
                <w:sz w:val="20"/>
                <w:szCs w:val="20"/>
                <w:color w:val="auto"/>
              </w:rPr>
            </w:pPr>
            <w:r>
              <w:rPr>
                <w:rFonts w:ascii="Arial" w:cs="Arial" w:eastAsia="Arial" w:hAnsi="Arial"/>
                <w:sz w:val="18"/>
                <w:szCs w:val="18"/>
                <w:color w:val="auto"/>
              </w:rPr>
              <w:t>Therese Tucker</w:t>
            </w:r>
          </w:p>
        </w:tc>
      </w:tr>
      <w:tr>
        <w:trPr>
          <w:trHeight w:val="217"/>
        </w:trPr>
        <w:tc>
          <w:tcPr>
            <w:tcW w:w="700" w:type="dxa"/>
            <w:vAlign w:val="bottom"/>
          </w:tcPr>
          <w:p>
            <w:pPr>
              <w:spacing w:after="0"/>
              <w:rPr>
                <w:sz w:val="20"/>
                <w:szCs w:val="20"/>
                <w:color w:val="auto"/>
              </w:rPr>
            </w:pPr>
            <w:r>
              <w:rPr>
                <w:rFonts w:ascii="Arial" w:cs="Arial" w:eastAsia="Arial" w:hAnsi="Arial"/>
                <w:sz w:val="18"/>
                <w:szCs w:val="18"/>
                <w:color w:val="auto"/>
              </w:rPr>
              <w:t>Title:</w:t>
            </w:r>
          </w:p>
        </w:tc>
        <w:tc>
          <w:tcPr>
            <w:tcW w:w="3880" w:type="dxa"/>
            <w:vAlign w:val="bottom"/>
          </w:tcPr>
          <w:p>
            <w:pPr>
              <w:spacing w:after="0"/>
              <w:rPr>
                <w:sz w:val="20"/>
                <w:szCs w:val="20"/>
                <w:color w:val="auto"/>
              </w:rPr>
            </w:pPr>
            <w:r>
              <w:rPr>
                <w:rFonts w:ascii="Arial" w:cs="Arial" w:eastAsia="Arial" w:hAnsi="Arial"/>
                <w:sz w:val="18"/>
                <w:szCs w:val="18"/>
                <w:color w:val="auto"/>
              </w:rPr>
              <w:t>Chief Executive Officer</w:t>
            </w:r>
          </w:p>
        </w:tc>
      </w:tr>
    </w:tbl>
    <w:p>
      <w:pPr>
        <w:spacing w:after="0" w:line="28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POWER OF ATTORNEY</w:t>
      </w:r>
    </w:p>
    <w:p>
      <w:pPr>
        <w:spacing w:after="0" w:line="234" w:lineRule="exact"/>
        <w:rPr>
          <w:sz w:val="20"/>
          <w:szCs w:val="20"/>
          <w:color w:val="auto"/>
        </w:rPr>
      </w:pPr>
    </w:p>
    <w:p>
      <w:pPr>
        <w:ind w:right="100" w:firstLine="518"/>
        <w:spacing w:after="0" w:line="237" w:lineRule="auto"/>
        <w:rPr>
          <w:sz w:val="20"/>
          <w:szCs w:val="20"/>
          <w:color w:val="auto"/>
        </w:rPr>
      </w:pPr>
      <w:r>
        <w:rPr>
          <w:rFonts w:ascii="Arial" w:cs="Arial" w:eastAsia="Arial" w:hAnsi="Arial"/>
          <w:sz w:val="18"/>
          <w:szCs w:val="18"/>
          <w:color w:val="auto"/>
        </w:rPr>
        <w:t>Each person whose signature appears below constitutes and appoints Therese Tucker and Mark Partin, and each of them, as his or her true and lawful attorney-in-fact and agent, with full power of substitution and resubstitution, for him or her and in his or her name, place and stead, in any and all capacities, to sign any and all amendments to this Annual Report on Form 10-K, and to file the same, with all exhibits thereto, and other documents in connection therewith, with the Securities and Exchange Commission, granting unto said attorneys-in-fact and agents, and each of them, full power and authority to do and perform each and every act and thing requisite and necessary to be done in connection therewith, as fully to all intents and purposes as he or she might or could do in person, hereby ratifying and confirming all that said attorneys-in-fact and agents, or any of them, or their or his substitutes, may lawfully do or cause to be done by virtue thereof.</w:t>
      </w:r>
    </w:p>
    <w:p>
      <w:pPr>
        <w:spacing w:after="0" w:line="203" w:lineRule="exact"/>
        <w:rPr>
          <w:sz w:val="20"/>
          <w:szCs w:val="20"/>
          <w:color w:val="auto"/>
        </w:rPr>
      </w:pPr>
    </w:p>
    <w:p>
      <w:pPr>
        <w:ind w:right="400" w:firstLine="518"/>
        <w:spacing w:after="0" w:line="246" w:lineRule="auto"/>
        <w:rPr>
          <w:sz w:val="20"/>
          <w:szCs w:val="20"/>
          <w:color w:val="auto"/>
        </w:rPr>
      </w:pPr>
      <w:r>
        <w:rPr>
          <w:rFonts w:ascii="Arial" w:cs="Arial" w:eastAsia="Arial" w:hAnsi="Arial"/>
          <w:sz w:val="18"/>
          <w:szCs w:val="18"/>
          <w:color w:val="auto"/>
        </w:rPr>
        <w:t>Pursuant to the requirements of the Securities Exchange Act of 1934, this report has been signed below by the following persons on behalf of the Company and in the capacities and on the dates indicated:</w:t>
      </w:r>
    </w:p>
    <w:p>
      <w:pPr>
        <w:spacing w:after="0" w:line="242"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32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8"/>
              </w:rPr>
              <w:t>Signature</w:t>
            </w:r>
          </w:p>
        </w:tc>
        <w:tc>
          <w:tcPr>
            <w:tcW w:w="140" w:type="dxa"/>
            <w:vAlign w:val="bottom"/>
          </w:tcPr>
          <w:p>
            <w:pPr>
              <w:spacing w:after="0"/>
              <w:rPr>
                <w:sz w:val="19"/>
                <w:szCs w:val="19"/>
                <w:color w:val="auto"/>
              </w:rPr>
            </w:pPr>
          </w:p>
        </w:tc>
        <w:tc>
          <w:tcPr>
            <w:tcW w:w="47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7"/>
              </w:rPr>
              <w:t>Title</w:t>
            </w:r>
          </w:p>
        </w:tc>
        <w:tc>
          <w:tcPr>
            <w:tcW w:w="180" w:type="dxa"/>
            <w:vAlign w:val="bottom"/>
          </w:tcPr>
          <w:p>
            <w:pPr>
              <w:spacing w:after="0"/>
              <w:rPr>
                <w:sz w:val="19"/>
                <w:szCs w:val="19"/>
                <w:color w:val="auto"/>
              </w:rPr>
            </w:pPr>
          </w:p>
        </w:tc>
        <w:tc>
          <w:tcPr>
            <w:tcW w:w="31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7"/>
              </w:rPr>
              <w:t>Date</w:t>
            </w:r>
          </w:p>
        </w:tc>
      </w:tr>
      <w:tr>
        <w:trPr>
          <w:trHeight w:val="317"/>
        </w:trPr>
        <w:tc>
          <w:tcPr>
            <w:tcW w:w="3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940" w:type="dxa"/>
            <w:vAlign w:val="bottom"/>
            <w:gridSpan w:val="2"/>
          </w:tcPr>
          <w:p>
            <w:pPr>
              <w:spacing w:after="0"/>
              <w:rPr>
                <w:sz w:val="20"/>
                <w:szCs w:val="20"/>
                <w:color w:val="auto"/>
              </w:rPr>
            </w:pPr>
            <w:r>
              <w:rPr>
                <w:rFonts w:ascii="Arial" w:cs="Arial" w:eastAsia="Arial" w:hAnsi="Arial"/>
                <w:sz w:val="18"/>
                <w:szCs w:val="18"/>
                <w:color w:val="auto"/>
              </w:rPr>
              <w:t>Chief Executive Officer and Director</w:t>
            </w:r>
          </w:p>
        </w:tc>
        <w:tc>
          <w:tcPr>
            <w:tcW w:w="3140" w:type="dxa"/>
            <w:vAlign w:val="bottom"/>
          </w:tcPr>
          <w:p>
            <w:pPr>
              <w:jc w:val="center"/>
              <w:spacing w:after="0"/>
              <w:rPr>
                <w:sz w:val="20"/>
                <w:szCs w:val="20"/>
                <w:color w:val="auto"/>
              </w:rPr>
            </w:pPr>
            <w:r>
              <w:rPr>
                <w:rFonts w:ascii="Arial" w:cs="Arial" w:eastAsia="Arial" w:hAnsi="Arial"/>
                <w:sz w:val="18"/>
                <w:szCs w:val="18"/>
                <w:color w:val="auto"/>
                <w:w w:val="99"/>
              </w:rPr>
              <w:t>February 27, 2020</w:t>
            </w:r>
          </w:p>
        </w:tc>
      </w:tr>
      <w:tr>
        <w:trPr>
          <w:trHeight w:val="203"/>
        </w:trPr>
        <w:tc>
          <w:tcPr>
            <w:tcW w:w="3200" w:type="dxa"/>
            <w:vAlign w:val="bottom"/>
            <w:tcBorders>
              <w:bottom w:val="single" w:sz="8" w:color="auto"/>
            </w:tcBorders>
          </w:tcPr>
          <w:p>
            <w:pPr>
              <w:jc w:val="center"/>
              <w:spacing w:after="0" w:line="203" w:lineRule="exact"/>
              <w:rPr>
                <w:sz w:val="20"/>
                <w:szCs w:val="20"/>
                <w:color w:val="auto"/>
              </w:rPr>
            </w:pPr>
            <w:r>
              <w:rPr>
                <w:rFonts w:ascii="Arial" w:cs="Arial" w:eastAsia="Arial" w:hAnsi="Arial"/>
                <w:sz w:val="18"/>
                <w:szCs w:val="18"/>
                <w:color w:val="auto"/>
                <w:w w:val="99"/>
              </w:rPr>
              <w:t>/s/ Therese Tucker</w:t>
            </w:r>
          </w:p>
        </w:tc>
        <w:tc>
          <w:tcPr>
            <w:tcW w:w="140" w:type="dxa"/>
            <w:vAlign w:val="bottom"/>
          </w:tcPr>
          <w:p>
            <w:pPr>
              <w:spacing w:after="0"/>
              <w:rPr>
                <w:sz w:val="17"/>
                <w:szCs w:val="17"/>
                <w:color w:val="auto"/>
              </w:rPr>
            </w:pPr>
          </w:p>
        </w:tc>
        <w:tc>
          <w:tcPr>
            <w:tcW w:w="4940" w:type="dxa"/>
            <w:vAlign w:val="bottom"/>
            <w:gridSpan w:val="2"/>
          </w:tcPr>
          <w:p>
            <w:pPr>
              <w:spacing w:after="0" w:line="203" w:lineRule="exact"/>
              <w:rPr>
                <w:sz w:val="20"/>
                <w:szCs w:val="20"/>
                <w:color w:val="auto"/>
              </w:rPr>
            </w:pPr>
            <w:r>
              <w:rPr>
                <w:rFonts w:ascii="Arial" w:cs="Arial" w:eastAsia="Arial" w:hAnsi="Arial"/>
                <w:sz w:val="18"/>
                <w:szCs w:val="18"/>
                <w:color w:val="auto"/>
              </w:rPr>
              <w:t>(Principal Executive Officer)</w:t>
            </w:r>
          </w:p>
        </w:tc>
        <w:tc>
          <w:tcPr>
            <w:tcW w:w="3140" w:type="dxa"/>
            <w:vAlign w:val="bottom"/>
          </w:tcPr>
          <w:p>
            <w:pPr>
              <w:spacing w:after="0"/>
              <w:rPr>
                <w:sz w:val="17"/>
                <w:szCs w:val="17"/>
                <w:color w:val="auto"/>
              </w:rPr>
            </w:pPr>
          </w:p>
        </w:tc>
      </w:tr>
      <w:tr>
        <w:trPr>
          <w:trHeight w:val="250"/>
        </w:trPr>
        <w:tc>
          <w:tcPr>
            <w:tcW w:w="3200" w:type="dxa"/>
            <w:vAlign w:val="bottom"/>
          </w:tcPr>
          <w:p>
            <w:pPr>
              <w:jc w:val="center"/>
              <w:spacing w:after="0"/>
              <w:rPr>
                <w:sz w:val="20"/>
                <w:szCs w:val="20"/>
                <w:color w:val="auto"/>
              </w:rPr>
            </w:pPr>
            <w:r>
              <w:rPr>
                <w:rFonts w:ascii="Arial" w:cs="Arial" w:eastAsia="Arial" w:hAnsi="Arial"/>
                <w:sz w:val="18"/>
                <w:szCs w:val="18"/>
                <w:color w:val="auto"/>
                <w:w w:val="99"/>
              </w:rPr>
              <w:t>Therese Tucker</w:t>
            </w:r>
          </w:p>
        </w:tc>
        <w:tc>
          <w:tcPr>
            <w:tcW w:w="140" w:type="dxa"/>
            <w:vAlign w:val="bottom"/>
          </w:tcPr>
          <w:p>
            <w:pPr>
              <w:spacing w:after="0"/>
              <w:rPr>
                <w:sz w:val="21"/>
                <w:szCs w:val="21"/>
                <w:color w:val="auto"/>
              </w:rPr>
            </w:pPr>
          </w:p>
        </w:tc>
        <w:tc>
          <w:tcPr>
            <w:tcW w:w="47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3140" w:type="dxa"/>
            <w:vAlign w:val="bottom"/>
          </w:tcPr>
          <w:p>
            <w:pPr>
              <w:spacing w:after="0"/>
              <w:rPr>
                <w:sz w:val="21"/>
                <w:szCs w:val="21"/>
                <w:color w:val="auto"/>
              </w:rPr>
            </w:pPr>
          </w:p>
        </w:tc>
      </w:tr>
      <w:tr>
        <w:trPr>
          <w:trHeight w:val="310"/>
        </w:trPr>
        <w:tc>
          <w:tcPr>
            <w:tcW w:w="3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940" w:type="dxa"/>
            <w:vAlign w:val="bottom"/>
            <w:gridSpan w:val="2"/>
          </w:tcPr>
          <w:p>
            <w:pPr>
              <w:spacing w:after="0"/>
              <w:rPr>
                <w:sz w:val="20"/>
                <w:szCs w:val="20"/>
                <w:color w:val="auto"/>
              </w:rPr>
            </w:pPr>
            <w:r>
              <w:rPr>
                <w:rFonts w:ascii="Arial" w:cs="Arial" w:eastAsia="Arial" w:hAnsi="Arial"/>
                <w:sz w:val="18"/>
                <w:szCs w:val="18"/>
                <w:color w:val="auto"/>
              </w:rPr>
              <w:t>Chief Financial Officer</w:t>
            </w:r>
          </w:p>
        </w:tc>
        <w:tc>
          <w:tcPr>
            <w:tcW w:w="3140" w:type="dxa"/>
            <w:vAlign w:val="bottom"/>
          </w:tcPr>
          <w:p>
            <w:pPr>
              <w:jc w:val="center"/>
              <w:spacing w:after="0"/>
              <w:rPr>
                <w:sz w:val="20"/>
                <w:szCs w:val="20"/>
                <w:color w:val="auto"/>
              </w:rPr>
            </w:pPr>
            <w:r>
              <w:rPr>
                <w:rFonts w:ascii="Arial" w:cs="Arial" w:eastAsia="Arial" w:hAnsi="Arial"/>
                <w:sz w:val="18"/>
                <w:szCs w:val="18"/>
                <w:color w:val="auto"/>
                <w:w w:val="99"/>
              </w:rPr>
              <w:t>February 27, 2020</w:t>
            </w:r>
          </w:p>
        </w:tc>
      </w:tr>
      <w:tr>
        <w:trPr>
          <w:trHeight w:val="203"/>
        </w:trPr>
        <w:tc>
          <w:tcPr>
            <w:tcW w:w="3200" w:type="dxa"/>
            <w:vAlign w:val="bottom"/>
            <w:tcBorders>
              <w:bottom w:val="single" w:sz="8" w:color="auto"/>
            </w:tcBorders>
          </w:tcPr>
          <w:p>
            <w:pPr>
              <w:jc w:val="center"/>
              <w:spacing w:after="0" w:line="203" w:lineRule="exact"/>
              <w:rPr>
                <w:sz w:val="20"/>
                <w:szCs w:val="20"/>
                <w:color w:val="auto"/>
              </w:rPr>
            </w:pPr>
            <w:r>
              <w:rPr>
                <w:rFonts w:ascii="Arial" w:cs="Arial" w:eastAsia="Arial" w:hAnsi="Arial"/>
                <w:sz w:val="18"/>
                <w:szCs w:val="18"/>
                <w:color w:val="auto"/>
                <w:w w:val="99"/>
              </w:rPr>
              <w:t>/s/ Mark Partin</w:t>
            </w:r>
          </w:p>
        </w:tc>
        <w:tc>
          <w:tcPr>
            <w:tcW w:w="140" w:type="dxa"/>
            <w:vAlign w:val="bottom"/>
          </w:tcPr>
          <w:p>
            <w:pPr>
              <w:spacing w:after="0"/>
              <w:rPr>
                <w:sz w:val="17"/>
                <w:szCs w:val="17"/>
                <w:color w:val="auto"/>
              </w:rPr>
            </w:pPr>
          </w:p>
        </w:tc>
        <w:tc>
          <w:tcPr>
            <w:tcW w:w="4940" w:type="dxa"/>
            <w:vAlign w:val="bottom"/>
            <w:gridSpan w:val="2"/>
          </w:tcPr>
          <w:p>
            <w:pPr>
              <w:spacing w:after="0" w:line="203" w:lineRule="exact"/>
              <w:rPr>
                <w:sz w:val="20"/>
                <w:szCs w:val="20"/>
                <w:color w:val="auto"/>
              </w:rPr>
            </w:pPr>
            <w:r>
              <w:rPr>
                <w:rFonts w:ascii="Arial" w:cs="Arial" w:eastAsia="Arial" w:hAnsi="Arial"/>
                <w:sz w:val="18"/>
                <w:szCs w:val="18"/>
                <w:color w:val="auto"/>
              </w:rPr>
              <w:t>(Principal Financial Officer)</w:t>
            </w:r>
          </w:p>
        </w:tc>
        <w:tc>
          <w:tcPr>
            <w:tcW w:w="3140" w:type="dxa"/>
            <w:vAlign w:val="bottom"/>
          </w:tcPr>
          <w:p>
            <w:pPr>
              <w:spacing w:after="0"/>
              <w:rPr>
                <w:sz w:val="17"/>
                <w:szCs w:val="17"/>
                <w:color w:val="auto"/>
              </w:rPr>
            </w:pPr>
          </w:p>
        </w:tc>
      </w:tr>
      <w:tr>
        <w:trPr>
          <w:trHeight w:val="250"/>
        </w:trPr>
        <w:tc>
          <w:tcPr>
            <w:tcW w:w="3200" w:type="dxa"/>
            <w:vAlign w:val="bottom"/>
          </w:tcPr>
          <w:p>
            <w:pPr>
              <w:jc w:val="center"/>
              <w:spacing w:after="0"/>
              <w:rPr>
                <w:sz w:val="20"/>
                <w:szCs w:val="20"/>
                <w:color w:val="auto"/>
              </w:rPr>
            </w:pPr>
            <w:r>
              <w:rPr>
                <w:rFonts w:ascii="Arial" w:cs="Arial" w:eastAsia="Arial" w:hAnsi="Arial"/>
                <w:sz w:val="18"/>
                <w:szCs w:val="18"/>
                <w:color w:val="auto"/>
                <w:w w:val="99"/>
              </w:rPr>
              <w:t>Mark Partin</w:t>
            </w:r>
          </w:p>
        </w:tc>
        <w:tc>
          <w:tcPr>
            <w:tcW w:w="140" w:type="dxa"/>
            <w:vAlign w:val="bottom"/>
          </w:tcPr>
          <w:p>
            <w:pPr>
              <w:spacing w:after="0"/>
              <w:rPr>
                <w:sz w:val="21"/>
                <w:szCs w:val="21"/>
                <w:color w:val="auto"/>
              </w:rPr>
            </w:pPr>
          </w:p>
        </w:tc>
        <w:tc>
          <w:tcPr>
            <w:tcW w:w="47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3140" w:type="dxa"/>
            <w:vAlign w:val="bottom"/>
          </w:tcPr>
          <w:p>
            <w:pPr>
              <w:spacing w:after="0"/>
              <w:rPr>
                <w:sz w:val="21"/>
                <w:szCs w:val="21"/>
                <w:color w:val="auto"/>
              </w:rPr>
            </w:pPr>
          </w:p>
        </w:tc>
      </w:tr>
      <w:tr>
        <w:trPr>
          <w:trHeight w:val="310"/>
        </w:trPr>
        <w:tc>
          <w:tcPr>
            <w:tcW w:w="3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940" w:type="dxa"/>
            <w:vAlign w:val="bottom"/>
            <w:gridSpan w:val="2"/>
          </w:tcPr>
          <w:p>
            <w:pPr>
              <w:spacing w:after="0"/>
              <w:rPr>
                <w:sz w:val="20"/>
                <w:szCs w:val="20"/>
                <w:color w:val="auto"/>
              </w:rPr>
            </w:pPr>
            <w:r>
              <w:rPr>
                <w:rFonts w:ascii="Arial" w:cs="Arial" w:eastAsia="Arial" w:hAnsi="Arial"/>
                <w:sz w:val="18"/>
                <w:szCs w:val="18"/>
                <w:color w:val="auto"/>
              </w:rPr>
              <w:t>Chief Accounting Officer</w:t>
            </w:r>
          </w:p>
        </w:tc>
        <w:tc>
          <w:tcPr>
            <w:tcW w:w="3140" w:type="dxa"/>
            <w:vAlign w:val="bottom"/>
          </w:tcPr>
          <w:p>
            <w:pPr>
              <w:jc w:val="center"/>
              <w:spacing w:after="0"/>
              <w:rPr>
                <w:sz w:val="20"/>
                <w:szCs w:val="20"/>
                <w:color w:val="auto"/>
              </w:rPr>
            </w:pPr>
            <w:r>
              <w:rPr>
                <w:rFonts w:ascii="Arial" w:cs="Arial" w:eastAsia="Arial" w:hAnsi="Arial"/>
                <w:sz w:val="18"/>
                <w:szCs w:val="18"/>
                <w:color w:val="auto"/>
                <w:w w:val="99"/>
              </w:rPr>
              <w:t>February 27, 2020</w:t>
            </w:r>
          </w:p>
        </w:tc>
      </w:tr>
      <w:tr>
        <w:trPr>
          <w:trHeight w:val="203"/>
        </w:trPr>
        <w:tc>
          <w:tcPr>
            <w:tcW w:w="3200" w:type="dxa"/>
            <w:vAlign w:val="bottom"/>
            <w:tcBorders>
              <w:bottom w:val="single" w:sz="8" w:color="auto"/>
            </w:tcBorders>
          </w:tcPr>
          <w:p>
            <w:pPr>
              <w:jc w:val="center"/>
              <w:spacing w:after="0" w:line="203" w:lineRule="exact"/>
              <w:rPr>
                <w:sz w:val="20"/>
                <w:szCs w:val="20"/>
                <w:color w:val="auto"/>
              </w:rPr>
            </w:pPr>
            <w:r>
              <w:rPr>
                <w:rFonts w:ascii="Arial" w:cs="Arial" w:eastAsia="Arial" w:hAnsi="Arial"/>
                <w:sz w:val="18"/>
                <w:szCs w:val="18"/>
                <w:color w:val="auto"/>
              </w:rPr>
              <w:t>/s/ Patrick Villanova</w:t>
            </w:r>
          </w:p>
        </w:tc>
        <w:tc>
          <w:tcPr>
            <w:tcW w:w="140" w:type="dxa"/>
            <w:vAlign w:val="bottom"/>
          </w:tcPr>
          <w:p>
            <w:pPr>
              <w:spacing w:after="0"/>
              <w:rPr>
                <w:sz w:val="17"/>
                <w:szCs w:val="17"/>
                <w:color w:val="auto"/>
              </w:rPr>
            </w:pPr>
          </w:p>
        </w:tc>
        <w:tc>
          <w:tcPr>
            <w:tcW w:w="4940" w:type="dxa"/>
            <w:vAlign w:val="bottom"/>
            <w:gridSpan w:val="2"/>
          </w:tcPr>
          <w:p>
            <w:pPr>
              <w:spacing w:after="0" w:line="203" w:lineRule="exact"/>
              <w:rPr>
                <w:sz w:val="20"/>
                <w:szCs w:val="20"/>
                <w:color w:val="auto"/>
              </w:rPr>
            </w:pPr>
            <w:r>
              <w:rPr>
                <w:rFonts w:ascii="Arial" w:cs="Arial" w:eastAsia="Arial" w:hAnsi="Arial"/>
                <w:sz w:val="18"/>
                <w:szCs w:val="18"/>
                <w:color w:val="auto"/>
              </w:rPr>
              <w:t>(Principal Accounting Officer)</w:t>
            </w:r>
          </w:p>
        </w:tc>
        <w:tc>
          <w:tcPr>
            <w:tcW w:w="3140" w:type="dxa"/>
            <w:vAlign w:val="bottom"/>
          </w:tcPr>
          <w:p>
            <w:pPr>
              <w:spacing w:after="0"/>
              <w:rPr>
                <w:sz w:val="17"/>
                <w:szCs w:val="17"/>
                <w:color w:val="auto"/>
              </w:rPr>
            </w:pPr>
          </w:p>
        </w:tc>
      </w:tr>
      <w:tr>
        <w:trPr>
          <w:trHeight w:val="250"/>
        </w:trPr>
        <w:tc>
          <w:tcPr>
            <w:tcW w:w="3200" w:type="dxa"/>
            <w:vAlign w:val="bottom"/>
          </w:tcPr>
          <w:p>
            <w:pPr>
              <w:jc w:val="center"/>
              <w:spacing w:after="0"/>
              <w:rPr>
                <w:sz w:val="20"/>
                <w:szCs w:val="20"/>
                <w:color w:val="auto"/>
              </w:rPr>
            </w:pPr>
            <w:r>
              <w:rPr>
                <w:rFonts w:ascii="Arial" w:cs="Arial" w:eastAsia="Arial" w:hAnsi="Arial"/>
                <w:sz w:val="18"/>
                <w:szCs w:val="18"/>
                <w:color w:val="auto"/>
              </w:rPr>
              <w:t>Patrick Villanova</w:t>
            </w:r>
          </w:p>
        </w:tc>
        <w:tc>
          <w:tcPr>
            <w:tcW w:w="140" w:type="dxa"/>
            <w:vAlign w:val="bottom"/>
          </w:tcPr>
          <w:p>
            <w:pPr>
              <w:spacing w:after="0"/>
              <w:rPr>
                <w:sz w:val="21"/>
                <w:szCs w:val="21"/>
                <w:color w:val="auto"/>
              </w:rPr>
            </w:pPr>
          </w:p>
        </w:tc>
        <w:tc>
          <w:tcPr>
            <w:tcW w:w="47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3140" w:type="dxa"/>
            <w:vAlign w:val="bottom"/>
          </w:tcPr>
          <w:p>
            <w:pPr>
              <w:spacing w:after="0"/>
              <w:rPr>
                <w:sz w:val="21"/>
                <w:szCs w:val="21"/>
                <w:color w:val="auto"/>
              </w:rPr>
            </w:pPr>
          </w:p>
        </w:tc>
      </w:tr>
      <w:tr>
        <w:trPr>
          <w:trHeight w:val="351"/>
        </w:trPr>
        <w:tc>
          <w:tcPr>
            <w:tcW w:w="32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9"/>
              </w:rPr>
              <w:t>/s/ Jason Babcoke</w:t>
            </w:r>
          </w:p>
        </w:tc>
        <w:tc>
          <w:tcPr>
            <w:tcW w:w="140" w:type="dxa"/>
            <w:vAlign w:val="bottom"/>
          </w:tcPr>
          <w:p>
            <w:pPr>
              <w:spacing w:after="0"/>
              <w:rPr>
                <w:sz w:val="24"/>
                <w:szCs w:val="24"/>
                <w:color w:val="auto"/>
              </w:rPr>
            </w:pPr>
          </w:p>
        </w:tc>
        <w:tc>
          <w:tcPr>
            <w:tcW w:w="4940" w:type="dxa"/>
            <w:vAlign w:val="bottom"/>
            <w:gridSpan w:val="2"/>
          </w:tcPr>
          <w:p>
            <w:pPr>
              <w:spacing w:after="0"/>
              <w:rPr>
                <w:sz w:val="20"/>
                <w:szCs w:val="20"/>
                <w:color w:val="auto"/>
              </w:rPr>
            </w:pPr>
            <w:r>
              <w:rPr>
                <w:rFonts w:ascii="Arial" w:cs="Arial" w:eastAsia="Arial" w:hAnsi="Arial"/>
                <w:sz w:val="18"/>
                <w:szCs w:val="18"/>
                <w:color w:val="auto"/>
              </w:rPr>
              <w:t>Director</w:t>
            </w:r>
          </w:p>
        </w:tc>
        <w:tc>
          <w:tcPr>
            <w:tcW w:w="3140" w:type="dxa"/>
            <w:vAlign w:val="bottom"/>
          </w:tcPr>
          <w:p>
            <w:pPr>
              <w:jc w:val="center"/>
              <w:spacing w:after="0"/>
              <w:rPr>
                <w:sz w:val="20"/>
                <w:szCs w:val="20"/>
                <w:color w:val="auto"/>
              </w:rPr>
            </w:pPr>
            <w:r>
              <w:rPr>
                <w:rFonts w:ascii="Arial" w:cs="Arial" w:eastAsia="Arial" w:hAnsi="Arial"/>
                <w:sz w:val="18"/>
                <w:szCs w:val="18"/>
                <w:color w:val="auto"/>
                <w:w w:val="99"/>
              </w:rPr>
              <w:t>February 27, 2020</w:t>
            </w:r>
          </w:p>
        </w:tc>
      </w:tr>
      <w:tr>
        <w:trPr>
          <w:trHeight w:val="250"/>
        </w:trPr>
        <w:tc>
          <w:tcPr>
            <w:tcW w:w="3200" w:type="dxa"/>
            <w:vAlign w:val="bottom"/>
          </w:tcPr>
          <w:p>
            <w:pPr>
              <w:jc w:val="center"/>
              <w:spacing w:after="0"/>
              <w:rPr>
                <w:sz w:val="20"/>
                <w:szCs w:val="20"/>
                <w:color w:val="auto"/>
              </w:rPr>
            </w:pPr>
            <w:r>
              <w:rPr>
                <w:rFonts w:ascii="Arial" w:cs="Arial" w:eastAsia="Arial" w:hAnsi="Arial"/>
                <w:sz w:val="18"/>
                <w:szCs w:val="18"/>
                <w:color w:val="auto"/>
                <w:w w:val="99"/>
              </w:rPr>
              <w:t>Jason Babcoke</w:t>
            </w:r>
          </w:p>
        </w:tc>
        <w:tc>
          <w:tcPr>
            <w:tcW w:w="140" w:type="dxa"/>
            <w:vAlign w:val="bottom"/>
          </w:tcPr>
          <w:p>
            <w:pPr>
              <w:spacing w:after="0"/>
              <w:rPr>
                <w:sz w:val="21"/>
                <w:szCs w:val="21"/>
                <w:color w:val="auto"/>
              </w:rPr>
            </w:pPr>
          </w:p>
        </w:tc>
        <w:tc>
          <w:tcPr>
            <w:tcW w:w="47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3140" w:type="dxa"/>
            <w:vAlign w:val="bottom"/>
          </w:tcPr>
          <w:p>
            <w:pPr>
              <w:spacing w:after="0"/>
              <w:rPr>
                <w:sz w:val="21"/>
                <w:szCs w:val="21"/>
                <w:color w:val="auto"/>
              </w:rPr>
            </w:pPr>
          </w:p>
        </w:tc>
      </w:tr>
      <w:tr>
        <w:trPr>
          <w:trHeight w:val="351"/>
        </w:trPr>
        <w:tc>
          <w:tcPr>
            <w:tcW w:w="32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9"/>
              </w:rPr>
              <w:t>/s/ John Brennan</w:t>
            </w:r>
          </w:p>
        </w:tc>
        <w:tc>
          <w:tcPr>
            <w:tcW w:w="140" w:type="dxa"/>
            <w:vAlign w:val="bottom"/>
          </w:tcPr>
          <w:p>
            <w:pPr>
              <w:spacing w:after="0"/>
              <w:rPr>
                <w:sz w:val="24"/>
                <w:szCs w:val="24"/>
                <w:color w:val="auto"/>
              </w:rPr>
            </w:pPr>
          </w:p>
        </w:tc>
        <w:tc>
          <w:tcPr>
            <w:tcW w:w="4940" w:type="dxa"/>
            <w:vAlign w:val="bottom"/>
            <w:gridSpan w:val="2"/>
          </w:tcPr>
          <w:p>
            <w:pPr>
              <w:spacing w:after="0"/>
              <w:rPr>
                <w:sz w:val="20"/>
                <w:szCs w:val="20"/>
                <w:color w:val="auto"/>
              </w:rPr>
            </w:pPr>
            <w:r>
              <w:rPr>
                <w:rFonts w:ascii="Arial" w:cs="Arial" w:eastAsia="Arial" w:hAnsi="Arial"/>
                <w:sz w:val="18"/>
                <w:szCs w:val="18"/>
                <w:color w:val="auto"/>
              </w:rPr>
              <w:t>Director</w:t>
            </w:r>
          </w:p>
        </w:tc>
        <w:tc>
          <w:tcPr>
            <w:tcW w:w="3140" w:type="dxa"/>
            <w:vAlign w:val="bottom"/>
          </w:tcPr>
          <w:p>
            <w:pPr>
              <w:jc w:val="center"/>
              <w:spacing w:after="0"/>
              <w:rPr>
                <w:sz w:val="20"/>
                <w:szCs w:val="20"/>
                <w:color w:val="auto"/>
              </w:rPr>
            </w:pPr>
            <w:r>
              <w:rPr>
                <w:rFonts w:ascii="Arial" w:cs="Arial" w:eastAsia="Arial" w:hAnsi="Arial"/>
                <w:sz w:val="18"/>
                <w:szCs w:val="18"/>
                <w:color w:val="auto"/>
                <w:w w:val="99"/>
              </w:rPr>
              <w:t>February 27, 2020</w:t>
            </w:r>
          </w:p>
        </w:tc>
      </w:tr>
      <w:tr>
        <w:trPr>
          <w:trHeight w:val="250"/>
        </w:trPr>
        <w:tc>
          <w:tcPr>
            <w:tcW w:w="3200" w:type="dxa"/>
            <w:vAlign w:val="bottom"/>
          </w:tcPr>
          <w:p>
            <w:pPr>
              <w:jc w:val="center"/>
              <w:spacing w:after="0"/>
              <w:rPr>
                <w:sz w:val="20"/>
                <w:szCs w:val="20"/>
                <w:color w:val="auto"/>
              </w:rPr>
            </w:pPr>
            <w:r>
              <w:rPr>
                <w:rFonts w:ascii="Arial" w:cs="Arial" w:eastAsia="Arial" w:hAnsi="Arial"/>
                <w:sz w:val="18"/>
                <w:szCs w:val="18"/>
                <w:color w:val="auto"/>
                <w:w w:val="99"/>
              </w:rPr>
              <w:t>John Brennan</w:t>
            </w:r>
          </w:p>
        </w:tc>
        <w:tc>
          <w:tcPr>
            <w:tcW w:w="140" w:type="dxa"/>
            <w:vAlign w:val="bottom"/>
          </w:tcPr>
          <w:p>
            <w:pPr>
              <w:spacing w:after="0"/>
              <w:rPr>
                <w:sz w:val="21"/>
                <w:szCs w:val="21"/>
                <w:color w:val="auto"/>
              </w:rPr>
            </w:pPr>
          </w:p>
        </w:tc>
        <w:tc>
          <w:tcPr>
            <w:tcW w:w="47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3140" w:type="dxa"/>
            <w:vAlign w:val="bottom"/>
          </w:tcPr>
          <w:p>
            <w:pPr>
              <w:spacing w:after="0"/>
              <w:rPr>
                <w:sz w:val="21"/>
                <w:szCs w:val="21"/>
                <w:color w:val="auto"/>
              </w:rPr>
            </w:pPr>
          </w:p>
        </w:tc>
      </w:tr>
      <w:tr>
        <w:trPr>
          <w:trHeight w:val="351"/>
        </w:trPr>
        <w:tc>
          <w:tcPr>
            <w:tcW w:w="32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8"/>
              </w:rPr>
              <w:t>/s/ William Griffith</w:t>
            </w:r>
          </w:p>
        </w:tc>
        <w:tc>
          <w:tcPr>
            <w:tcW w:w="140" w:type="dxa"/>
            <w:vAlign w:val="bottom"/>
          </w:tcPr>
          <w:p>
            <w:pPr>
              <w:spacing w:after="0"/>
              <w:rPr>
                <w:sz w:val="24"/>
                <w:szCs w:val="24"/>
                <w:color w:val="auto"/>
              </w:rPr>
            </w:pPr>
          </w:p>
        </w:tc>
        <w:tc>
          <w:tcPr>
            <w:tcW w:w="4940" w:type="dxa"/>
            <w:vAlign w:val="bottom"/>
            <w:gridSpan w:val="2"/>
          </w:tcPr>
          <w:p>
            <w:pPr>
              <w:spacing w:after="0"/>
              <w:rPr>
                <w:sz w:val="20"/>
                <w:szCs w:val="20"/>
                <w:color w:val="auto"/>
              </w:rPr>
            </w:pPr>
            <w:r>
              <w:rPr>
                <w:rFonts w:ascii="Arial" w:cs="Arial" w:eastAsia="Arial" w:hAnsi="Arial"/>
                <w:sz w:val="18"/>
                <w:szCs w:val="18"/>
                <w:color w:val="auto"/>
              </w:rPr>
              <w:t>Director</w:t>
            </w:r>
          </w:p>
        </w:tc>
        <w:tc>
          <w:tcPr>
            <w:tcW w:w="3140" w:type="dxa"/>
            <w:vAlign w:val="bottom"/>
          </w:tcPr>
          <w:p>
            <w:pPr>
              <w:jc w:val="center"/>
              <w:spacing w:after="0"/>
              <w:rPr>
                <w:sz w:val="20"/>
                <w:szCs w:val="20"/>
                <w:color w:val="auto"/>
              </w:rPr>
            </w:pPr>
            <w:r>
              <w:rPr>
                <w:rFonts w:ascii="Arial" w:cs="Arial" w:eastAsia="Arial" w:hAnsi="Arial"/>
                <w:sz w:val="18"/>
                <w:szCs w:val="18"/>
                <w:color w:val="auto"/>
                <w:w w:val="99"/>
              </w:rPr>
              <w:t>February 27, 2020</w:t>
            </w:r>
          </w:p>
        </w:tc>
      </w:tr>
      <w:tr>
        <w:trPr>
          <w:trHeight w:val="250"/>
        </w:trPr>
        <w:tc>
          <w:tcPr>
            <w:tcW w:w="3200" w:type="dxa"/>
            <w:vAlign w:val="bottom"/>
          </w:tcPr>
          <w:p>
            <w:pPr>
              <w:jc w:val="center"/>
              <w:spacing w:after="0"/>
              <w:rPr>
                <w:sz w:val="20"/>
                <w:szCs w:val="20"/>
                <w:color w:val="auto"/>
              </w:rPr>
            </w:pPr>
            <w:r>
              <w:rPr>
                <w:rFonts w:ascii="Arial" w:cs="Arial" w:eastAsia="Arial" w:hAnsi="Arial"/>
                <w:sz w:val="18"/>
                <w:szCs w:val="18"/>
                <w:color w:val="auto"/>
                <w:w w:val="98"/>
              </w:rPr>
              <w:t>William Griffith</w:t>
            </w:r>
          </w:p>
        </w:tc>
        <w:tc>
          <w:tcPr>
            <w:tcW w:w="140" w:type="dxa"/>
            <w:vAlign w:val="bottom"/>
          </w:tcPr>
          <w:p>
            <w:pPr>
              <w:spacing w:after="0"/>
              <w:rPr>
                <w:sz w:val="21"/>
                <w:szCs w:val="21"/>
                <w:color w:val="auto"/>
              </w:rPr>
            </w:pPr>
          </w:p>
        </w:tc>
        <w:tc>
          <w:tcPr>
            <w:tcW w:w="47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3140" w:type="dxa"/>
            <w:vAlign w:val="bottom"/>
          </w:tcPr>
          <w:p>
            <w:pPr>
              <w:spacing w:after="0"/>
              <w:rPr>
                <w:sz w:val="21"/>
                <w:szCs w:val="21"/>
                <w:color w:val="auto"/>
              </w:rPr>
            </w:pPr>
          </w:p>
        </w:tc>
      </w:tr>
      <w:tr>
        <w:trPr>
          <w:trHeight w:val="351"/>
        </w:trPr>
        <w:tc>
          <w:tcPr>
            <w:tcW w:w="32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9"/>
              </w:rPr>
              <w:t>/s/ Owen Ryan</w:t>
            </w:r>
          </w:p>
        </w:tc>
        <w:tc>
          <w:tcPr>
            <w:tcW w:w="140" w:type="dxa"/>
            <w:vAlign w:val="bottom"/>
          </w:tcPr>
          <w:p>
            <w:pPr>
              <w:spacing w:after="0"/>
              <w:rPr>
                <w:sz w:val="24"/>
                <w:szCs w:val="24"/>
                <w:color w:val="auto"/>
              </w:rPr>
            </w:pPr>
          </w:p>
        </w:tc>
        <w:tc>
          <w:tcPr>
            <w:tcW w:w="4940" w:type="dxa"/>
            <w:vAlign w:val="bottom"/>
            <w:gridSpan w:val="2"/>
          </w:tcPr>
          <w:p>
            <w:pPr>
              <w:spacing w:after="0"/>
              <w:rPr>
                <w:sz w:val="20"/>
                <w:szCs w:val="20"/>
                <w:color w:val="auto"/>
              </w:rPr>
            </w:pPr>
            <w:r>
              <w:rPr>
                <w:rFonts w:ascii="Arial" w:cs="Arial" w:eastAsia="Arial" w:hAnsi="Arial"/>
                <w:sz w:val="18"/>
                <w:szCs w:val="18"/>
                <w:color w:val="auto"/>
              </w:rPr>
              <w:t>Director</w:t>
            </w:r>
          </w:p>
        </w:tc>
        <w:tc>
          <w:tcPr>
            <w:tcW w:w="3140" w:type="dxa"/>
            <w:vAlign w:val="bottom"/>
          </w:tcPr>
          <w:p>
            <w:pPr>
              <w:jc w:val="center"/>
              <w:spacing w:after="0"/>
              <w:rPr>
                <w:sz w:val="20"/>
                <w:szCs w:val="20"/>
                <w:color w:val="auto"/>
              </w:rPr>
            </w:pPr>
            <w:r>
              <w:rPr>
                <w:rFonts w:ascii="Arial" w:cs="Arial" w:eastAsia="Arial" w:hAnsi="Arial"/>
                <w:sz w:val="18"/>
                <w:szCs w:val="18"/>
                <w:color w:val="auto"/>
                <w:w w:val="99"/>
              </w:rPr>
              <w:t>February 27, 2020</w:t>
            </w:r>
          </w:p>
        </w:tc>
      </w:tr>
      <w:tr>
        <w:trPr>
          <w:trHeight w:val="250"/>
        </w:trPr>
        <w:tc>
          <w:tcPr>
            <w:tcW w:w="3200" w:type="dxa"/>
            <w:vAlign w:val="bottom"/>
          </w:tcPr>
          <w:p>
            <w:pPr>
              <w:jc w:val="center"/>
              <w:spacing w:after="0"/>
              <w:rPr>
                <w:sz w:val="20"/>
                <w:szCs w:val="20"/>
                <w:color w:val="auto"/>
              </w:rPr>
            </w:pPr>
            <w:r>
              <w:rPr>
                <w:rFonts w:ascii="Arial" w:cs="Arial" w:eastAsia="Arial" w:hAnsi="Arial"/>
                <w:sz w:val="18"/>
                <w:szCs w:val="18"/>
                <w:color w:val="auto"/>
                <w:w w:val="99"/>
              </w:rPr>
              <w:t>Owen Ryan</w:t>
            </w:r>
          </w:p>
        </w:tc>
        <w:tc>
          <w:tcPr>
            <w:tcW w:w="140" w:type="dxa"/>
            <w:vAlign w:val="bottom"/>
          </w:tcPr>
          <w:p>
            <w:pPr>
              <w:spacing w:after="0"/>
              <w:rPr>
                <w:sz w:val="21"/>
                <w:szCs w:val="21"/>
                <w:color w:val="auto"/>
              </w:rPr>
            </w:pPr>
          </w:p>
        </w:tc>
        <w:tc>
          <w:tcPr>
            <w:tcW w:w="47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3140" w:type="dxa"/>
            <w:vAlign w:val="bottom"/>
          </w:tcPr>
          <w:p>
            <w:pPr>
              <w:spacing w:after="0"/>
              <w:rPr>
                <w:sz w:val="21"/>
                <w:szCs w:val="21"/>
                <w:color w:val="auto"/>
              </w:rPr>
            </w:pPr>
          </w:p>
        </w:tc>
      </w:tr>
      <w:tr>
        <w:trPr>
          <w:trHeight w:val="351"/>
        </w:trPr>
        <w:tc>
          <w:tcPr>
            <w:tcW w:w="32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9"/>
              </w:rPr>
              <w:t>/s/ Graham Smith</w:t>
            </w:r>
          </w:p>
        </w:tc>
        <w:tc>
          <w:tcPr>
            <w:tcW w:w="140" w:type="dxa"/>
            <w:vAlign w:val="bottom"/>
          </w:tcPr>
          <w:p>
            <w:pPr>
              <w:spacing w:after="0"/>
              <w:rPr>
                <w:sz w:val="24"/>
                <w:szCs w:val="24"/>
                <w:color w:val="auto"/>
              </w:rPr>
            </w:pPr>
          </w:p>
        </w:tc>
        <w:tc>
          <w:tcPr>
            <w:tcW w:w="4940" w:type="dxa"/>
            <w:vAlign w:val="bottom"/>
            <w:gridSpan w:val="2"/>
          </w:tcPr>
          <w:p>
            <w:pPr>
              <w:spacing w:after="0"/>
              <w:rPr>
                <w:sz w:val="20"/>
                <w:szCs w:val="20"/>
                <w:color w:val="auto"/>
              </w:rPr>
            </w:pPr>
            <w:r>
              <w:rPr>
                <w:rFonts w:ascii="Arial" w:cs="Arial" w:eastAsia="Arial" w:hAnsi="Arial"/>
                <w:sz w:val="18"/>
                <w:szCs w:val="18"/>
                <w:color w:val="auto"/>
              </w:rPr>
              <w:t>Director</w:t>
            </w:r>
          </w:p>
        </w:tc>
        <w:tc>
          <w:tcPr>
            <w:tcW w:w="3140" w:type="dxa"/>
            <w:vAlign w:val="bottom"/>
          </w:tcPr>
          <w:p>
            <w:pPr>
              <w:jc w:val="center"/>
              <w:spacing w:after="0"/>
              <w:rPr>
                <w:sz w:val="20"/>
                <w:szCs w:val="20"/>
                <w:color w:val="auto"/>
              </w:rPr>
            </w:pPr>
            <w:r>
              <w:rPr>
                <w:rFonts w:ascii="Arial" w:cs="Arial" w:eastAsia="Arial" w:hAnsi="Arial"/>
                <w:sz w:val="18"/>
                <w:szCs w:val="18"/>
                <w:color w:val="auto"/>
                <w:w w:val="99"/>
              </w:rPr>
              <w:t>February 27, 2020</w:t>
            </w:r>
          </w:p>
        </w:tc>
      </w:tr>
      <w:tr>
        <w:trPr>
          <w:trHeight w:val="250"/>
        </w:trPr>
        <w:tc>
          <w:tcPr>
            <w:tcW w:w="3200" w:type="dxa"/>
            <w:vAlign w:val="bottom"/>
          </w:tcPr>
          <w:p>
            <w:pPr>
              <w:jc w:val="center"/>
              <w:spacing w:after="0"/>
              <w:rPr>
                <w:sz w:val="20"/>
                <w:szCs w:val="20"/>
                <w:color w:val="auto"/>
              </w:rPr>
            </w:pPr>
            <w:r>
              <w:rPr>
                <w:rFonts w:ascii="Arial" w:cs="Arial" w:eastAsia="Arial" w:hAnsi="Arial"/>
                <w:sz w:val="18"/>
                <w:szCs w:val="18"/>
                <w:color w:val="auto"/>
                <w:w w:val="99"/>
              </w:rPr>
              <w:t>Graham Smith</w:t>
            </w:r>
          </w:p>
        </w:tc>
        <w:tc>
          <w:tcPr>
            <w:tcW w:w="140" w:type="dxa"/>
            <w:vAlign w:val="bottom"/>
          </w:tcPr>
          <w:p>
            <w:pPr>
              <w:spacing w:after="0"/>
              <w:rPr>
                <w:sz w:val="21"/>
                <w:szCs w:val="21"/>
                <w:color w:val="auto"/>
              </w:rPr>
            </w:pPr>
          </w:p>
        </w:tc>
        <w:tc>
          <w:tcPr>
            <w:tcW w:w="47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3140" w:type="dxa"/>
            <w:vAlign w:val="bottom"/>
          </w:tcPr>
          <w:p>
            <w:pPr>
              <w:spacing w:after="0"/>
              <w:rPr>
                <w:sz w:val="21"/>
                <w:szCs w:val="21"/>
                <w:color w:val="auto"/>
              </w:rPr>
            </w:pPr>
          </w:p>
        </w:tc>
      </w:tr>
      <w:tr>
        <w:trPr>
          <w:trHeight w:val="351"/>
        </w:trPr>
        <w:tc>
          <w:tcPr>
            <w:tcW w:w="32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rPr>
              <w:t>/s/ Mario Spanicciati</w:t>
            </w:r>
          </w:p>
        </w:tc>
        <w:tc>
          <w:tcPr>
            <w:tcW w:w="140" w:type="dxa"/>
            <w:vAlign w:val="bottom"/>
          </w:tcPr>
          <w:p>
            <w:pPr>
              <w:spacing w:after="0"/>
              <w:rPr>
                <w:sz w:val="24"/>
                <w:szCs w:val="24"/>
                <w:color w:val="auto"/>
              </w:rPr>
            </w:pPr>
          </w:p>
        </w:tc>
        <w:tc>
          <w:tcPr>
            <w:tcW w:w="4940" w:type="dxa"/>
            <w:vAlign w:val="bottom"/>
            <w:gridSpan w:val="2"/>
          </w:tcPr>
          <w:p>
            <w:pPr>
              <w:spacing w:after="0"/>
              <w:rPr>
                <w:sz w:val="20"/>
                <w:szCs w:val="20"/>
                <w:color w:val="auto"/>
              </w:rPr>
            </w:pPr>
            <w:r>
              <w:rPr>
                <w:rFonts w:ascii="Arial" w:cs="Arial" w:eastAsia="Arial" w:hAnsi="Arial"/>
                <w:sz w:val="18"/>
                <w:szCs w:val="18"/>
                <w:color w:val="auto"/>
              </w:rPr>
              <w:t>Director</w:t>
            </w:r>
          </w:p>
        </w:tc>
        <w:tc>
          <w:tcPr>
            <w:tcW w:w="3140" w:type="dxa"/>
            <w:vAlign w:val="bottom"/>
          </w:tcPr>
          <w:p>
            <w:pPr>
              <w:jc w:val="center"/>
              <w:spacing w:after="0"/>
              <w:rPr>
                <w:sz w:val="20"/>
                <w:szCs w:val="20"/>
                <w:color w:val="auto"/>
              </w:rPr>
            </w:pPr>
            <w:r>
              <w:rPr>
                <w:rFonts w:ascii="Arial" w:cs="Arial" w:eastAsia="Arial" w:hAnsi="Arial"/>
                <w:sz w:val="18"/>
                <w:szCs w:val="18"/>
                <w:color w:val="auto"/>
                <w:w w:val="99"/>
              </w:rPr>
              <w:t>February 27, 2020</w:t>
            </w:r>
          </w:p>
        </w:tc>
      </w:tr>
      <w:tr>
        <w:trPr>
          <w:trHeight w:val="250"/>
        </w:trPr>
        <w:tc>
          <w:tcPr>
            <w:tcW w:w="3200" w:type="dxa"/>
            <w:vAlign w:val="bottom"/>
          </w:tcPr>
          <w:p>
            <w:pPr>
              <w:jc w:val="center"/>
              <w:spacing w:after="0"/>
              <w:rPr>
                <w:sz w:val="20"/>
                <w:szCs w:val="20"/>
                <w:color w:val="auto"/>
              </w:rPr>
            </w:pPr>
            <w:r>
              <w:rPr>
                <w:rFonts w:ascii="Arial" w:cs="Arial" w:eastAsia="Arial" w:hAnsi="Arial"/>
                <w:sz w:val="18"/>
                <w:szCs w:val="18"/>
                <w:color w:val="auto"/>
              </w:rPr>
              <w:t>Mario Spanicciati</w:t>
            </w:r>
          </w:p>
        </w:tc>
        <w:tc>
          <w:tcPr>
            <w:tcW w:w="140" w:type="dxa"/>
            <w:vAlign w:val="bottom"/>
          </w:tcPr>
          <w:p>
            <w:pPr>
              <w:spacing w:after="0"/>
              <w:rPr>
                <w:sz w:val="21"/>
                <w:szCs w:val="21"/>
                <w:color w:val="auto"/>
              </w:rPr>
            </w:pPr>
          </w:p>
        </w:tc>
        <w:tc>
          <w:tcPr>
            <w:tcW w:w="47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3140" w:type="dxa"/>
            <w:vAlign w:val="bottom"/>
          </w:tcPr>
          <w:p>
            <w:pPr>
              <w:spacing w:after="0"/>
              <w:rPr>
                <w:sz w:val="21"/>
                <w:szCs w:val="21"/>
                <w:color w:val="auto"/>
              </w:rPr>
            </w:pPr>
          </w:p>
        </w:tc>
      </w:tr>
      <w:tr>
        <w:trPr>
          <w:trHeight w:val="351"/>
        </w:trPr>
        <w:tc>
          <w:tcPr>
            <w:tcW w:w="32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9"/>
              </w:rPr>
              <w:t>/s/ Kevin Thompson</w:t>
            </w:r>
          </w:p>
        </w:tc>
        <w:tc>
          <w:tcPr>
            <w:tcW w:w="140" w:type="dxa"/>
            <w:vAlign w:val="bottom"/>
          </w:tcPr>
          <w:p>
            <w:pPr>
              <w:spacing w:after="0"/>
              <w:rPr>
                <w:sz w:val="24"/>
                <w:szCs w:val="24"/>
                <w:color w:val="auto"/>
              </w:rPr>
            </w:pPr>
          </w:p>
        </w:tc>
        <w:tc>
          <w:tcPr>
            <w:tcW w:w="4940" w:type="dxa"/>
            <w:vAlign w:val="bottom"/>
            <w:gridSpan w:val="2"/>
          </w:tcPr>
          <w:p>
            <w:pPr>
              <w:spacing w:after="0"/>
              <w:rPr>
                <w:sz w:val="20"/>
                <w:szCs w:val="20"/>
                <w:color w:val="auto"/>
              </w:rPr>
            </w:pPr>
            <w:r>
              <w:rPr>
                <w:rFonts w:ascii="Arial" w:cs="Arial" w:eastAsia="Arial" w:hAnsi="Arial"/>
                <w:sz w:val="18"/>
                <w:szCs w:val="18"/>
                <w:color w:val="auto"/>
              </w:rPr>
              <w:t>Director</w:t>
            </w:r>
          </w:p>
        </w:tc>
        <w:tc>
          <w:tcPr>
            <w:tcW w:w="3140" w:type="dxa"/>
            <w:vAlign w:val="bottom"/>
          </w:tcPr>
          <w:p>
            <w:pPr>
              <w:jc w:val="center"/>
              <w:spacing w:after="0"/>
              <w:rPr>
                <w:sz w:val="20"/>
                <w:szCs w:val="20"/>
                <w:color w:val="auto"/>
              </w:rPr>
            </w:pPr>
            <w:r>
              <w:rPr>
                <w:rFonts w:ascii="Arial" w:cs="Arial" w:eastAsia="Arial" w:hAnsi="Arial"/>
                <w:sz w:val="18"/>
                <w:szCs w:val="18"/>
                <w:color w:val="auto"/>
                <w:w w:val="99"/>
              </w:rPr>
              <w:t>February 27, 2020</w:t>
            </w:r>
          </w:p>
        </w:tc>
      </w:tr>
      <w:tr>
        <w:trPr>
          <w:trHeight w:val="250"/>
        </w:trPr>
        <w:tc>
          <w:tcPr>
            <w:tcW w:w="3200" w:type="dxa"/>
            <w:vAlign w:val="bottom"/>
          </w:tcPr>
          <w:p>
            <w:pPr>
              <w:jc w:val="center"/>
              <w:spacing w:after="0"/>
              <w:rPr>
                <w:sz w:val="20"/>
                <w:szCs w:val="20"/>
                <w:color w:val="auto"/>
              </w:rPr>
            </w:pPr>
            <w:r>
              <w:rPr>
                <w:rFonts w:ascii="Arial" w:cs="Arial" w:eastAsia="Arial" w:hAnsi="Arial"/>
                <w:sz w:val="18"/>
                <w:szCs w:val="18"/>
                <w:color w:val="auto"/>
                <w:w w:val="99"/>
              </w:rPr>
              <w:t>Kevin Thompson</w:t>
            </w:r>
          </w:p>
        </w:tc>
        <w:tc>
          <w:tcPr>
            <w:tcW w:w="140" w:type="dxa"/>
            <w:vAlign w:val="bottom"/>
          </w:tcPr>
          <w:p>
            <w:pPr>
              <w:spacing w:after="0"/>
              <w:rPr>
                <w:sz w:val="21"/>
                <w:szCs w:val="21"/>
                <w:color w:val="auto"/>
              </w:rPr>
            </w:pPr>
          </w:p>
        </w:tc>
        <w:tc>
          <w:tcPr>
            <w:tcW w:w="47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3140" w:type="dxa"/>
            <w:vAlign w:val="bottom"/>
          </w:tcPr>
          <w:p>
            <w:pPr>
              <w:spacing w:after="0"/>
              <w:rPr>
                <w:sz w:val="21"/>
                <w:szCs w:val="21"/>
                <w:color w:val="auto"/>
              </w:rPr>
            </w:pPr>
          </w:p>
        </w:tc>
      </w:tr>
      <w:tr>
        <w:trPr>
          <w:trHeight w:val="351"/>
        </w:trPr>
        <w:tc>
          <w:tcPr>
            <w:tcW w:w="32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rPr>
              <w:t>/s/ Thomas Unterman</w:t>
            </w:r>
          </w:p>
        </w:tc>
        <w:tc>
          <w:tcPr>
            <w:tcW w:w="140" w:type="dxa"/>
            <w:vAlign w:val="bottom"/>
          </w:tcPr>
          <w:p>
            <w:pPr>
              <w:spacing w:after="0"/>
              <w:rPr>
                <w:sz w:val="24"/>
                <w:szCs w:val="24"/>
                <w:color w:val="auto"/>
              </w:rPr>
            </w:pPr>
          </w:p>
        </w:tc>
        <w:tc>
          <w:tcPr>
            <w:tcW w:w="4940" w:type="dxa"/>
            <w:vAlign w:val="bottom"/>
            <w:gridSpan w:val="2"/>
          </w:tcPr>
          <w:p>
            <w:pPr>
              <w:spacing w:after="0"/>
              <w:rPr>
                <w:sz w:val="20"/>
                <w:szCs w:val="20"/>
                <w:color w:val="auto"/>
              </w:rPr>
            </w:pPr>
            <w:r>
              <w:rPr>
                <w:rFonts w:ascii="Arial" w:cs="Arial" w:eastAsia="Arial" w:hAnsi="Arial"/>
                <w:sz w:val="18"/>
                <w:szCs w:val="18"/>
                <w:color w:val="auto"/>
              </w:rPr>
              <w:t>Director</w:t>
            </w:r>
          </w:p>
        </w:tc>
        <w:tc>
          <w:tcPr>
            <w:tcW w:w="3140" w:type="dxa"/>
            <w:vAlign w:val="bottom"/>
          </w:tcPr>
          <w:p>
            <w:pPr>
              <w:jc w:val="center"/>
              <w:spacing w:after="0"/>
              <w:rPr>
                <w:sz w:val="20"/>
                <w:szCs w:val="20"/>
                <w:color w:val="auto"/>
              </w:rPr>
            </w:pPr>
            <w:r>
              <w:rPr>
                <w:rFonts w:ascii="Arial" w:cs="Arial" w:eastAsia="Arial" w:hAnsi="Arial"/>
                <w:sz w:val="18"/>
                <w:szCs w:val="18"/>
                <w:color w:val="auto"/>
                <w:w w:val="99"/>
              </w:rPr>
              <w:t>February 27, 2020</w:t>
            </w:r>
          </w:p>
        </w:tc>
      </w:tr>
      <w:tr>
        <w:trPr>
          <w:trHeight w:val="250"/>
        </w:trPr>
        <w:tc>
          <w:tcPr>
            <w:tcW w:w="3200" w:type="dxa"/>
            <w:vAlign w:val="bottom"/>
          </w:tcPr>
          <w:p>
            <w:pPr>
              <w:jc w:val="center"/>
              <w:spacing w:after="0"/>
              <w:rPr>
                <w:sz w:val="20"/>
                <w:szCs w:val="20"/>
                <w:color w:val="auto"/>
              </w:rPr>
            </w:pPr>
            <w:r>
              <w:rPr>
                <w:rFonts w:ascii="Arial" w:cs="Arial" w:eastAsia="Arial" w:hAnsi="Arial"/>
                <w:sz w:val="18"/>
                <w:szCs w:val="18"/>
                <w:color w:val="auto"/>
              </w:rPr>
              <w:t>Thomas Unterman</w:t>
            </w:r>
          </w:p>
        </w:tc>
        <w:tc>
          <w:tcPr>
            <w:tcW w:w="140" w:type="dxa"/>
            <w:vAlign w:val="bottom"/>
          </w:tcPr>
          <w:p>
            <w:pPr>
              <w:spacing w:after="0"/>
              <w:rPr>
                <w:sz w:val="21"/>
                <w:szCs w:val="21"/>
                <w:color w:val="auto"/>
              </w:rPr>
            </w:pPr>
          </w:p>
        </w:tc>
        <w:tc>
          <w:tcPr>
            <w:tcW w:w="47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3140" w:type="dxa"/>
            <w:vAlign w:val="bottom"/>
          </w:tcPr>
          <w:p>
            <w:pPr>
              <w:spacing w:after="0"/>
              <w:rPr>
                <w:sz w:val="21"/>
                <w:szCs w:val="21"/>
                <w:color w:val="auto"/>
              </w:rPr>
            </w:pPr>
          </w:p>
        </w:tc>
      </w:tr>
      <w:tr>
        <w:trPr>
          <w:trHeight w:val="419"/>
        </w:trPr>
        <w:tc>
          <w:tcPr>
            <w:tcW w:w="3200" w:type="dxa"/>
            <w:vAlign w:val="bottom"/>
          </w:tcPr>
          <w:p>
            <w:pPr>
              <w:spacing w:after="0"/>
              <w:rPr>
                <w:sz w:val="24"/>
                <w:szCs w:val="24"/>
                <w:color w:val="auto"/>
              </w:rPr>
            </w:pPr>
          </w:p>
        </w:tc>
        <w:tc>
          <w:tcPr>
            <w:tcW w:w="4900" w:type="dxa"/>
            <w:vAlign w:val="bottom"/>
            <w:gridSpan w:val="2"/>
          </w:tcPr>
          <w:p>
            <w:pPr>
              <w:jc w:val="right"/>
              <w:ind w:right="2190"/>
              <w:spacing w:after="0"/>
              <w:rPr>
                <w:sz w:val="20"/>
                <w:szCs w:val="20"/>
                <w:color w:val="auto"/>
              </w:rPr>
            </w:pPr>
            <w:r>
              <w:rPr>
                <w:rFonts w:ascii="Arial" w:cs="Arial" w:eastAsia="Arial" w:hAnsi="Arial"/>
                <w:sz w:val="18"/>
                <w:szCs w:val="18"/>
                <w:color w:val="auto"/>
              </w:rPr>
              <w:t>98</w:t>
            </w:r>
          </w:p>
        </w:tc>
        <w:tc>
          <w:tcPr>
            <w:tcW w:w="180" w:type="dxa"/>
            <w:vAlign w:val="bottom"/>
          </w:tcPr>
          <w:p>
            <w:pPr>
              <w:spacing w:after="0"/>
              <w:rPr>
                <w:sz w:val="24"/>
                <w:szCs w:val="24"/>
                <w:color w:val="auto"/>
              </w:rPr>
            </w:pPr>
          </w:p>
        </w:tc>
        <w:tc>
          <w:tcPr>
            <w:tcW w:w="3140" w:type="dxa"/>
            <w:vAlign w:val="bottom"/>
          </w:tcPr>
          <w:p>
            <w:pPr>
              <w:spacing w:after="0"/>
              <w:rPr>
                <w:sz w:val="24"/>
                <w:szCs w:val="24"/>
                <w:color w:val="auto"/>
              </w:rPr>
            </w:pPr>
          </w:p>
        </w:tc>
      </w:tr>
      <w:tr>
        <w:trPr>
          <w:trHeight w:val="102"/>
        </w:trPr>
        <w:tc>
          <w:tcPr>
            <w:tcW w:w="3200" w:type="dxa"/>
            <w:vAlign w:val="bottom"/>
            <w:tcBorders>
              <w:bottom w:val="single" w:sz="8" w:color="9A9A9A"/>
            </w:tcBorders>
          </w:tcPr>
          <w:p>
            <w:pPr>
              <w:spacing w:after="0"/>
              <w:rPr>
                <w:sz w:val="8"/>
                <w:szCs w:val="8"/>
                <w:color w:val="auto"/>
              </w:rPr>
            </w:pPr>
          </w:p>
        </w:tc>
        <w:tc>
          <w:tcPr>
            <w:tcW w:w="140" w:type="dxa"/>
            <w:vAlign w:val="bottom"/>
            <w:tcBorders>
              <w:bottom w:val="single" w:sz="8" w:color="9A9A9A"/>
            </w:tcBorders>
          </w:tcPr>
          <w:p>
            <w:pPr>
              <w:spacing w:after="0"/>
              <w:rPr>
                <w:sz w:val="8"/>
                <w:szCs w:val="8"/>
                <w:color w:val="auto"/>
              </w:rPr>
            </w:pPr>
          </w:p>
        </w:tc>
        <w:tc>
          <w:tcPr>
            <w:tcW w:w="4760" w:type="dxa"/>
            <w:vAlign w:val="bottom"/>
            <w:tcBorders>
              <w:bottom w:val="single" w:sz="8" w:color="9A9A9A"/>
            </w:tcBorders>
          </w:tcPr>
          <w:p>
            <w:pPr>
              <w:spacing w:after="0"/>
              <w:rPr>
                <w:sz w:val="8"/>
                <w:szCs w:val="8"/>
                <w:color w:val="auto"/>
              </w:rPr>
            </w:pPr>
          </w:p>
        </w:tc>
        <w:tc>
          <w:tcPr>
            <w:tcW w:w="180" w:type="dxa"/>
            <w:vAlign w:val="bottom"/>
            <w:tcBorders>
              <w:bottom w:val="single" w:sz="8" w:color="9A9A9A"/>
            </w:tcBorders>
          </w:tcPr>
          <w:p>
            <w:pPr>
              <w:spacing w:after="0"/>
              <w:rPr>
                <w:sz w:val="8"/>
                <w:szCs w:val="8"/>
                <w:color w:val="auto"/>
              </w:rPr>
            </w:pPr>
          </w:p>
        </w:tc>
        <w:tc>
          <w:tcPr>
            <w:tcW w:w="3140" w:type="dxa"/>
            <w:vAlign w:val="bottom"/>
            <w:tcBorders>
              <w:bottom w:val="single" w:sz="8" w:color="9A9A9A"/>
            </w:tcBorders>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7230110</wp:posOffset>
            </wp:positionH>
            <wp:positionV relativeFrom="paragraph">
              <wp:posOffset>-29210</wp:posOffset>
            </wp:positionV>
            <wp:extent cx="34290" cy="425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71">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7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20"/>
          </w:cols>
          <w:pgMar w:left="240" w:top="333" w:right="239" w:bottom="1440" w:gutter="0" w:footer="0" w:header="0"/>
        </w:sectPr>
      </w:pPr>
    </w:p>
    <w:bookmarkStart w:id="98" w:name="page99"/>
    <w:bookmarkEnd w:id="98"/>
    <w:tbl>
      <w:tblPr>
        <w:tblLayout w:type="fixed"/>
        <w:tblInd w:w="0" w:type="dxa"/>
        <w:tblCellMar>
          <w:top w:w="0" w:type="dxa"/>
          <w:left w:w="0" w:type="dxa"/>
          <w:bottom w:w="0" w:type="dxa"/>
          <w:right w:w="0" w:type="dxa"/>
        </w:tblCellMar>
      </w:tblPr>
      <w:tr>
        <w:trPr>
          <w:trHeight w:val="225"/>
        </w:trPr>
        <w:tc>
          <w:tcPr>
            <w:tcW w:w="32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8"/>
              </w:rPr>
              <w:t>Signature</w:t>
            </w:r>
          </w:p>
        </w:tc>
        <w:tc>
          <w:tcPr>
            <w:tcW w:w="140" w:type="dxa"/>
            <w:vAlign w:val="bottom"/>
          </w:tcPr>
          <w:p>
            <w:pPr>
              <w:spacing w:after="0"/>
              <w:rPr>
                <w:sz w:val="19"/>
                <w:szCs w:val="19"/>
                <w:color w:val="auto"/>
              </w:rPr>
            </w:pPr>
          </w:p>
        </w:tc>
        <w:tc>
          <w:tcPr>
            <w:tcW w:w="47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7"/>
              </w:rPr>
              <w:t>Title</w:t>
            </w:r>
          </w:p>
        </w:tc>
        <w:tc>
          <w:tcPr>
            <w:tcW w:w="180" w:type="dxa"/>
            <w:vAlign w:val="bottom"/>
          </w:tcPr>
          <w:p>
            <w:pPr>
              <w:spacing w:after="0"/>
              <w:rPr>
                <w:sz w:val="19"/>
                <w:szCs w:val="19"/>
                <w:color w:val="auto"/>
              </w:rPr>
            </w:pPr>
          </w:p>
        </w:tc>
        <w:tc>
          <w:tcPr>
            <w:tcW w:w="31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7"/>
              </w:rPr>
              <w:t>Date</w:t>
            </w:r>
          </w:p>
        </w:tc>
      </w:tr>
      <w:tr>
        <w:trPr>
          <w:trHeight w:val="358"/>
        </w:trPr>
        <w:tc>
          <w:tcPr>
            <w:tcW w:w="32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9"/>
              </w:rPr>
              <w:t>/s/ Mika Yamamoto</w:t>
            </w:r>
          </w:p>
        </w:tc>
        <w:tc>
          <w:tcPr>
            <w:tcW w:w="140" w:type="dxa"/>
            <w:vAlign w:val="bottom"/>
          </w:tcPr>
          <w:p>
            <w:pPr>
              <w:spacing w:after="0"/>
              <w:rPr>
                <w:sz w:val="24"/>
                <w:szCs w:val="24"/>
                <w:color w:val="auto"/>
              </w:rPr>
            </w:pPr>
          </w:p>
        </w:tc>
        <w:tc>
          <w:tcPr>
            <w:tcW w:w="4940" w:type="dxa"/>
            <w:vAlign w:val="bottom"/>
            <w:gridSpan w:val="2"/>
          </w:tcPr>
          <w:p>
            <w:pPr>
              <w:spacing w:after="0"/>
              <w:rPr>
                <w:sz w:val="20"/>
                <w:szCs w:val="20"/>
                <w:color w:val="auto"/>
              </w:rPr>
            </w:pPr>
            <w:r>
              <w:rPr>
                <w:rFonts w:ascii="Arial" w:cs="Arial" w:eastAsia="Arial" w:hAnsi="Arial"/>
                <w:sz w:val="18"/>
                <w:szCs w:val="18"/>
                <w:color w:val="auto"/>
              </w:rPr>
              <w:t>Director</w:t>
            </w:r>
          </w:p>
        </w:tc>
        <w:tc>
          <w:tcPr>
            <w:tcW w:w="3140" w:type="dxa"/>
            <w:vAlign w:val="bottom"/>
          </w:tcPr>
          <w:p>
            <w:pPr>
              <w:jc w:val="center"/>
              <w:spacing w:after="0"/>
              <w:rPr>
                <w:sz w:val="20"/>
                <w:szCs w:val="20"/>
                <w:color w:val="auto"/>
              </w:rPr>
            </w:pPr>
            <w:r>
              <w:rPr>
                <w:rFonts w:ascii="Arial" w:cs="Arial" w:eastAsia="Arial" w:hAnsi="Arial"/>
                <w:sz w:val="18"/>
                <w:szCs w:val="18"/>
                <w:color w:val="auto"/>
                <w:w w:val="99"/>
              </w:rPr>
              <w:t>February 27, 2020</w:t>
            </w:r>
          </w:p>
        </w:tc>
      </w:tr>
      <w:tr>
        <w:trPr>
          <w:trHeight w:val="250"/>
        </w:trPr>
        <w:tc>
          <w:tcPr>
            <w:tcW w:w="3200" w:type="dxa"/>
            <w:vAlign w:val="bottom"/>
          </w:tcPr>
          <w:p>
            <w:pPr>
              <w:jc w:val="center"/>
              <w:spacing w:after="0"/>
              <w:rPr>
                <w:sz w:val="20"/>
                <w:szCs w:val="20"/>
                <w:color w:val="auto"/>
              </w:rPr>
            </w:pPr>
            <w:r>
              <w:rPr>
                <w:rFonts w:ascii="Arial" w:cs="Arial" w:eastAsia="Arial" w:hAnsi="Arial"/>
                <w:sz w:val="18"/>
                <w:szCs w:val="18"/>
                <w:color w:val="auto"/>
                <w:w w:val="99"/>
              </w:rPr>
              <w:t>Mika Yamamoto</w:t>
            </w:r>
          </w:p>
        </w:tc>
        <w:tc>
          <w:tcPr>
            <w:tcW w:w="140" w:type="dxa"/>
            <w:vAlign w:val="bottom"/>
          </w:tcPr>
          <w:p>
            <w:pPr>
              <w:spacing w:after="0"/>
              <w:rPr>
                <w:sz w:val="21"/>
                <w:szCs w:val="21"/>
                <w:color w:val="auto"/>
              </w:rPr>
            </w:pPr>
          </w:p>
        </w:tc>
        <w:tc>
          <w:tcPr>
            <w:tcW w:w="47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3140" w:type="dxa"/>
            <w:vAlign w:val="bottom"/>
          </w:tcPr>
          <w:p>
            <w:pPr>
              <w:spacing w:after="0"/>
              <w:rPr>
                <w:sz w:val="21"/>
                <w:szCs w:val="21"/>
                <w:color w:val="auto"/>
              </w:rPr>
            </w:pPr>
          </w:p>
        </w:tc>
      </w:tr>
      <w:tr>
        <w:trPr>
          <w:trHeight w:val="662"/>
        </w:trPr>
        <w:tc>
          <w:tcPr>
            <w:tcW w:w="3200" w:type="dxa"/>
            <w:vAlign w:val="bottom"/>
          </w:tcPr>
          <w:p>
            <w:pPr>
              <w:spacing w:after="0"/>
              <w:rPr>
                <w:sz w:val="24"/>
                <w:szCs w:val="24"/>
                <w:color w:val="auto"/>
              </w:rPr>
            </w:pPr>
          </w:p>
        </w:tc>
        <w:tc>
          <w:tcPr>
            <w:tcW w:w="4900" w:type="dxa"/>
            <w:vAlign w:val="bottom"/>
            <w:gridSpan w:val="2"/>
          </w:tcPr>
          <w:p>
            <w:pPr>
              <w:jc w:val="right"/>
              <w:ind w:right="2190"/>
              <w:spacing w:after="0"/>
              <w:rPr>
                <w:sz w:val="20"/>
                <w:szCs w:val="20"/>
                <w:color w:val="auto"/>
              </w:rPr>
            </w:pPr>
            <w:r>
              <w:rPr>
                <w:rFonts w:ascii="Arial" w:cs="Arial" w:eastAsia="Arial" w:hAnsi="Arial"/>
                <w:sz w:val="18"/>
                <w:szCs w:val="18"/>
                <w:color w:val="auto"/>
              </w:rPr>
              <w:t>99</w:t>
            </w:r>
          </w:p>
        </w:tc>
        <w:tc>
          <w:tcPr>
            <w:tcW w:w="180" w:type="dxa"/>
            <w:vAlign w:val="bottom"/>
          </w:tcPr>
          <w:p>
            <w:pPr>
              <w:spacing w:after="0"/>
              <w:rPr>
                <w:sz w:val="24"/>
                <w:szCs w:val="24"/>
                <w:color w:val="auto"/>
              </w:rPr>
            </w:pPr>
          </w:p>
        </w:tc>
        <w:tc>
          <w:tcPr>
            <w:tcW w:w="3140" w:type="dxa"/>
            <w:vAlign w:val="bottom"/>
          </w:tcPr>
          <w:p>
            <w:pPr>
              <w:spacing w:after="0"/>
              <w:rPr>
                <w:sz w:val="24"/>
                <w:szCs w:val="24"/>
                <w:color w:val="auto"/>
              </w:rPr>
            </w:pPr>
          </w:p>
        </w:tc>
      </w:tr>
    </w:tbl>
    <w:p>
      <w:pPr>
        <w:sectPr>
          <w:pgSz w:w="11900" w:h="16838" w:orient="portrait"/>
          <w:cols w:equalWidth="0" w:num="1">
            <w:col w:w="11420"/>
          </w:cols>
          <w:pgMar w:left="240" w:top="373" w:right="239" w:bottom="1440" w:gutter="0" w:footer="0" w:header="0"/>
        </w:sectPr>
      </w:pPr>
    </w:p>
    <w:bookmarkStart w:id="99" w:name="page100"/>
    <w:bookmarkEnd w:id="99"/>
    <w:p>
      <w:pPr>
        <w:jc w:val="right"/>
        <w:spacing w:after="0"/>
        <w:rPr>
          <w:sz w:val="20"/>
          <w:szCs w:val="20"/>
          <w:color w:val="auto"/>
        </w:rPr>
      </w:pPr>
      <w:r>
        <w:rPr>
          <w:rFonts w:ascii="Arial" w:cs="Arial" w:eastAsia="Arial" w:hAnsi="Arial"/>
          <w:sz w:val="20"/>
          <w:szCs w:val="20"/>
          <w:b w:val="1"/>
          <w:bCs w:val="1"/>
          <w:color w:val="auto"/>
        </w:rPr>
        <w:t>Exhibit 4.2</w:t>
      </w:r>
    </w:p>
    <w:p>
      <w:pPr>
        <w:spacing w:after="0" w:line="283" w:lineRule="exact"/>
        <w:rPr>
          <w:sz w:val="20"/>
          <w:szCs w:val="20"/>
          <w:color w:val="auto"/>
        </w:rPr>
      </w:pPr>
    </w:p>
    <w:p>
      <w:pPr>
        <w:ind w:left="2600"/>
        <w:spacing w:after="0"/>
        <w:rPr>
          <w:sz w:val="20"/>
          <w:szCs w:val="20"/>
          <w:color w:val="auto"/>
        </w:rPr>
      </w:pPr>
      <w:r>
        <w:rPr>
          <w:rFonts w:ascii="Arial" w:cs="Arial" w:eastAsia="Arial" w:hAnsi="Arial"/>
          <w:sz w:val="18"/>
          <w:szCs w:val="18"/>
          <w:b w:val="1"/>
          <w:bCs w:val="1"/>
          <w:color w:val="auto"/>
        </w:rPr>
        <w:t>DESCRIPTION OF THE COMPANY’S SECURITIES</w:t>
      </w:r>
    </w:p>
    <w:p>
      <w:pPr>
        <w:spacing w:after="0" w:line="247" w:lineRule="exact"/>
        <w:rPr>
          <w:sz w:val="20"/>
          <w:szCs w:val="20"/>
          <w:color w:val="auto"/>
        </w:rPr>
      </w:pPr>
    </w:p>
    <w:p>
      <w:pPr>
        <w:jc w:val="both"/>
        <w:ind w:right="1100" w:firstLine="371"/>
        <w:spacing w:after="0" w:line="251" w:lineRule="auto"/>
        <w:rPr>
          <w:sz w:val="20"/>
          <w:szCs w:val="20"/>
          <w:color w:val="auto"/>
        </w:rPr>
      </w:pPr>
      <w:r>
        <w:rPr>
          <w:rFonts w:ascii="Arial" w:cs="Arial" w:eastAsia="Arial" w:hAnsi="Arial"/>
          <w:sz w:val="18"/>
          <w:szCs w:val="18"/>
          <w:color w:val="auto"/>
        </w:rPr>
        <w:t>The following description of the capital stock of BlackLine, Inc. (“us,” “our,” “we” or the “Company”) is a summary of the rights of our common stock and certain provisions of our amended and restated certificate of incorporation and amended and restated bylaws currently in effect. This summary does not purport to be complete and is qualified in its entirety by the provisions of our amended and restated certificate of incorporation and amended and restated bylaws, each previously filed with the Securities and Exchange Commission and incorporated by reference as an exhibit to the Annual Report on Form 10-K of which this Exhibit 4.2 is a part, as well as to the applicable provisions of the Delaware General Corporation Law (the “DGCL”). For a complete description of our capital stock, we encourage you to read our certificate of incorporation, bylaws and the applicable portions of the DGCL carefully.</w:t>
      </w:r>
    </w:p>
    <w:p>
      <w:pPr>
        <w:spacing w:after="0" w:line="240" w:lineRule="exact"/>
        <w:rPr>
          <w:sz w:val="20"/>
          <w:szCs w:val="20"/>
          <w:color w:val="auto"/>
        </w:rPr>
      </w:pPr>
    </w:p>
    <w:p>
      <w:pPr>
        <w:jc w:val="both"/>
        <w:ind w:right="1100" w:firstLine="371"/>
        <w:spacing w:after="0" w:line="253" w:lineRule="auto"/>
        <w:rPr>
          <w:sz w:val="20"/>
          <w:szCs w:val="20"/>
          <w:color w:val="auto"/>
        </w:rPr>
      </w:pPr>
      <w:r>
        <w:rPr>
          <w:rFonts w:ascii="Arial" w:cs="Arial" w:eastAsia="Arial" w:hAnsi="Arial"/>
          <w:sz w:val="18"/>
          <w:szCs w:val="18"/>
          <w:color w:val="auto"/>
        </w:rPr>
        <w:t>Our authorized capital stock consists of 500,000,000 shares of common stock, $0.01 par value and 50,000,000 shares of preferred stock, $0.01 par value. As of December 31, 2019, there were 55,930,994 shares of our common stock issued and outstanding held of record by 19 stockholders. The number of record holders does not include beneficial holders who hold their shares in “street name,” meaning that the shares are held for their accounts by a broker or other nominee.</w:t>
      </w:r>
    </w:p>
    <w:p>
      <w:pPr>
        <w:spacing w:after="0" w:line="305"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Common Stock</w:t>
      </w:r>
    </w:p>
    <w:p>
      <w:pPr>
        <w:spacing w:after="0" w:line="239"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Voting Rights</w:t>
      </w:r>
    </w:p>
    <w:p>
      <w:pPr>
        <w:spacing w:after="0" w:line="355" w:lineRule="exact"/>
        <w:rPr>
          <w:sz w:val="20"/>
          <w:szCs w:val="20"/>
          <w:color w:val="auto"/>
        </w:rPr>
      </w:pPr>
    </w:p>
    <w:p>
      <w:pPr>
        <w:jc w:val="both"/>
        <w:ind w:right="1100" w:firstLine="371"/>
        <w:spacing w:after="0" w:line="253" w:lineRule="auto"/>
        <w:rPr>
          <w:sz w:val="20"/>
          <w:szCs w:val="20"/>
          <w:color w:val="auto"/>
        </w:rPr>
      </w:pPr>
      <w:r>
        <w:rPr>
          <w:rFonts w:ascii="Arial" w:cs="Arial" w:eastAsia="Arial" w:hAnsi="Arial"/>
          <w:sz w:val="18"/>
          <w:szCs w:val="18"/>
          <w:color w:val="auto"/>
        </w:rPr>
        <w:t>Each holder of our common stock is entitled to one vote for each share on all matters submitted to a vote of the stockholders, including the election of directors. Under our amended and restated certificate of incorporation and bylaws, our stockholders will not have cumulative voting rights. Because of this, the holders of a majority of the shares of common stock entitled to vote in any election of directors can elect all of the directors standing for election, if they should so choose.</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Dividends</w:t>
      </w:r>
    </w:p>
    <w:p>
      <w:pPr>
        <w:spacing w:after="0" w:line="234" w:lineRule="exact"/>
        <w:rPr>
          <w:sz w:val="20"/>
          <w:szCs w:val="20"/>
          <w:color w:val="auto"/>
        </w:rPr>
      </w:pPr>
    </w:p>
    <w:p>
      <w:pPr>
        <w:jc w:val="both"/>
        <w:ind w:right="1100" w:firstLine="371"/>
        <w:spacing w:after="0" w:line="262" w:lineRule="auto"/>
        <w:rPr>
          <w:sz w:val="20"/>
          <w:szCs w:val="20"/>
          <w:color w:val="auto"/>
        </w:rPr>
      </w:pPr>
      <w:r>
        <w:rPr>
          <w:rFonts w:ascii="Arial" w:cs="Arial" w:eastAsia="Arial" w:hAnsi="Arial"/>
          <w:sz w:val="18"/>
          <w:szCs w:val="18"/>
          <w:color w:val="auto"/>
        </w:rPr>
        <w:t>Holders of common stock are entitled to receive ratably those dividends, if any, as may be declared from time to time by the board of directors out of legally available funds.</w:t>
      </w:r>
    </w:p>
    <w:p>
      <w:pPr>
        <w:spacing w:after="0" w:line="161"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Liquidation</w:t>
      </w:r>
    </w:p>
    <w:p>
      <w:pPr>
        <w:spacing w:after="0" w:line="234" w:lineRule="exact"/>
        <w:rPr>
          <w:sz w:val="20"/>
          <w:szCs w:val="20"/>
          <w:color w:val="auto"/>
        </w:rPr>
      </w:pPr>
    </w:p>
    <w:p>
      <w:pPr>
        <w:jc w:val="both"/>
        <w:ind w:right="1100" w:firstLine="371"/>
        <w:spacing w:after="0" w:line="256" w:lineRule="auto"/>
        <w:rPr>
          <w:sz w:val="20"/>
          <w:szCs w:val="20"/>
          <w:color w:val="auto"/>
        </w:rPr>
      </w:pPr>
      <w:r>
        <w:rPr>
          <w:rFonts w:ascii="Arial" w:cs="Arial" w:eastAsia="Arial" w:hAnsi="Arial"/>
          <w:sz w:val="18"/>
          <w:szCs w:val="18"/>
          <w:color w:val="auto"/>
        </w:rPr>
        <w:t>In the event of our liquidation, dissolution or winding up, holders of common stock will be entitled to share ratably in the net assets legally available for distribution to stockholders after the payment of all of our debts and other liabilities.</w:t>
      </w:r>
    </w:p>
    <w:p>
      <w:pPr>
        <w:spacing w:after="0" w:line="166"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Rights and Preferences</w:t>
      </w:r>
    </w:p>
    <w:p>
      <w:pPr>
        <w:spacing w:after="0" w:line="234" w:lineRule="exact"/>
        <w:rPr>
          <w:sz w:val="20"/>
          <w:szCs w:val="20"/>
          <w:color w:val="auto"/>
        </w:rPr>
      </w:pPr>
    </w:p>
    <w:p>
      <w:pPr>
        <w:jc w:val="both"/>
        <w:ind w:right="1100" w:firstLine="371"/>
        <w:spacing w:after="0" w:line="254" w:lineRule="auto"/>
        <w:rPr>
          <w:sz w:val="20"/>
          <w:szCs w:val="20"/>
          <w:color w:val="auto"/>
        </w:rPr>
      </w:pPr>
      <w:r>
        <w:rPr>
          <w:rFonts w:ascii="Arial" w:cs="Arial" w:eastAsia="Arial" w:hAnsi="Arial"/>
          <w:sz w:val="18"/>
          <w:szCs w:val="18"/>
          <w:color w:val="auto"/>
        </w:rPr>
        <w:t>Holders of shares of common stock have no preemptive, conversion or subscription rights and there are no redemption or sinking fund provisions applicable to the common stock. The rights, preferences and privileges of the holders of shares of common stock are subject to, and may be adversely affected by, the rights of the holders of shares of any series of preferred stock that we may designate in the future.</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Preferred Stock</w:t>
      </w:r>
    </w:p>
    <w:p>
      <w:pPr>
        <w:spacing w:after="0" w:line="234" w:lineRule="exact"/>
        <w:rPr>
          <w:sz w:val="20"/>
          <w:szCs w:val="20"/>
          <w:color w:val="auto"/>
        </w:rPr>
      </w:pPr>
    </w:p>
    <w:p>
      <w:pPr>
        <w:jc w:val="both"/>
        <w:ind w:right="1100" w:firstLine="371"/>
        <w:spacing w:after="0" w:line="254" w:lineRule="auto"/>
        <w:rPr>
          <w:sz w:val="20"/>
          <w:szCs w:val="20"/>
          <w:color w:val="auto"/>
        </w:rPr>
      </w:pPr>
      <w:r>
        <w:rPr>
          <w:rFonts w:ascii="Arial" w:cs="Arial" w:eastAsia="Arial" w:hAnsi="Arial"/>
          <w:sz w:val="18"/>
          <w:szCs w:val="18"/>
          <w:color w:val="auto"/>
        </w:rPr>
        <w:t>No shares of our preferred stock are currently outstanding. Under our amended and restated certificate of incorporation, our board of directors, without further action by our stockholders, is authorized to issue shares of preferred stock in one or more classes or series. The board may fix or alter the rights, preferences and privileges of the preferred stock, along with any limitations 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-641985</wp:posOffset>
            </wp:positionH>
            <wp:positionV relativeFrom="paragraph">
              <wp:posOffset>332105</wp:posOffset>
            </wp:positionV>
            <wp:extent cx="7289165" cy="425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7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0380"/>
          </w:cols>
          <w:pgMar w:left="1240" w:top="333" w:right="279" w:bottom="1440" w:gutter="0" w:footer="0" w:header="0"/>
        </w:sectPr>
      </w:pPr>
    </w:p>
    <w:bookmarkStart w:id="100" w:name="page101"/>
    <w:bookmarkEnd w:id="100"/>
    <w:p>
      <w:pPr>
        <w:jc w:val="both"/>
        <w:ind w:right="80"/>
        <w:spacing w:after="0" w:line="253" w:lineRule="auto"/>
        <w:rPr>
          <w:sz w:val="20"/>
          <w:szCs w:val="20"/>
          <w:color w:val="auto"/>
        </w:rPr>
      </w:pPr>
      <w:r>
        <w:rPr>
          <w:rFonts w:ascii="Arial" w:cs="Arial" w:eastAsia="Arial" w:hAnsi="Arial"/>
          <w:sz w:val="18"/>
          <w:szCs w:val="18"/>
          <w:color w:val="auto"/>
        </w:rPr>
        <w:t>restrictions, including voting rights, dividend rights, conversion rights, redemption privileges and liquidation preferences of each class or series of preferred stock. The preferred stock could have voting or conversion rights that could adversely affect the voting power or other rights of holders of our common stock. The issuance of preferred stock could also have the effect, under certain circumstances, of delaying, deferring or preventing a change of control of our company. We currently have no plans to issue any shares of preferred stock.</w:t>
      </w:r>
    </w:p>
    <w:p>
      <w:pPr>
        <w:spacing w:after="0" w:line="170" w:lineRule="exact"/>
        <w:rPr>
          <w:sz w:val="20"/>
          <w:szCs w:val="20"/>
          <w:color w:val="auto"/>
        </w:rPr>
      </w:pPr>
    </w:p>
    <w:p>
      <w:pPr>
        <w:ind w:left="80"/>
        <w:spacing w:after="0"/>
        <w:rPr>
          <w:sz w:val="20"/>
          <w:szCs w:val="20"/>
          <w:color w:val="auto"/>
        </w:rPr>
      </w:pPr>
      <w:r>
        <w:rPr>
          <w:rFonts w:ascii="Arial" w:cs="Arial" w:eastAsia="Arial" w:hAnsi="Arial"/>
          <w:sz w:val="18"/>
          <w:szCs w:val="18"/>
          <w:b w:val="1"/>
          <w:bCs w:val="1"/>
          <w:color w:val="auto"/>
        </w:rPr>
        <w:t>Anti-Takeover Effects of Delaware Law and Our Certificate of Incorporation and Bylaws</w:t>
      </w:r>
    </w:p>
    <w:p>
      <w:pPr>
        <w:spacing w:after="0" w:line="234" w:lineRule="exact"/>
        <w:rPr>
          <w:sz w:val="20"/>
          <w:szCs w:val="20"/>
          <w:color w:val="auto"/>
        </w:rPr>
      </w:pPr>
    </w:p>
    <w:p>
      <w:pPr>
        <w:jc w:val="both"/>
        <w:ind w:left="80" w:firstLine="309"/>
        <w:spacing w:after="0" w:line="252" w:lineRule="auto"/>
        <w:rPr>
          <w:sz w:val="20"/>
          <w:szCs w:val="20"/>
          <w:color w:val="auto"/>
        </w:rPr>
      </w:pPr>
      <w:r>
        <w:rPr>
          <w:rFonts w:ascii="Arial" w:cs="Arial" w:eastAsia="Arial" w:hAnsi="Arial"/>
          <w:sz w:val="18"/>
          <w:szCs w:val="18"/>
          <w:color w:val="auto"/>
        </w:rPr>
        <w:t>Certain provisions of Delaware law, our amended and restated certificate of incorporation and our amended and restated bylaws contain provisions that could have the effect of delaying, deferring or discouraging another party from acquiring control of us. These provisions are also designed, in part, to encourage persons seeking to acquire control of us to negotiate first with our board of directors. We believe that the benefits of increased protection of our potential ability to negotiate more favorable terms with an unfriendly or unsolicited acquirer outweigh the disadvantages of discouraging a proposal to acquire us.</w:t>
      </w:r>
    </w:p>
    <w:p>
      <w:pPr>
        <w:spacing w:after="0" w:line="173"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Classified Board</w:t>
      </w:r>
    </w:p>
    <w:p>
      <w:pPr>
        <w:spacing w:after="0" w:line="234" w:lineRule="exact"/>
        <w:rPr>
          <w:sz w:val="20"/>
          <w:szCs w:val="20"/>
          <w:color w:val="auto"/>
        </w:rPr>
      </w:pPr>
    </w:p>
    <w:p>
      <w:pPr>
        <w:jc w:val="both"/>
        <w:ind w:left="80" w:firstLine="309"/>
        <w:spacing w:after="0" w:line="251" w:lineRule="auto"/>
        <w:rPr>
          <w:sz w:val="20"/>
          <w:szCs w:val="20"/>
          <w:color w:val="auto"/>
        </w:rPr>
      </w:pPr>
      <w:r>
        <w:rPr>
          <w:rFonts w:ascii="Arial" w:cs="Arial" w:eastAsia="Arial" w:hAnsi="Arial"/>
          <w:sz w:val="18"/>
          <w:szCs w:val="18"/>
          <w:color w:val="auto"/>
        </w:rPr>
        <w:t>Our amended and restated certificate of incorporation provides that our board of directors is divided into three classes of directors, with the classes as nearly equal in number as possible, and with the directors serving three-year terms. As a result, approximately one-third of our board will be elected each year. The classification of directors will have the effect of making it more difficult for stockholders to change the composition of our board. Our amended and restated certificate of incorporation also provides that, subject to any rights of holders of preferred stock to elect additional directors under specified circumstances and the Stockholders’ Agreement by and between the Company and our principal stockholders named therein (“Principal Stockholders”), dated as of October 27, 2016 (the “Stockholders’ Agreement”), the number of directors will be fixed exclusively pursuant to a resolution adopted by our board. Our board of directors is currently comprised of ten members.</w:t>
      </w:r>
    </w:p>
    <w:p>
      <w:pPr>
        <w:spacing w:after="0" w:line="177"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Stockholder Action by Written Consent</w:t>
      </w:r>
    </w:p>
    <w:p>
      <w:pPr>
        <w:spacing w:after="0" w:line="234" w:lineRule="exact"/>
        <w:rPr>
          <w:sz w:val="20"/>
          <w:szCs w:val="20"/>
          <w:color w:val="auto"/>
        </w:rPr>
      </w:pPr>
    </w:p>
    <w:p>
      <w:pPr>
        <w:ind w:left="380"/>
        <w:spacing w:after="0"/>
        <w:rPr>
          <w:sz w:val="20"/>
          <w:szCs w:val="20"/>
          <w:color w:val="auto"/>
        </w:rPr>
      </w:pPr>
      <w:r>
        <w:rPr>
          <w:rFonts w:ascii="Arial" w:cs="Arial" w:eastAsia="Arial" w:hAnsi="Arial"/>
          <w:sz w:val="18"/>
          <w:szCs w:val="18"/>
          <w:color w:val="auto"/>
        </w:rPr>
        <w:t>Our amended and restated certificate of incorporation precludes stockholder action by written consent.</w:t>
      </w:r>
    </w:p>
    <w:p>
      <w:pPr>
        <w:spacing w:after="0" w:line="298"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Special Meetings of Stockholders</w:t>
      </w:r>
    </w:p>
    <w:p>
      <w:pPr>
        <w:spacing w:after="0" w:line="328" w:lineRule="exact"/>
        <w:rPr>
          <w:sz w:val="20"/>
          <w:szCs w:val="20"/>
          <w:color w:val="auto"/>
        </w:rPr>
      </w:pPr>
    </w:p>
    <w:p>
      <w:pPr>
        <w:jc w:val="both"/>
        <w:ind w:left="80" w:firstLine="309"/>
        <w:spacing w:after="0" w:line="253" w:lineRule="auto"/>
        <w:rPr>
          <w:sz w:val="20"/>
          <w:szCs w:val="20"/>
          <w:color w:val="auto"/>
        </w:rPr>
      </w:pPr>
      <w:r>
        <w:rPr>
          <w:rFonts w:ascii="Arial" w:cs="Arial" w:eastAsia="Arial" w:hAnsi="Arial"/>
          <w:sz w:val="18"/>
          <w:szCs w:val="18"/>
          <w:color w:val="auto"/>
        </w:rPr>
        <w:t>Our amended and restated certificate of incorporation provides that, except as required by law, special meetings of our stockholders may be called at any time only by or at the direction of our board or the chairman of our board. Our amended and restated bylaws prohibit the conduct of any business at a special meeting other than as specified in the notice for such meeting. These provisions may have the effect of deferring, delaying or discouraging hostile takeovers, or changes in control or management of the company.</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Advance Notice Procedures</w:t>
      </w:r>
    </w:p>
    <w:p>
      <w:pPr>
        <w:spacing w:after="0" w:line="234" w:lineRule="exact"/>
        <w:rPr>
          <w:sz w:val="20"/>
          <w:szCs w:val="20"/>
          <w:color w:val="auto"/>
        </w:rPr>
      </w:pPr>
    </w:p>
    <w:p>
      <w:pPr>
        <w:jc w:val="both"/>
        <w:ind w:left="80" w:firstLine="309"/>
        <w:spacing w:after="0" w:line="251" w:lineRule="auto"/>
        <w:rPr>
          <w:sz w:val="20"/>
          <w:szCs w:val="20"/>
          <w:color w:val="auto"/>
        </w:rPr>
      </w:pPr>
      <w:r>
        <w:rPr>
          <w:rFonts w:ascii="Arial" w:cs="Arial" w:eastAsia="Arial" w:hAnsi="Arial"/>
          <w:sz w:val="18"/>
          <w:szCs w:val="18"/>
          <w:color w:val="auto"/>
        </w:rPr>
        <w:t>Our amended and restated bylaws contain an advance notice procedure for stockholder proposals to be brought before an annual meeting of our stockholders, including proposed nominations of persons for election to our board; provided, however, such advance notice procedures will not apply to a Principal Stockholder at any time when such Principal Stockholder beneficially owns at least 10% of the total number of shares of our common stock then outstanding. Stockholders at an annual meeting will only be able to consider proposals or nominations specified in the notice of meeting or brought before the meeting by or at the direction of our board or by a stockholder who was a stockholder of record on the record date for the meeting, who is entitled to vote at the meeting and who has given our secretary timely written notice, in proper form, of the stockholder’s intention to bring that business before the meeting. Although the amended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-641985</wp:posOffset>
            </wp:positionH>
            <wp:positionV relativeFrom="paragraph">
              <wp:posOffset>337185</wp:posOffset>
            </wp:positionV>
            <wp:extent cx="7289165" cy="425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7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9360"/>
          </w:cols>
          <w:pgMar w:left="1240" w:top="584" w:right="1299" w:bottom="1440" w:gutter="0" w:footer="0" w:header="0"/>
        </w:sectPr>
      </w:pPr>
    </w:p>
    <w:bookmarkStart w:id="101" w:name="page102"/>
    <w:bookmarkEnd w:id="101"/>
    <w:p>
      <w:pPr>
        <w:jc w:val="both"/>
        <w:spacing w:after="0" w:line="253" w:lineRule="auto"/>
        <w:rPr>
          <w:sz w:val="20"/>
          <w:szCs w:val="20"/>
          <w:color w:val="auto"/>
        </w:rPr>
      </w:pPr>
      <w:r>
        <w:rPr>
          <w:rFonts w:ascii="Arial" w:cs="Arial" w:eastAsia="Arial" w:hAnsi="Arial"/>
          <w:sz w:val="18"/>
          <w:szCs w:val="18"/>
          <w:color w:val="auto"/>
        </w:rPr>
        <w:t>restated bylaws will not give our board the power to approve or disapprove stockholder nominations of candidates or proposals regarding other business to be conducted at a special or annual meeting, the bylaws may have the effect of precluding the conduct of certain business at a meeting if the proper procedures are not followed or may discourage or deter a potential acquirer from conducting a solicitation of proxies to elect its own slate of directors or otherwise attempting to obtain control of the company.</w:t>
      </w:r>
    </w:p>
    <w:p>
      <w:pPr>
        <w:spacing w:after="0" w:line="170" w:lineRule="exact"/>
        <w:rPr>
          <w:sz w:val="20"/>
          <w:szCs w:val="20"/>
          <w:color w:val="auto"/>
        </w:rPr>
      </w:pPr>
    </w:p>
    <w:p>
      <w:pPr>
        <w:ind w:left="380"/>
        <w:spacing w:after="0"/>
        <w:rPr>
          <w:sz w:val="20"/>
          <w:szCs w:val="20"/>
          <w:color w:val="auto"/>
        </w:rPr>
      </w:pPr>
      <w:r>
        <w:rPr>
          <w:rFonts w:ascii="Arial" w:cs="Arial" w:eastAsia="Arial" w:hAnsi="Arial"/>
          <w:sz w:val="18"/>
          <w:szCs w:val="18"/>
          <w:b w:val="1"/>
          <w:bCs w:val="1"/>
          <w:i w:val="1"/>
          <w:iCs w:val="1"/>
          <w:color w:val="auto"/>
        </w:rPr>
        <w:t>Removal of Directors; Vacancies</w:t>
      </w:r>
    </w:p>
    <w:p>
      <w:pPr>
        <w:spacing w:after="0" w:line="234" w:lineRule="exact"/>
        <w:rPr>
          <w:sz w:val="20"/>
          <w:szCs w:val="20"/>
          <w:color w:val="auto"/>
        </w:rPr>
      </w:pPr>
    </w:p>
    <w:p>
      <w:pPr>
        <w:jc w:val="both"/>
        <w:ind w:firstLine="309"/>
        <w:spacing w:after="0" w:line="251" w:lineRule="auto"/>
        <w:rPr>
          <w:sz w:val="20"/>
          <w:szCs w:val="20"/>
          <w:color w:val="auto"/>
        </w:rPr>
      </w:pPr>
      <w:r>
        <w:rPr>
          <w:rFonts w:ascii="Arial" w:cs="Arial" w:eastAsia="Arial" w:hAnsi="Arial"/>
          <w:sz w:val="18"/>
          <w:szCs w:val="18"/>
          <w:color w:val="auto"/>
        </w:rPr>
        <w:t>Our amended and restated certificate of incorporation provides that directors may be removed with or without cause upon the affirmative vote of a majority in voting power of all outstanding shares of stock entitled to vote thereon, voting together as a single class. In connection with votes for removal, the parties to the Stockholders’ Agreement will agree to vote their shares in accordance with the board composition requirements in such agreement and the wishes of the party which designated a director regarding removal of such director. Any newly created directorships that result in a vacancy on the board will be filled by a majority of the directors then in office, even if less than a quorum, or by a sole remaining director (and not by the stockholders). In addition, in the event that Therese Tucker or Mario Spanicciati cease to be employed by the company for any reason and she or he beneficially owns less than 5% of the total number of shares of our common stock outstanding, (i) she or he will be required to immediately tender her or his resignation from the board of directors effective only upon acceptance by the board of directors and (ii) the board of directors may, in its sole discretion, accept or reject such resignation. If the board of directors rejects the resignation, Ms. Tucker or Mr. Spanicciati, as applicable, will continue to have the right to be designated for membership on the board of directors; provided that the board of directors will have the right, by unanimous vote of the other directors (excluding both Ms. Tucker and Mr. Spanicciati), to require such director’s resignation from the board of directors if the board of directors determines such resignation would be in the best interests of the company, regardless of the number of shares of common stock held by Ms. Tucker or Mr. Spanicciati.</w:t>
      </w:r>
    </w:p>
    <w:p>
      <w:pPr>
        <w:spacing w:after="0" w:line="174" w:lineRule="exact"/>
        <w:rPr>
          <w:sz w:val="20"/>
          <w:szCs w:val="20"/>
          <w:color w:val="auto"/>
        </w:rPr>
      </w:pPr>
    </w:p>
    <w:p>
      <w:pPr>
        <w:ind w:left="440"/>
        <w:spacing w:after="0"/>
        <w:rPr>
          <w:sz w:val="20"/>
          <w:szCs w:val="20"/>
          <w:color w:val="auto"/>
        </w:rPr>
      </w:pPr>
      <w:r>
        <w:rPr>
          <w:rFonts w:ascii="Arial" w:cs="Arial" w:eastAsia="Arial" w:hAnsi="Arial"/>
          <w:sz w:val="18"/>
          <w:szCs w:val="18"/>
          <w:b w:val="1"/>
          <w:bCs w:val="1"/>
          <w:i w:val="1"/>
          <w:iCs w:val="1"/>
          <w:color w:val="auto"/>
        </w:rPr>
        <w:t>Supermajority Approval Requirements</w:t>
      </w:r>
    </w:p>
    <w:p>
      <w:pPr>
        <w:spacing w:after="0" w:line="234" w:lineRule="exact"/>
        <w:rPr>
          <w:sz w:val="20"/>
          <w:szCs w:val="20"/>
          <w:color w:val="auto"/>
        </w:rPr>
      </w:pPr>
    </w:p>
    <w:p>
      <w:pPr>
        <w:jc w:val="both"/>
        <w:ind w:firstLine="372"/>
        <w:spacing w:after="0" w:line="252" w:lineRule="auto"/>
        <w:rPr>
          <w:sz w:val="20"/>
          <w:szCs w:val="20"/>
          <w:color w:val="auto"/>
        </w:rPr>
      </w:pPr>
      <w:r>
        <w:rPr>
          <w:rFonts w:ascii="Arial" w:cs="Arial" w:eastAsia="Arial" w:hAnsi="Arial"/>
          <w:sz w:val="18"/>
          <w:szCs w:val="18"/>
          <w:color w:val="auto"/>
        </w:rPr>
        <w:t>Our amended and restated certificate of incorporation and amended and restated bylaws provide that our board of directors is expressly authorized to make, alter, amend and rescind, in whole or in part, our bylaws without a stockholder vote in any matter not inconsistent with the laws of the State of Delaware and our certificate of incorporation. Any amendment, alteration, rescission or repeal of our amended and restated bylaws by our stockholders requires the affirmative vote of the holders of at least 75% voting power of all the then outstanding shares of our stock entitled to vote thereon, voting together as a single class.</w:t>
      </w:r>
    </w:p>
    <w:p>
      <w:pPr>
        <w:spacing w:after="0" w:line="209" w:lineRule="exact"/>
        <w:rPr>
          <w:sz w:val="20"/>
          <w:szCs w:val="20"/>
          <w:color w:val="auto"/>
        </w:rPr>
      </w:pPr>
    </w:p>
    <w:p>
      <w:pPr>
        <w:jc w:val="both"/>
        <w:ind w:firstLine="372"/>
        <w:spacing w:after="0" w:line="256" w:lineRule="auto"/>
        <w:rPr>
          <w:sz w:val="20"/>
          <w:szCs w:val="20"/>
          <w:color w:val="auto"/>
        </w:rPr>
      </w:pPr>
      <w:r>
        <w:rPr>
          <w:rFonts w:ascii="Arial" w:cs="Arial" w:eastAsia="Arial" w:hAnsi="Arial"/>
          <w:sz w:val="18"/>
          <w:szCs w:val="18"/>
          <w:color w:val="auto"/>
        </w:rPr>
        <w:t>The DGCL provides generally that the affirmative vote of a majority of the outstanding shares entitled to vote thereon, voting together as a single class, is required to amend a corporation’s certificate of incorporation, unless the certificate of incorporation requires a greater percentage.</w:t>
      </w:r>
    </w:p>
    <w:p>
      <w:pPr>
        <w:spacing w:after="0" w:line="202" w:lineRule="exact"/>
        <w:rPr>
          <w:sz w:val="20"/>
          <w:szCs w:val="20"/>
          <w:color w:val="auto"/>
        </w:rPr>
      </w:pPr>
    </w:p>
    <w:p>
      <w:pPr>
        <w:jc w:val="both"/>
        <w:ind w:firstLine="372"/>
        <w:spacing w:after="0" w:line="254" w:lineRule="auto"/>
        <w:rPr>
          <w:sz w:val="20"/>
          <w:szCs w:val="20"/>
          <w:color w:val="auto"/>
        </w:rPr>
      </w:pPr>
      <w:r>
        <w:rPr>
          <w:rFonts w:ascii="Arial" w:cs="Arial" w:eastAsia="Arial" w:hAnsi="Arial"/>
          <w:sz w:val="18"/>
          <w:szCs w:val="18"/>
          <w:color w:val="auto"/>
        </w:rPr>
        <w:t>Our certificate of incorporation provides that, the following provisions in our amended and restated certificate of incorporation may be amended, altered, repealed or rescinded only by the affirmative vote of the holders of at least 75% of the voting power of all the then outstanding shares of our stock entitled to vote thereon, voting together as a single class:</w:t>
      </w:r>
    </w:p>
    <w:p>
      <w:pPr>
        <w:spacing w:after="0" w:line="204" w:lineRule="exact"/>
        <w:rPr>
          <w:sz w:val="20"/>
          <w:szCs w:val="20"/>
          <w:color w:val="auto"/>
        </w:rPr>
      </w:pPr>
    </w:p>
    <w:p>
      <w:pPr>
        <w:ind w:left="820" w:hanging="379"/>
        <w:spacing w:after="0"/>
        <w:tabs>
          <w:tab w:leader="none" w:pos="82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provisions providing for a classified board of directors (the election and term of our directors);</w:t>
      </w:r>
    </w:p>
    <w:p>
      <w:pPr>
        <w:spacing w:after="0" w:line="225" w:lineRule="exact"/>
        <w:rPr>
          <w:rFonts w:ascii="Arial" w:cs="Arial" w:eastAsia="Arial" w:hAnsi="Arial"/>
          <w:sz w:val="18"/>
          <w:szCs w:val="18"/>
          <w:color w:val="auto"/>
        </w:rPr>
      </w:pPr>
    </w:p>
    <w:p>
      <w:pPr>
        <w:ind w:left="820" w:hanging="379"/>
        <w:spacing w:after="0"/>
        <w:tabs>
          <w:tab w:leader="none" w:pos="82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provisions regarding resignation and removal of directors;</w:t>
      </w:r>
    </w:p>
    <w:p>
      <w:pPr>
        <w:spacing w:after="0" w:line="225" w:lineRule="exact"/>
        <w:rPr>
          <w:rFonts w:ascii="Arial" w:cs="Arial" w:eastAsia="Arial" w:hAnsi="Arial"/>
          <w:sz w:val="18"/>
          <w:szCs w:val="18"/>
          <w:color w:val="auto"/>
        </w:rPr>
      </w:pPr>
    </w:p>
    <w:p>
      <w:pPr>
        <w:ind w:left="820" w:hanging="379"/>
        <w:spacing w:after="0"/>
        <w:tabs>
          <w:tab w:leader="none" w:pos="82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provisions regarding competition and corporate opportunity;</w:t>
      </w:r>
    </w:p>
    <w:p>
      <w:pPr>
        <w:spacing w:after="0" w:line="225" w:lineRule="exact"/>
        <w:rPr>
          <w:rFonts w:ascii="Arial" w:cs="Arial" w:eastAsia="Arial" w:hAnsi="Arial"/>
          <w:sz w:val="18"/>
          <w:szCs w:val="18"/>
          <w:color w:val="auto"/>
        </w:rPr>
      </w:pPr>
    </w:p>
    <w:p>
      <w:pPr>
        <w:ind w:left="820" w:hanging="379"/>
        <w:spacing w:after="0"/>
        <w:tabs>
          <w:tab w:leader="none" w:pos="82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provisions regarding entering into business combinations with interested stockholders;</w:t>
      </w:r>
    </w:p>
    <w:p>
      <w:pPr>
        <w:spacing w:after="0" w:line="225" w:lineRule="exact"/>
        <w:rPr>
          <w:rFonts w:ascii="Arial" w:cs="Arial" w:eastAsia="Arial" w:hAnsi="Arial"/>
          <w:sz w:val="18"/>
          <w:szCs w:val="18"/>
          <w:color w:val="auto"/>
        </w:rPr>
      </w:pPr>
    </w:p>
    <w:p>
      <w:pPr>
        <w:ind w:left="820" w:hanging="379"/>
        <w:spacing w:after="0"/>
        <w:tabs>
          <w:tab w:leader="none" w:pos="82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provisions regarding stockholder action by written consent;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-692785</wp:posOffset>
            </wp:positionH>
            <wp:positionV relativeFrom="paragraph">
              <wp:posOffset>345440</wp:posOffset>
            </wp:positionV>
            <wp:extent cx="7289165" cy="425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7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9280"/>
          </w:cols>
          <w:pgMar w:left="1320" w:top="584" w:right="1299" w:bottom="1440" w:gutter="0" w:footer="0" w:header="0"/>
        </w:sectPr>
      </w:pPr>
    </w:p>
    <w:bookmarkStart w:id="102" w:name="page103"/>
    <w:bookmarkEnd w:id="102"/>
    <w:p>
      <w:pPr>
        <w:ind w:left="820" w:hanging="379"/>
        <w:spacing w:after="0"/>
        <w:tabs>
          <w:tab w:leader="none" w:pos="82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provisions regarding calling special meetings of stockholders;</w:t>
      </w:r>
    </w:p>
    <w:p>
      <w:pPr>
        <w:spacing w:after="0" w:line="225" w:lineRule="exact"/>
        <w:rPr>
          <w:rFonts w:ascii="Arial" w:cs="Arial" w:eastAsia="Arial" w:hAnsi="Arial"/>
          <w:sz w:val="18"/>
          <w:szCs w:val="18"/>
          <w:color w:val="auto"/>
        </w:rPr>
      </w:pPr>
    </w:p>
    <w:p>
      <w:pPr>
        <w:ind w:left="820" w:hanging="379"/>
        <w:spacing w:after="0"/>
        <w:tabs>
          <w:tab w:leader="none" w:pos="82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provisions regarding filling vacancies on our board and newly created directorships;</w:t>
      </w:r>
    </w:p>
    <w:p>
      <w:pPr>
        <w:spacing w:after="0" w:line="225" w:lineRule="exact"/>
        <w:rPr>
          <w:rFonts w:ascii="Arial" w:cs="Arial" w:eastAsia="Arial" w:hAnsi="Arial"/>
          <w:sz w:val="18"/>
          <w:szCs w:val="18"/>
          <w:color w:val="auto"/>
        </w:rPr>
      </w:pPr>
    </w:p>
    <w:p>
      <w:pPr>
        <w:ind w:left="820" w:hanging="379"/>
        <w:spacing w:after="0"/>
        <w:tabs>
          <w:tab w:leader="none" w:pos="82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provisions eliminating monetary damages for breaches of fiduciary duty by a director; and</w:t>
      </w:r>
    </w:p>
    <w:p>
      <w:pPr>
        <w:spacing w:after="0" w:line="225" w:lineRule="exact"/>
        <w:rPr>
          <w:rFonts w:ascii="Arial" w:cs="Arial" w:eastAsia="Arial" w:hAnsi="Arial"/>
          <w:sz w:val="18"/>
          <w:szCs w:val="18"/>
          <w:color w:val="auto"/>
        </w:rPr>
      </w:pPr>
    </w:p>
    <w:p>
      <w:pPr>
        <w:ind w:left="820" w:hanging="379"/>
        <w:spacing w:after="0" w:line="262" w:lineRule="auto"/>
        <w:tabs>
          <w:tab w:leader="none" w:pos="82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amendment provision requiring that the above provisions be amended only with a 75% supermajority vote.</w:t>
      </w:r>
    </w:p>
    <w:p>
      <w:pPr>
        <w:spacing w:after="0" w:line="196" w:lineRule="exact"/>
        <w:rPr>
          <w:sz w:val="20"/>
          <w:szCs w:val="20"/>
          <w:color w:val="auto"/>
        </w:rPr>
      </w:pPr>
    </w:p>
    <w:p>
      <w:pPr>
        <w:jc w:val="both"/>
        <w:ind w:firstLine="372"/>
        <w:spacing w:after="0" w:line="253" w:lineRule="auto"/>
        <w:rPr>
          <w:sz w:val="20"/>
          <w:szCs w:val="20"/>
          <w:color w:val="auto"/>
        </w:rPr>
      </w:pPr>
      <w:r>
        <w:rPr>
          <w:rFonts w:ascii="Arial" w:cs="Arial" w:eastAsia="Arial" w:hAnsi="Arial"/>
          <w:sz w:val="18"/>
          <w:szCs w:val="18"/>
          <w:color w:val="auto"/>
        </w:rPr>
        <w:t>The combination of the classification of our board of directors, the lack of cumulative voting and the supermajority voting requirements will make it more difficult for our existing stockholders to replace our board of directors as well as for another party to obtain control of us by replacing our board. Because our board of directors has the power to retain and discharge our officers, these provisions could also make it more difficult for existing stockholders or another party to effect a change in management.</w:t>
      </w:r>
    </w:p>
    <w:p>
      <w:pPr>
        <w:spacing w:after="0" w:line="170" w:lineRule="exact"/>
        <w:rPr>
          <w:sz w:val="20"/>
          <w:szCs w:val="20"/>
          <w:color w:val="auto"/>
        </w:rPr>
      </w:pPr>
    </w:p>
    <w:p>
      <w:pPr>
        <w:ind w:left="380"/>
        <w:spacing w:after="0"/>
        <w:rPr>
          <w:sz w:val="20"/>
          <w:szCs w:val="20"/>
          <w:color w:val="auto"/>
        </w:rPr>
      </w:pPr>
      <w:r>
        <w:rPr>
          <w:rFonts w:ascii="Arial" w:cs="Arial" w:eastAsia="Arial" w:hAnsi="Arial"/>
          <w:sz w:val="18"/>
          <w:szCs w:val="18"/>
          <w:b w:val="1"/>
          <w:bCs w:val="1"/>
          <w:i w:val="1"/>
          <w:iCs w:val="1"/>
          <w:color w:val="auto"/>
        </w:rPr>
        <w:t>Authorized but Unissued Shares</w:t>
      </w:r>
    </w:p>
    <w:p>
      <w:pPr>
        <w:spacing w:after="0" w:line="234" w:lineRule="exact"/>
        <w:rPr>
          <w:sz w:val="20"/>
          <w:szCs w:val="20"/>
          <w:color w:val="auto"/>
        </w:rPr>
      </w:pPr>
    </w:p>
    <w:p>
      <w:pPr>
        <w:jc w:val="both"/>
        <w:ind w:firstLine="309"/>
        <w:spacing w:after="0" w:line="252" w:lineRule="auto"/>
        <w:rPr>
          <w:sz w:val="20"/>
          <w:szCs w:val="20"/>
          <w:color w:val="auto"/>
        </w:rPr>
      </w:pPr>
      <w:r>
        <w:rPr>
          <w:rFonts w:ascii="Arial" w:cs="Arial" w:eastAsia="Arial" w:hAnsi="Arial"/>
          <w:sz w:val="18"/>
          <w:szCs w:val="18"/>
          <w:color w:val="auto"/>
        </w:rPr>
        <w:t>Our authorized but unissued shares of common stock and preferred stock are available for future issuance without stockholder approval, subject to stock exchange rules. These additional shares may be utilized for a variety of corporate purposes, including future public offerings to raise additional capital, corporate acquisitions and employee benefit plans. One of the effects of the existence of authorized but unissued common stock or preferred stock may be to enable our board to issue shares to persons friendly to current management, which issuance could render more difficult or discourage an attempt to obtain control of the company by means of a merger, tender offer, proxy contest or otherwise, and thereby protect the continuity of our management and possibly deprive our stockholders of opportunities to sell their shares of common stock at prices higher than prevailing market prices.</w:t>
      </w:r>
    </w:p>
    <w:p>
      <w:pPr>
        <w:spacing w:after="0" w:line="171" w:lineRule="exact"/>
        <w:rPr>
          <w:sz w:val="20"/>
          <w:szCs w:val="20"/>
          <w:color w:val="auto"/>
        </w:rPr>
      </w:pPr>
    </w:p>
    <w:p>
      <w:pPr>
        <w:ind w:left="380"/>
        <w:spacing w:after="0"/>
        <w:rPr>
          <w:sz w:val="20"/>
          <w:szCs w:val="20"/>
          <w:color w:val="auto"/>
        </w:rPr>
      </w:pPr>
      <w:r>
        <w:rPr>
          <w:rFonts w:ascii="Arial" w:cs="Arial" w:eastAsia="Arial" w:hAnsi="Arial"/>
          <w:sz w:val="18"/>
          <w:szCs w:val="18"/>
          <w:b w:val="1"/>
          <w:bCs w:val="1"/>
          <w:i w:val="1"/>
          <w:iCs w:val="1"/>
          <w:color w:val="auto"/>
        </w:rPr>
        <w:t>Business Combinations</w:t>
      </w:r>
    </w:p>
    <w:p>
      <w:pPr>
        <w:spacing w:after="0" w:line="234" w:lineRule="exact"/>
        <w:rPr>
          <w:sz w:val="20"/>
          <w:szCs w:val="20"/>
          <w:color w:val="auto"/>
        </w:rPr>
      </w:pPr>
    </w:p>
    <w:p>
      <w:pPr>
        <w:jc w:val="both"/>
        <w:ind w:firstLine="309"/>
        <w:spacing w:after="0" w:line="252" w:lineRule="auto"/>
        <w:rPr>
          <w:sz w:val="20"/>
          <w:szCs w:val="20"/>
          <w:color w:val="auto"/>
        </w:rPr>
      </w:pPr>
      <w:r>
        <w:rPr>
          <w:rFonts w:ascii="Arial" w:cs="Arial" w:eastAsia="Arial" w:hAnsi="Arial"/>
          <w:sz w:val="18"/>
          <w:szCs w:val="18"/>
          <w:color w:val="auto"/>
        </w:rPr>
        <w:t>We are not subject to the provisions of Section 203 of the DGCL. In general, Section 203 prohibits a publicly held Delaware corporation from engaging in a “business combination” with an “interested stockholder” for a three-year period following the time that the person becomes an interested stockholder, unless the business combination is approved in a prescribed manner. A “business combination” includes, among other things, a merger, asset or stock sale or other transaction resulting in a financial benefit to the interested stockholder. An “interested stockholder” is a person who, together with affiliates and associates, owns, or did own within three years prior to the determination of interested stockholder status, 15% or more of the corporation’s voting stock.</w:t>
      </w:r>
    </w:p>
    <w:p>
      <w:pPr>
        <w:spacing w:after="0" w:line="207" w:lineRule="exact"/>
        <w:rPr>
          <w:sz w:val="20"/>
          <w:szCs w:val="20"/>
          <w:color w:val="auto"/>
        </w:rPr>
      </w:pPr>
    </w:p>
    <w:p>
      <w:pPr>
        <w:jc w:val="both"/>
        <w:ind w:firstLine="309"/>
        <w:spacing w:after="0" w:line="251" w:lineRule="auto"/>
        <w:rPr>
          <w:sz w:val="20"/>
          <w:szCs w:val="20"/>
          <w:color w:val="auto"/>
        </w:rPr>
      </w:pPr>
      <w:r>
        <w:rPr>
          <w:rFonts w:ascii="Arial" w:cs="Arial" w:eastAsia="Arial" w:hAnsi="Arial"/>
          <w:sz w:val="18"/>
          <w:szCs w:val="18"/>
          <w:color w:val="auto"/>
        </w:rPr>
        <w:t>Under Section 203, a business combination between a corporation and an interested stockholder is prohibited unless it satisfies one of the following conditions: (1) before the stockholder became an interested stockholder, the board of directors approved either the business combination or the transaction which resulted in the stockholder becoming an interested stockholder; (2) upon consummation of the transaction which resulted in the stockholder becoming an interested stockholder, the interested stockholder owned at least 85% of the voting stock of the corporation outstanding at the time the transaction commenced, excluding for purposes of determining the voting stock outstanding, shares owned by persons who are directors and also officers, and employee stock plans, in some instances; or (3) at or after the time the stockholder became an interested stockholder, the business combination was approved by the board of directors and authorized at an annual or special meeting of the stockholders by the affirmative vote of at least two-thirds of the outstanding voting stock which is not owned by the interested stockholder.</w:t>
      </w:r>
    </w:p>
    <w:p>
      <w:pPr>
        <w:spacing w:after="0" w:line="212" w:lineRule="exact"/>
        <w:rPr>
          <w:sz w:val="20"/>
          <w:szCs w:val="20"/>
          <w:color w:val="auto"/>
        </w:rPr>
      </w:pPr>
    </w:p>
    <w:p>
      <w:pPr>
        <w:jc w:val="both"/>
        <w:ind w:firstLine="309"/>
        <w:spacing w:after="0" w:line="256" w:lineRule="auto"/>
        <w:rPr>
          <w:sz w:val="20"/>
          <w:szCs w:val="20"/>
          <w:color w:val="auto"/>
        </w:rPr>
      </w:pPr>
      <w:r>
        <w:rPr>
          <w:rFonts w:ascii="Arial" w:cs="Arial" w:eastAsia="Arial" w:hAnsi="Arial"/>
          <w:sz w:val="18"/>
          <w:szCs w:val="18"/>
          <w:color w:val="auto"/>
        </w:rPr>
        <w:t>A Delaware corporation may “opt out” of these provisions with an express provision in its original certificate of incorporation or an express provision in its certificate of incorporation or bylaws resulting from a stockholders’ amendment approved by at least a majority of the outstanding voting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-692785</wp:posOffset>
            </wp:positionH>
            <wp:positionV relativeFrom="paragraph">
              <wp:posOffset>330200</wp:posOffset>
            </wp:positionV>
            <wp:extent cx="7289165" cy="425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7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9280"/>
          </w:cols>
          <w:pgMar w:left="1320" w:top="584" w:right="1299" w:bottom="1440" w:gutter="0" w:footer="0" w:header="0"/>
        </w:sectPr>
      </w:pPr>
    </w:p>
    <w:bookmarkStart w:id="103" w:name="page104"/>
    <w:bookmarkEnd w:id="103"/>
    <w:p>
      <w:pPr>
        <w:jc w:val="both"/>
        <w:ind w:firstLine="309"/>
        <w:spacing w:after="0" w:line="278" w:lineRule="auto"/>
        <w:rPr>
          <w:sz w:val="20"/>
          <w:szCs w:val="20"/>
          <w:color w:val="auto"/>
        </w:rPr>
      </w:pPr>
      <w:r>
        <w:rPr>
          <w:rFonts w:ascii="Arial" w:cs="Arial" w:eastAsia="Arial" w:hAnsi="Arial"/>
          <w:sz w:val="17"/>
          <w:szCs w:val="17"/>
          <w:color w:val="auto"/>
        </w:rPr>
        <w:t>We have opted out of Section 203; however, our amended and restated certificate of incorporation contains similar provisions providing that we may not engage in certain “business combinations” with any “interested stockholder” for a three-year period following the time that the stockholder became an interested stockholder, unless:</w:t>
      </w:r>
    </w:p>
    <w:p>
      <w:pPr>
        <w:spacing w:after="0" w:line="185" w:lineRule="exact"/>
        <w:rPr>
          <w:sz w:val="20"/>
          <w:szCs w:val="20"/>
          <w:color w:val="auto"/>
        </w:rPr>
      </w:pPr>
    </w:p>
    <w:p>
      <w:pPr>
        <w:ind w:left="820" w:hanging="447"/>
        <w:spacing w:after="0" w:line="262" w:lineRule="auto"/>
        <w:tabs>
          <w:tab w:leader="none" w:pos="820" w:val="left"/>
        </w:tabs>
        <w:numPr>
          <w:ilvl w:val="0"/>
          <w:numId w:val="35"/>
        </w:numPr>
        <w:rPr>
          <w:rFonts w:ascii="Arial" w:cs="Arial" w:eastAsia="Arial" w:hAnsi="Arial"/>
          <w:sz w:val="18"/>
          <w:szCs w:val="18"/>
          <w:color w:val="auto"/>
        </w:rPr>
      </w:pPr>
      <w:r>
        <w:rPr>
          <w:rFonts w:ascii="Arial" w:cs="Arial" w:eastAsia="Arial" w:hAnsi="Arial"/>
          <w:sz w:val="18"/>
          <w:szCs w:val="18"/>
          <w:color w:val="auto"/>
        </w:rPr>
        <w:t>prior to such time, our board of directors approved either the business combination or the transaction which resulted in the stockholder becoming an interested stockholder;</w:t>
      </w:r>
    </w:p>
    <w:p>
      <w:pPr>
        <w:spacing w:after="0" w:line="196" w:lineRule="exact"/>
        <w:rPr>
          <w:rFonts w:ascii="Arial" w:cs="Arial" w:eastAsia="Arial" w:hAnsi="Arial"/>
          <w:sz w:val="18"/>
          <w:szCs w:val="18"/>
          <w:color w:val="auto"/>
        </w:rPr>
      </w:pPr>
    </w:p>
    <w:p>
      <w:pPr>
        <w:jc w:val="both"/>
        <w:ind w:left="820" w:hanging="447"/>
        <w:spacing w:after="0" w:line="256" w:lineRule="auto"/>
        <w:tabs>
          <w:tab w:leader="none" w:pos="820" w:val="left"/>
        </w:tabs>
        <w:numPr>
          <w:ilvl w:val="0"/>
          <w:numId w:val="35"/>
        </w:numPr>
        <w:rPr>
          <w:rFonts w:ascii="Arial" w:cs="Arial" w:eastAsia="Arial" w:hAnsi="Arial"/>
          <w:sz w:val="18"/>
          <w:szCs w:val="18"/>
          <w:color w:val="auto"/>
        </w:rPr>
      </w:pPr>
      <w:r>
        <w:rPr>
          <w:rFonts w:ascii="Arial" w:cs="Arial" w:eastAsia="Arial" w:hAnsi="Arial"/>
          <w:sz w:val="18"/>
          <w:szCs w:val="18"/>
          <w:color w:val="auto"/>
        </w:rPr>
        <w:t>upon consummation of the transaction that resulted in the stockholder becoming an interested stockholder, the interested stockholder owned at least 85% of our voting stock outstanding at the time the transaction commenced, excluding certain shares; or</w:t>
      </w:r>
    </w:p>
    <w:p>
      <w:pPr>
        <w:spacing w:after="0" w:line="201" w:lineRule="exact"/>
        <w:rPr>
          <w:rFonts w:ascii="Arial" w:cs="Arial" w:eastAsia="Arial" w:hAnsi="Arial"/>
          <w:sz w:val="18"/>
          <w:szCs w:val="18"/>
          <w:color w:val="auto"/>
        </w:rPr>
      </w:pPr>
    </w:p>
    <w:p>
      <w:pPr>
        <w:jc w:val="both"/>
        <w:ind w:left="820" w:hanging="447"/>
        <w:spacing w:after="0" w:line="256" w:lineRule="auto"/>
        <w:tabs>
          <w:tab w:leader="none" w:pos="820" w:val="left"/>
        </w:tabs>
        <w:numPr>
          <w:ilvl w:val="0"/>
          <w:numId w:val="35"/>
        </w:numPr>
        <w:rPr>
          <w:rFonts w:ascii="Arial" w:cs="Arial" w:eastAsia="Arial" w:hAnsi="Arial"/>
          <w:sz w:val="18"/>
          <w:szCs w:val="18"/>
          <w:color w:val="auto"/>
        </w:rPr>
      </w:pPr>
      <w:r>
        <w:rPr>
          <w:rFonts w:ascii="Arial" w:cs="Arial" w:eastAsia="Arial" w:hAnsi="Arial"/>
          <w:sz w:val="18"/>
          <w:szCs w:val="18"/>
          <w:color w:val="auto"/>
        </w:rPr>
        <w:t>at or subsequent to that time, the business combination is approved by our board of directors and by the affirmative vote of holders of at least 66 2/3% of our outstanding voting stock that is not owned by the interested stockholder.</w:t>
      </w:r>
    </w:p>
    <w:p>
      <w:pPr>
        <w:spacing w:after="0" w:line="202" w:lineRule="exact"/>
        <w:rPr>
          <w:sz w:val="20"/>
          <w:szCs w:val="20"/>
          <w:color w:val="auto"/>
        </w:rPr>
      </w:pPr>
    </w:p>
    <w:p>
      <w:pPr>
        <w:jc w:val="both"/>
        <w:ind w:firstLine="309"/>
        <w:spacing w:after="0" w:line="252" w:lineRule="auto"/>
        <w:rPr>
          <w:sz w:val="20"/>
          <w:szCs w:val="20"/>
          <w:color w:val="auto"/>
        </w:rPr>
      </w:pPr>
      <w:r>
        <w:rPr>
          <w:rFonts w:ascii="Arial" w:cs="Arial" w:eastAsia="Arial" w:hAnsi="Arial"/>
          <w:sz w:val="18"/>
          <w:szCs w:val="18"/>
          <w:color w:val="auto"/>
        </w:rPr>
        <w:t>Under certain circumstances, this provision will make it more difficult for a person who would be an “interested stockholder” to effect various business combinations with the company for a three-year period. This provision may encourage companies interested in acquiring the company to negotiate in advance with our board because the stockholder approval requirement would be avoided if our board approves either the business combination or the transaction which results in the stockholder becoming an interested stockholder. These provisions also may have the effect of preventing changes in our board and may make it more difficult to accomplish transactions which stockholders may otherwise deem to be in their best interests.</w:t>
      </w:r>
    </w:p>
    <w:p>
      <w:pPr>
        <w:spacing w:after="0" w:line="172" w:lineRule="exact"/>
        <w:rPr>
          <w:sz w:val="20"/>
          <w:szCs w:val="20"/>
          <w:color w:val="auto"/>
        </w:rPr>
      </w:pPr>
    </w:p>
    <w:p>
      <w:pPr>
        <w:ind w:left="380"/>
        <w:spacing w:after="0"/>
        <w:rPr>
          <w:sz w:val="20"/>
          <w:szCs w:val="20"/>
          <w:color w:val="auto"/>
        </w:rPr>
      </w:pPr>
      <w:r>
        <w:rPr>
          <w:rFonts w:ascii="Arial" w:cs="Arial" w:eastAsia="Arial" w:hAnsi="Arial"/>
          <w:sz w:val="18"/>
          <w:szCs w:val="18"/>
          <w:b w:val="1"/>
          <w:bCs w:val="1"/>
          <w:i w:val="1"/>
          <w:iCs w:val="1"/>
          <w:color w:val="auto"/>
        </w:rPr>
        <w:t>Exclusive Forum</w:t>
      </w:r>
    </w:p>
    <w:p>
      <w:pPr>
        <w:spacing w:after="0" w:line="234" w:lineRule="exact"/>
        <w:rPr>
          <w:sz w:val="20"/>
          <w:szCs w:val="20"/>
          <w:color w:val="auto"/>
        </w:rPr>
      </w:pPr>
    </w:p>
    <w:p>
      <w:pPr>
        <w:jc w:val="both"/>
        <w:ind w:firstLine="309"/>
        <w:spacing w:after="0" w:line="251" w:lineRule="auto"/>
        <w:rPr>
          <w:sz w:val="20"/>
          <w:szCs w:val="20"/>
          <w:color w:val="auto"/>
        </w:rPr>
      </w:pPr>
      <w:r>
        <w:rPr>
          <w:rFonts w:ascii="Arial" w:cs="Arial" w:eastAsia="Arial" w:hAnsi="Arial"/>
          <w:sz w:val="18"/>
          <w:szCs w:val="18"/>
          <w:color w:val="auto"/>
        </w:rPr>
        <w:t>Our amended and restated bylaws provides that, unless we consent in writing to the selection of an alternative forum, the sole and exclusive forum for (1) any derivative action or proceeding brought on our behalf, (2) any action asserting a claim of breach of a fiduciary duty owed by any of our directors, officers or other employees to us or our stockholders, (3) any action asserting a claim against the company or any director or officer of the company arising pursuant to any provision of the DGCL, or (4) any other action asserting a claim that is governed by the internal affairs doctrine shall be a state or federal court located within the State of Delaware, in all cases subject to the court’s having jurisdiction over indispensable parties named as defendants. Any person or entity purchasing or otherwise acquiring any interest in our shares of capital stock shall be deemed to have notice of and consented to this provision. Although we believe these provisions benefit us by providing increased consistency in the application of Delaware law for the specified types of actions and proceedings, the provisions may have the effect of discouraging lawsuits against us or our directors and officers.</w:t>
      </w:r>
    </w:p>
    <w:p>
      <w:pPr>
        <w:spacing w:after="0" w:line="176" w:lineRule="exact"/>
        <w:rPr>
          <w:sz w:val="20"/>
          <w:szCs w:val="20"/>
          <w:color w:val="auto"/>
        </w:rPr>
      </w:pPr>
    </w:p>
    <w:p>
      <w:pPr>
        <w:ind w:left="380"/>
        <w:spacing w:after="0"/>
        <w:rPr>
          <w:sz w:val="20"/>
          <w:szCs w:val="20"/>
          <w:color w:val="auto"/>
        </w:rPr>
      </w:pPr>
      <w:r>
        <w:rPr>
          <w:rFonts w:ascii="Arial" w:cs="Arial" w:eastAsia="Arial" w:hAnsi="Arial"/>
          <w:sz w:val="18"/>
          <w:szCs w:val="18"/>
          <w:b w:val="1"/>
          <w:bCs w:val="1"/>
          <w:i w:val="1"/>
          <w:iCs w:val="1"/>
          <w:color w:val="auto"/>
        </w:rPr>
        <w:t>Conflicts of Interest</w:t>
      </w:r>
    </w:p>
    <w:p>
      <w:pPr>
        <w:spacing w:after="0" w:line="234" w:lineRule="exact"/>
        <w:rPr>
          <w:sz w:val="20"/>
          <w:szCs w:val="20"/>
          <w:color w:val="auto"/>
        </w:rPr>
      </w:pPr>
    </w:p>
    <w:p>
      <w:pPr>
        <w:jc w:val="both"/>
        <w:ind w:firstLine="309"/>
        <w:spacing w:after="0" w:line="251" w:lineRule="auto"/>
        <w:rPr>
          <w:sz w:val="20"/>
          <w:szCs w:val="20"/>
          <w:color w:val="auto"/>
        </w:rPr>
      </w:pPr>
      <w:r>
        <w:rPr>
          <w:rFonts w:ascii="Arial" w:cs="Arial" w:eastAsia="Arial" w:hAnsi="Arial"/>
          <w:sz w:val="18"/>
          <w:szCs w:val="18"/>
          <w:color w:val="auto"/>
        </w:rPr>
        <w:t>Delaware law permits corporations to adopt provisions renouncing any interest or expectancy in certain opportunities that are presented to the corporation or its officers, directors or stockholders. Our amended and restated certificate of incorporation, to the maximum extent permitted from time to time by Delaware law, renounces any interest or expectancy that we have in, or right to be offered an opportunity to participate in, specified business opportunities that are from time to time presented to certain of our officers, directors or stockholders or their respective affiliates, other than those officers, directors, stockholders or affiliates who are our or our subsidiaries’ employees. Our certificate of incorporation provides that, to the fullest extent permitted by law, none of Silver Lake Sumeru or Iconiq, their respective affiliates or the directors they designate will have any duty to refrain from (1) engaging in a corporate or business opportunity or offer a prospective economic or competitive advantage in which we, or any of our affiliates, directly could have an interest of expectancy, (2) otherwise competing with us or our affiliates, (3) otherwise doing business with any potential or actual customer or supplier of ours or our affiliates or (4) otherwise employing or engaging any officer or employee or any of our affiliates. In addition, to the fullest extent permitted by law, in the event that Silver Lake Sumeru or Iconiq,</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-692785</wp:posOffset>
            </wp:positionH>
            <wp:positionV relativeFrom="paragraph">
              <wp:posOffset>336550</wp:posOffset>
            </wp:positionV>
            <wp:extent cx="7289165" cy="4254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7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9280"/>
          </w:cols>
          <w:pgMar w:left="1320" w:top="584" w:right="1299" w:bottom="1440" w:gutter="0" w:footer="0" w:header="0"/>
        </w:sectPr>
      </w:pPr>
    </w:p>
    <w:bookmarkStart w:id="104" w:name="page105"/>
    <w:bookmarkEnd w:id="104"/>
    <w:p>
      <w:pPr>
        <w:jc w:val="both"/>
        <w:spacing w:after="0" w:line="251" w:lineRule="auto"/>
        <w:rPr>
          <w:sz w:val="20"/>
          <w:szCs w:val="20"/>
          <w:color w:val="auto"/>
        </w:rPr>
      </w:pPr>
      <w:r>
        <w:rPr>
          <w:rFonts w:ascii="Arial" w:cs="Arial" w:eastAsia="Arial" w:hAnsi="Arial"/>
          <w:sz w:val="18"/>
          <w:szCs w:val="18"/>
          <w:color w:val="auto"/>
        </w:rPr>
        <w:t>their respective affiliates or the directors they designate acquires knowledge of a potential transaction or other business opportunity which may be a corporate opportunity for itself, herself or himself or its or his affiliates or for us or our affiliates, such person will have no duty to communicate or offer such transaction or business opportunity to us or any of our affiliates and they may take any such opportunity for themselves or offer it to another person or entity. Our amended and restated certificate of incorporation does not renounce our interest in any business opportunity that is expressly offered to Silver Lake Sumeru, Iconiq, their respective affiliates or the directors they designate solely in his or her capacity as a director or officer of the company. To the fullest extent permitted by law, no business opportunity will be deemed to be a potential corporate opportunity for us unless we would be permitted to undertake the opportunity under our amended and restated certificate of incorporation, we have sufficient financial resources to undertake the opportunity, the opportunity would be in line with our business, and the opportunity is one in which we have an interest or reasonable expectancy.</w:t>
      </w:r>
    </w:p>
    <w:p>
      <w:pPr>
        <w:spacing w:after="0" w:line="176" w:lineRule="exact"/>
        <w:rPr>
          <w:sz w:val="20"/>
          <w:szCs w:val="20"/>
          <w:color w:val="auto"/>
        </w:rPr>
      </w:pPr>
    </w:p>
    <w:p>
      <w:pPr>
        <w:ind w:left="380"/>
        <w:spacing w:after="0"/>
        <w:rPr>
          <w:sz w:val="20"/>
          <w:szCs w:val="20"/>
          <w:color w:val="auto"/>
        </w:rPr>
      </w:pPr>
      <w:r>
        <w:rPr>
          <w:rFonts w:ascii="Arial" w:cs="Arial" w:eastAsia="Arial" w:hAnsi="Arial"/>
          <w:sz w:val="18"/>
          <w:szCs w:val="18"/>
          <w:b w:val="1"/>
          <w:bCs w:val="1"/>
          <w:i w:val="1"/>
          <w:iCs w:val="1"/>
          <w:color w:val="auto"/>
        </w:rPr>
        <w:t>Limitations on Liability and Indemnification of Officers and Directors</w:t>
      </w:r>
    </w:p>
    <w:p>
      <w:pPr>
        <w:spacing w:after="0" w:line="234" w:lineRule="exact"/>
        <w:rPr>
          <w:sz w:val="20"/>
          <w:szCs w:val="20"/>
          <w:color w:val="auto"/>
        </w:rPr>
      </w:pPr>
    </w:p>
    <w:p>
      <w:pPr>
        <w:jc w:val="both"/>
        <w:ind w:firstLine="309"/>
        <w:spacing w:after="0" w:line="251" w:lineRule="auto"/>
        <w:rPr>
          <w:sz w:val="20"/>
          <w:szCs w:val="20"/>
          <w:color w:val="auto"/>
        </w:rPr>
      </w:pPr>
      <w:r>
        <w:rPr>
          <w:rFonts w:ascii="Arial" w:cs="Arial" w:eastAsia="Arial" w:hAnsi="Arial"/>
          <w:sz w:val="18"/>
          <w:szCs w:val="18"/>
          <w:color w:val="auto"/>
        </w:rPr>
        <w:t>The DGCL authorizes corporations to limit or eliminate the personal liability of directors to corporations and their stockholders for monetary damages for breaches of directors’ fiduciary duties, subject to certain exceptions. Our amended and restated certificate of incorporation includes a provision that eliminates the personal liability of directors for monetary damages for any breach of fiduciary duty as a director, except to the extent such exemption from liability or limitation thereof is not permitted under the DGCL. These provisions eliminate the rights of us and our stockholders, through stockholders’ derivative suits on our behalf, to recover monetary damages from a director for breach of fiduciary duty as a director, including breaches resulting from grossly negligent behavior. However, exculpation will not apply to any director if the director has acted in bad faith, knowingly or intentionally violated the law, authorized illegal dividends or redemptions or derived an improper benefit from his or her actions as a director.</w:t>
      </w:r>
    </w:p>
    <w:p>
      <w:pPr>
        <w:spacing w:after="0" w:line="200" w:lineRule="exact"/>
        <w:rPr>
          <w:sz w:val="20"/>
          <w:szCs w:val="20"/>
          <w:color w:val="auto"/>
        </w:rPr>
      </w:pPr>
    </w:p>
    <w:p>
      <w:pPr>
        <w:spacing w:after="0" w:line="229" w:lineRule="exact"/>
        <w:rPr>
          <w:sz w:val="20"/>
          <w:szCs w:val="20"/>
          <w:color w:val="auto"/>
        </w:rPr>
      </w:pPr>
    </w:p>
    <w:p>
      <w:pPr>
        <w:jc w:val="both"/>
        <w:ind w:firstLine="309"/>
        <w:spacing w:after="0" w:line="253" w:lineRule="auto"/>
        <w:rPr>
          <w:sz w:val="20"/>
          <w:szCs w:val="20"/>
          <w:color w:val="auto"/>
        </w:rPr>
      </w:pPr>
      <w:r>
        <w:rPr>
          <w:rFonts w:ascii="Arial" w:cs="Arial" w:eastAsia="Arial" w:hAnsi="Arial"/>
          <w:sz w:val="18"/>
          <w:szCs w:val="18"/>
          <w:color w:val="auto"/>
        </w:rPr>
        <w:t>Our amended and restated bylaws provide that we must indemnify and advance expenses to our directors and officers to the fullest extent authorized by the DGCL. We also are expressly authorized to carry directors’ and officers’ liability insurance providing indemnification for our directors, officers and certain employees for some liabilities. We believe that these indemnification and advancement provisions and insurance will be useful to attract and retain qualified directors and officers.</w:t>
      </w:r>
    </w:p>
    <w:p>
      <w:pPr>
        <w:spacing w:after="0" w:line="206" w:lineRule="exact"/>
        <w:rPr>
          <w:sz w:val="20"/>
          <w:szCs w:val="20"/>
          <w:color w:val="auto"/>
        </w:rPr>
      </w:pPr>
    </w:p>
    <w:p>
      <w:pPr>
        <w:jc w:val="both"/>
        <w:ind w:firstLine="309"/>
        <w:spacing w:after="0" w:line="252" w:lineRule="auto"/>
        <w:rPr>
          <w:sz w:val="20"/>
          <w:szCs w:val="20"/>
          <w:color w:val="auto"/>
        </w:rPr>
      </w:pPr>
      <w:r>
        <w:rPr>
          <w:rFonts w:ascii="Arial" w:cs="Arial" w:eastAsia="Arial" w:hAnsi="Arial"/>
          <w:sz w:val="18"/>
          <w:szCs w:val="18"/>
          <w:color w:val="auto"/>
        </w:rPr>
        <w:t>The limitation of liability, indemnification and advancement provisions included in our certificate of incorporation and bylaws may discourage stockholders from bringing a lawsuit against directors for breaches of their fiduciary duty. These provisions also may have the effect of reducing the likelihood of derivative litigation against directors and officers, even though such an action, if successful, might otherwise benefit us and our stockholders. In addition, your investment may be adversely affected to the extent we pay the costs of settlement and damage awards against directors and officers pursuant to these indemnification provisions.</w:t>
      </w:r>
    </w:p>
    <w:p>
      <w:pPr>
        <w:spacing w:after="0" w:line="209" w:lineRule="exact"/>
        <w:rPr>
          <w:sz w:val="20"/>
          <w:szCs w:val="20"/>
          <w:color w:val="auto"/>
        </w:rPr>
      </w:pPr>
    </w:p>
    <w:p>
      <w:pPr>
        <w:jc w:val="both"/>
        <w:ind w:firstLine="309"/>
        <w:spacing w:after="0" w:line="262" w:lineRule="auto"/>
        <w:rPr>
          <w:sz w:val="20"/>
          <w:szCs w:val="20"/>
          <w:color w:val="auto"/>
        </w:rPr>
      </w:pPr>
      <w:r>
        <w:rPr>
          <w:rFonts w:ascii="Arial" w:cs="Arial" w:eastAsia="Arial" w:hAnsi="Arial"/>
          <w:sz w:val="18"/>
          <w:szCs w:val="18"/>
          <w:color w:val="auto"/>
        </w:rPr>
        <w:t>There is currently no pending material litigation or proceeding involving any of our directors, officers or employees for which indemnification is sought.</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Transfer Agent and Registrar</w:t>
      </w:r>
    </w:p>
    <w:p>
      <w:pPr>
        <w:spacing w:after="0" w:line="234" w:lineRule="exact"/>
        <w:rPr>
          <w:sz w:val="20"/>
          <w:szCs w:val="20"/>
          <w:color w:val="auto"/>
        </w:rPr>
      </w:pPr>
    </w:p>
    <w:p>
      <w:pPr>
        <w:jc w:val="both"/>
        <w:ind w:firstLine="309"/>
        <w:spacing w:after="0" w:line="256" w:lineRule="auto"/>
        <w:rPr>
          <w:sz w:val="20"/>
          <w:szCs w:val="20"/>
          <w:color w:val="auto"/>
        </w:rPr>
      </w:pPr>
      <w:r>
        <w:rPr>
          <w:rFonts w:ascii="Arial" w:cs="Arial" w:eastAsia="Arial" w:hAnsi="Arial"/>
          <w:sz w:val="18"/>
          <w:szCs w:val="18"/>
          <w:color w:val="auto"/>
        </w:rPr>
        <w:t>The transfer agent and registrar for our common stock is American Stock Transfer &amp; Trust Company, LLC. The transfer agent and registrar’s address is 6201 15th Avenue, Brooklyn, New York 11219, and its telephone number is (718) 921-8206.</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Listing</w:t>
      </w:r>
    </w:p>
    <w:p>
      <w:pPr>
        <w:spacing w:after="0" w:line="234" w:lineRule="exact"/>
        <w:rPr>
          <w:sz w:val="20"/>
          <w:szCs w:val="20"/>
          <w:color w:val="auto"/>
        </w:rPr>
      </w:pPr>
    </w:p>
    <w:p>
      <w:pPr>
        <w:ind w:left="380"/>
        <w:spacing w:after="0"/>
        <w:rPr>
          <w:sz w:val="20"/>
          <w:szCs w:val="20"/>
          <w:color w:val="auto"/>
        </w:rPr>
      </w:pPr>
      <w:r>
        <w:rPr>
          <w:rFonts w:ascii="Arial" w:cs="Arial" w:eastAsia="Arial" w:hAnsi="Arial"/>
          <w:sz w:val="18"/>
          <w:szCs w:val="18"/>
          <w:color w:val="auto"/>
        </w:rPr>
        <w:t>Our common stock is listed on the Nasdaq Global Select Market under the symbol “BL”.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-692785</wp:posOffset>
            </wp:positionH>
            <wp:positionV relativeFrom="paragraph">
              <wp:posOffset>1854835</wp:posOffset>
            </wp:positionV>
            <wp:extent cx="7289165" cy="4254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7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9280"/>
          </w:cols>
          <w:pgMar w:left="1320" w:top="584" w:right="1299" w:bottom="1440" w:gutter="0" w:footer="0" w:header="0"/>
        </w:sectPr>
      </w:pPr>
    </w:p>
    <w:bookmarkStart w:id="105" w:name="page106"/>
    <w:bookmarkEnd w:id="105"/>
    <w:p>
      <w:pPr>
        <w:spacing w:after="0" w:line="20" w:lineRule="exact"/>
        <w:rPr>
          <w:sz w:val="20"/>
          <w:szCs w:val="20"/>
          <w:color w:val="auto"/>
        </w:rPr>
      </w:pPr>
    </w:p>
    <w:p>
      <w:pPr>
        <w:sectPr>
          <w:pgSz w:w="11900" w:h="16838" w:orient="portrait"/>
          <w:cols w:equalWidth="1" w:num="1" w:space="0"/>
          <w:pgMar w:left="1440" w:top="1440" w:right="1440" w:bottom="875" w:gutter="0" w:footer="0" w:header="0"/>
        </w:sectPr>
      </w:pPr>
    </w:p>
    <w:bookmarkStart w:id="106" w:name="page107"/>
    <w:bookmarkEnd w:id="106"/>
    <w:tbl>
      <w:tblPr>
        <w:tblLayout w:type="fixed"/>
        <w:tblInd w:w="0" w:type="dxa"/>
        <w:tblCellMar>
          <w:top w:w="0" w:type="dxa"/>
          <w:left w:w="0" w:type="dxa"/>
          <w:bottom w:w="0" w:type="dxa"/>
          <w:right w:w="0" w:type="dxa"/>
        </w:tblCellMar>
      </w:tblPr>
      <w:tr>
        <w:trPr>
          <w:trHeight w:val="238"/>
        </w:trPr>
        <w:tc>
          <w:tcPr>
            <w:tcW w:w="68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3620" w:type="dxa"/>
            <w:vAlign w:val="bottom"/>
          </w:tcPr>
          <w:p>
            <w:pPr>
              <w:ind w:left="2500"/>
              <w:spacing w:after="0"/>
              <w:rPr>
                <w:sz w:val="20"/>
                <w:szCs w:val="20"/>
                <w:color w:val="auto"/>
              </w:rPr>
            </w:pPr>
            <w:r>
              <w:rPr>
                <w:rFonts w:ascii="Arial" w:cs="Arial" w:eastAsia="Arial" w:hAnsi="Arial"/>
                <w:sz w:val="18"/>
                <w:szCs w:val="18"/>
                <w:b w:val="1"/>
                <w:bCs w:val="1"/>
                <w:color w:val="auto"/>
                <w:w w:val="99"/>
              </w:rPr>
              <w:t>EXHIBIT 21.1</w:t>
            </w:r>
          </w:p>
        </w:tc>
      </w:tr>
      <w:tr>
        <w:trPr>
          <w:trHeight w:val="365"/>
        </w:trPr>
        <w:tc>
          <w:tcPr>
            <w:tcW w:w="7800" w:type="dxa"/>
            <w:vAlign w:val="bottom"/>
            <w:gridSpan w:val="3"/>
          </w:tcPr>
          <w:p>
            <w:pPr>
              <w:ind w:left="3860"/>
              <w:spacing w:after="0"/>
              <w:rPr>
                <w:sz w:val="20"/>
                <w:szCs w:val="20"/>
                <w:color w:val="auto"/>
              </w:rPr>
            </w:pPr>
            <w:r>
              <w:rPr>
                <w:rFonts w:ascii="Arial" w:cs="Arial" w:eastAsia="Arial" w:hAnsi="Arial"/>
                <w:sz w:val="18"/>
                <w:szCs w:val="18"/>
                <w:b w:val="1"/>
                <w:bCs w:val="1"/>
                <w:color w:val="auto"/>
              </w:rPr>
              <w:t>LIST OF SUBSIDIARIES OF THE COMPANY</w:t>
            </w:r>
          </w:p>
        </w:tc>
        <w:tc>
          <w:tcPr>
            <w:tcW w:w="3620" w:type="dxa"/>
            <w:vAlign w:val="bottom"/>
          </w:tcPr>
          <w:p>
            <w:pPr>
              <w:spacing w:after="0"/>
              <w:rPr>
                <w:sz w:val="24"/>
                <w:szCs w:val="24"/>
                <w:color w:val="auto"/>
              </w:rPr>
            </w:pPr>
          </w:p>
        </w:tc>
      </w:tr>
      <w:tr>
        <w:trPr>
          <w:trHeight w:val="419"/>
        </w:trPr>
        <w:tc>
          <w:tcPr>
            <w:tcW w:w="6880" w:type="dxa"/>
            <w:vAlign w:val="bottom"/>
            <w:tcBorders>
              <w:bottom w:val="single" w:sz="8" w:color="auto"/>
            </w:tcBorders>
          </w:tcPr>
          <w:p>
            <w:pPr>
              <w:ind w:left="2600"/>
              <w:spacing w:after="0"/>
              <w:rPr>
                <w:sz w:val="20"/>
                <w:szCs w:val="20"/>
                <w:color w:val="auto"/>
              </w:rPr>
            </w:pPr>
            <w:r>
              <w:rPr>
                <w:rFonts w:ascii="Arial" w:cs="Arial" w:eastAsia="Arial" w:hAnsi="Arial"/>
                <w:sz w:val="18"/>
                <w:szCs w:val="18"/>
                <w:b w:val="1"/>
                <w:bCs w:val="1"/>
                <w:color w:val="auto"/>
              </w:rPr>
              <w:t>Name of Subsidiary</w:t>
            </w:r>
          </w:p>
        </w:tc>
        <w:tc>
          <w:tcPr>
            <w:tcW w:w="280" w:type="dxa"/>
            <w:vAlign w:val="bottom"/>
            <w:tcBorders>
              <w:bottom w:val="single" w:sz="8" w:color="CFF0FC"/>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3620" w:type="dxa"/>
            <w:vAlign w:val="bottom"/>
            <w:tcBorders>
              <w:bottom w:val="single" w:sz="8" w:color="auto"/>
            </w:tcBorders>
          </w:tcPr>
          <w:p>
            <w:pPr>
              <w:jc w:val="center"/>
              <w:ind w:right="570"/>
              <w:spacing w:after="0"/>
              <w:rPr>
                <w:sz w:val="20"/>
                <w:szCs w:val="20"/>
                <w:color w:val="auto"/>
              </w:rPr>
            </w:pPr>
            <w:r>
              <w:rPr>
                <w:rFonts w:ascii="Arial" w:cs="Arial" w:eastAsia="Arial" w:hAnsi="Arial"/>
                <w:sz w:val="18"/>
                <w:szCs w:val="18"/>
                <w:b w:val="1"/>
                <w:bCs w:val="1"/>
                <w:color w:val="auto"/>
                <w:w w:val="99"/>
              </w:rPr>
              <w:t>Jurisdiction of Incorporation</w:t>
            </w:r>
          </w:p>
        </w:tc>
      </w:tr>
      <w:tr>
        <w:trPr>
          <w:trHeight w:val="210"/>
        </w:trPr>
        <w:tc>
          <w:tcPr>
            <w:tcW w:w="7800" w:type="dxa"/>
            <w:vAlign w:val="bottom"/>
            <w:gridSpan w:val="3"/>
            <w:shd w:val="clear" w:color="auto" w:fill="CFF0FC"/>
          </w:tcPr>
          <w:p>
            <w:pPr>
              <w:spacing w:after="0"/>
              <w:rPr>
                <w:sz w:val="20"/>
                <w:szCs w:val="20"/>
                <w:color w:val="auto"/>
              </w:rPr>
            </w:pPr>
            <w:r>
              <w:rPr>
                <w:rFonts w:ascii="Arial" w:cs="Arial" w:eastAsia="Arial" w:hAnsi="Arial"/>
                <w:sz w:val="18"/>
                <w:szCs w:val="18"/>
                <w:color w:val="auto"/>
              </w:rPr>
              <w:t>BlackLine Systems, Inc.</w:t>
            </w:r>
          </w:p>
        </w:tc>
        <w:tc>
          <w:tcPr>
            <w:tcW w:w="3620" w:type="dxa"/>
            <w:vAlign w:val="bottom"/>
            <w:shd w:val="clear" w:color="auto" w:fill="CFF0FC"/>
          </w:tcPr>
          <w:p>
            <w:pPr>
              <w:jc w:val="center"/>
              <w:ind w:right="570"/>
              <w:spacing w:after="0"/>
              <w:rPr>
                <w:sz w:val="20"/>
                <w:szCs w:val="20"/>
                <w:color w:val="auto"/>
              </w:rPr>
            </w:pPr>
            <w:r>
              <w:rPr>
                <w:rFonts w:ascii="Arial" w:cs="Arial" w:eastAsia="Arial" w:hAnsi="Arial"/>
                <w:sz w:val="18"/>
                <w:szCs w:val="18"/>
                <w:color w:val="auto"/>
                <w:w w:val="99"/>
              </w:rPr>
              <w:t>California</w:t>
            </w:r>
          </w:p>
        </w:tc>
      </w:tr>
      <w:tr>
        <w:trPr>
          <w:trHeight w:val="216"/>
        </w:trPr>
        <w:tc>
          <w:tcPr>
            <w:tcW w:w="7800" w:type="dxa"/>
            <w:vAlign w:val="bottom"/>
            <w:gridSpan w:val="3"/>
          </w:tcPr>
          <w:p>
            <w:pPr>
              <w:spacing w:after="0"/>
              <w:rPr>
                <w:sz w:val="20"/>
                <w:szCs w:val="20"/>
                <w:color w:val="auto"/>
              </w:rPr>
            </w:pPr>
            <w:r>
              <w:rPr>
                <w:rFonts w:ascii="Arial" w:cs="Arial" w:eastAsia="Arial" w:hAnsi="Arial"/>
                <w:sz w:val="18"/>
                <w:szCs w:val="18"/>
                <w:color w:val="auto"/>
              </w:rPr>
              <w:t>BlackLine Intermediate, Inc.</w:t>
            </w:r>
          </w:p>
        </w:tc>
        <w:tc>
          <w:tcPr>
            <w:tcW w:w="3620" w:type="dxa"/>
            <w:vAlign w:val="bottom"/>
          </w:tcPr>
          <w:p>
            <w:pPr>
              <w:jc w:val="center"/>
              <w:ind w:right="570"/>
              <w:spacing w:after="0"/>
              <w:rPr>
                <w:sz w:val="20"/>
                <w:szCs w:val="20"/>
                <w:color w:val="auto"/>
              </w:rPr>
            </w:pPr>
            <w:r>
              <w:rPr>
                <w:rFonts w:ascii="Arial" w:cs="Arial" w:eastAsia="Arial" w:hAnsi="Arial"/>
                <w:sz w:val="18"/>
                <w:szCs w:val="18"/>
                <w:color w:val="auto"/>
                <w:w w:val="99"/>
              </w:rPr>
              <w:t>Delaware</w:t>
            </w:r>
          </w:p>
        </w:tc>
      </w:tr>
      <w:tr>
        <w:trPr>
          <w:trHeight w:val="216"/>
        </w:trPr>
        <w:tc>
          <w:tcPr>
            <w:tcW w:w="7800" w:type="dxa"/>
            <w:vAlign w:val="bottom"/>
            <w:gridSpan w:val="3"/>
            <w:shd w:val="clear" w:color="auto" w:fill="CFF0FC"/>
          </w:tcPr>
          <w:p>
            <w:pPr>
              <w:spacing w:after="0"/>
              <w:rPr>
                <w:sz w:val="20"/>
                <w:szCs w:val="20"/>
                <w:color w:val="auto"/>
              </w:rPr>
            </w:pPr>
            <w:r>
              <w:rPr>
                <w:rFonts w:ascii="Arial" w:cs="Arial" w:eastAsia="Arial" w:hAnsi="Arial"/>
                <w:sz w:val="18"/>
                <w:szCs w:val="18"/>
                <w:color w:val="auto"/>
              </w:rPr>
              <w:t>BlackLine CV, LLC</w:t>
            </w:r>
          </w:p>
        </w:tc>
        <w:tc>
          <w:tcPr>
            <w:tcW w:w="3620" w:type="dxa"/>
            <w:vAlign w:val="bottom"/>
            <w:shd w:val="clear" w:color="auto" w:fill="CFF0FC"/>
          </w:tcPr>
          <w:p>
            <w:pPr>
              <w:jc w:val="center"/>
              <w:ind w:right="570"/>
              <w:spacing w:after="0"/>
              <w:rPr>
                <w:sz w:val="20"/>
                <w:szCs w:val="20"/>
                <w:color w:val="auto"/>
              </w:rPr>
            </w:pPr>
            <w:r>
              <w:rPr>
                <w:rFonts w:ascii="Arial" w:cs="Arial" w:eastAsia="Arial" w:hAnsi="Arial"/>
                <w:sz w:val="18"/>
                <w:szCs w:val="18"/>
                <w:color w:val="auto"/>
                <w:w w:val="99"/>
              </w:rPr>
              <w:t>Delaware</w:t>
            </w:r>
          </w:p>
        </w:tc>
      </w:tr>
      <w:tr>
        <w:trPr>
          <w:trHeight w:val="216"/>
        </w:trPr>
        <w:tc>
          <w:tcPr>
            <w:tcW w:w="7800" w:type="dxa"/>
            <w:vAlign w:val="bottom"/>
            <w:gridSpan w:val="3"/>
          </w:tcPr>
          <w:p>
            <w:pPr>
              <w:spacing w:after="0"/>
              <w:rPr>
                <w:sz w:val="20"/>
                <w:szCs w:val="20"/>
                <w:color w:val="auto"/>
              </w:rPr>
            </w:pPr>
            <w:r>
              <w:rPr>
                <w:rFonts w:ascii="Arial" w:cs="Arial" w:eastAsia="Arial" w:hAnsi="Arial"/>
                <w:sz w:val="18"/>
                <w:szCs w:val="18"/>
                <w:color w:val="auto"/>
              </w:rPr>
              <w:t>BlackLine Coop, LLC</w:t>
            </w:r>
          </w:p>
        </w:tc>
        <w:tc>
          <w:tcPr>
            <w:tcW w:w="3620" w:type="dxa"/>
            <w:vAlign w:val="bottom"/>
          </w:tcPr>
          <w:p>
            <w:pPr>
              <w:jc w:val="center"/>
              <w:ind w:right="570"/>
              <w:spacing w:after="0"/>
              <w:rPr>
                <w:sz w:val="20"/>
                <w:szCs w:val="20"/>
                <w:color w:val="auto"/>
              </w:rPr>
            </w:pPr>
            <w:r>
              <w:rPr>
                <w:rFonts w:ascii="Arial" w:cs="Arial" w:eastAsia="Arial" w:hAnsi="Arial"/>
                <w:sz w:val="18"/>
                <w:szCs w:val="18"/>
                <w:color w:val="auto"/>
                <w:w w:val="99"/>
              </w:rPr>
              <w:t>Delaware</w:t>
            </w:r>
          </w:p>
        </w:tc>
      </w:tr>
      <w:tr>
        <w:trPr>
          <w:trHeight w:val="216"/>
        </w:trPr>
        <w:tc>
          <w:tcPr>
            <w:tcW w:w="7800" w:type="dxa"/>
            <w:vAlign w:val="bottom"/>
            <w:gridSpan w:val="3"/>
            <w:shd w:val="clear" w:color="auto" w:fill="CFF0FC"/>
          </w:tcPr>
          <w:p>
            <w:pPr>
              <w:spacing w:after="0"/>
              <w:rPr>
                <w:sz w:val="20"/>
                <w:szCs w:val="20"/>
                <w:color w:val="auto"/>
              </w:rPr>
            </w:pPr>
            <w:r>
              <w:rPr>
                <w:rFonts w:ascii="Arial" w:cs="Arial" w:eastAsia="Arial" w:hAnsi="Arial"/>
                <w:sz w:val="18"/>
                <w:szCs w:val="18"/>
                <w:color w:val="auto"/>
              </w:rPr>
              <w:t>Runbook Inc.</w:t>
            </w:r>
          </w:p>
        </w:tc>
        <w:tc>
          <w:tcPr>
            <w:tcW w:w="3620" w:type="dxa"/>
            <w:vAlign w:val="bottom"/>
            <w:shd w:val="clear" w:color="auto" w:fill="CFF0FC"/>
          </w:tcPr>
          <w:p>
            <w:pPr>
              <w:jc w:val="center"/>
              <w:ind w:right="570"/>
              <w:spacing w:after="0"/>
              <w:rPr>
                <w:sz w:val="20"/>
                <w:szCs w:val="20"/>
                <w:color w:val="auto"/>
              </w:rPr>
            </w:pPr>
            <w:r>
              <w:rPr>
                <w:rFonts w:ascii="Arial" w:cs="Arial" w:eastAsia="Arial" w:hAnsi="Arial"/>
                <w:sz w:val="18"/>
                <w:szCs w:val="18"/>
                <w:color w:val="auto"/>
                <w:w w:val="99"/>
              </w:rPr>
              <w:t>Delaware</w:t>
            </w:r>
          </w:p>
        </w:tc>
      </w:tr>
      <w:tr>
        <w:trPr>
          <w:trHeight w:val="216"/>
        </w:trPr>
        <w:tc>
          <w:tcPr>
            <w:tcW w:w="7800" w:type="dxa"/>
            <w:vAlign w:val="bottom"/>
            <w:gridSpan w:val="3"/>
          </w:tcPr>
          <w:p>
            <w:pPr>
              <w:spacing w:after="0"/>
              <w:rPr>
                <w:sz w:val="20"/>
                <w:szCs w:val="20"/>
                <w:color w:val="auto"/>
              </w:rPr>
            </w:pPr>
            <w:r>
              <w:rPr>
                <w:rFonts w:ascii="Arial" w:cs="Arial" w:eastAsia="Arial" w:hAnsi="Arial"/>
                <w:sz w:val="18"/>
                <w:szCs w:val="18"/>
                <w:color w:val="auto"/>
              </w:rPr>
              <w:t>BlackLine Systems Pty Ltd.</w:t>
            </w:r>
          </w:p>
        </w:tc>
        <w:tc>
          <w:tcPr>
            <w:tcW w:w="3620" w:type="dxa"/>
            <w:vAlign w:val="bottom"/>
          </w:tcPr>
          <w:p>
            <w:pPr>
              <w:jc w:val="center"/>
              <w:ind w:right="590"/>
              <w:spacing w:after="0"/>
              <w:rPr>
                <w:sz w:val="20"/>
                <w:szCs w:val="20"/>
                <w:color w:val="auto"/>
              </w:rPr>
            </w:pPr>
            <w:r>
              <w:rPr>
                <w:rFonts w:ascii="Arial" w:cs="Arial" w:eastAsia="Arial" w:hAnsi="Arial"/>
                <w:sz w:val="18"/>
                <w:szCs w:val="18"/>
                <w:color w:val="auto"/>
                <w:w w:val="99"/>
              </w:rPr>
              <w:t>Australia</w:t>
            </w:r>
          </w:p>
        </w:tc>
      </w:tr>
      <w:tr>
        <w:trPr>
          <w:trHeight w:val="216"/>
        </w:trPr>
        <w:tc>
          <w:tcPr>
            <w:tcW w:w="7800" w:type="dxa"/>
            <w:vAlign w:val="bottom"/>
            <w:gridSpan w:val="3"/>
            <w:shd w:val="clear" w:color="auto" w:fill="CFF0FC"/>
          </w:tcPr>
          <w:p>
            <w:pPr>
              <w:spacing w:after="0"/>
              <w:rPr>
                <w:sz w:val="20"/>
                <w:szCs w:val="20"/>
                <w:color w:val="auto"/>
              </w:rPr>
            </w:pPr>
            <w:r>
              <w:rPr>
                <w:rFonts w:ascii="Arial" w:cs="Arial" w:eastAsia="Arial" w:hAnsi="Arial"/>
                <w:sz w:val="18"/>
                <w:szCs w:val="18"/>
                <w:color w:val="auto"/>
              </w:rPr>
              <w:t>BlackLine Systems, Ltd.</w:t>
            </w:r>
          </w:p>
        </w:tc>
        <w:tc>
          <w:tcPr>
            <w:tcW w:w="3620" w:type="dxa"/>
            <w:vAlign w:val="bottom"/>
            <w:shd w:val="clear" w:color="auto" w:fill="CFF0FC"/>
          </w:tcPr>
          <w:p>
            <w:pPr>
              <w:jc w:val="center"/>
              <w:ind w:right="570"/>
              <w:spacing w:after="0"/>
              <w:rPr>
                <w:sz w:val="20"/>
                <w:szCs w:val="20"/>
                <w:color w:val="auto"/>
              </w:rPr>
            </w:pPr>
            <w:r>
              <w:rPr>
                <w:rFonts w:ascii="Arial" w:cs="Arial" w:eastAsia="Arial" w:hAnsi="Arial"/>
                <w:sz w:val="18"/>
                <w:szCs w:val="18"/>
                <w:color w:val="auto"/>
              </w:rPr>
              <w:t>Canada</w:t>
            </w:r>
          </w:p>
        </w:tc>
      </w:tr>
      <w:tr>
        <w:trPr>
          <w:trHeight w:val="216"/>
        </w:trPr>
        <w:tc>
          <w:tcPr>
            <w:tcW w:w="7800" w:type="dxa"/>
            <w:vAlign w:val="bottom"/>
            <w:gridSpan w:val="3"/>
          </w:tcPr>
          <w:p>
            <w:pPr>
              <w:spacing w:after="0"/>
              <w:rPr>
                <w:sz w:val="20"/>
                <w:szCs w:val="20"/>
                <w:color w:val="auto"/>
              </w:rPr>
            </w:pPr>
            <w:r>
              <w:rPr>
                <w:rFonts w:ascii="Arial" w:cs="Arial" w:eastAsia="Arial" w:hAnsi="Arial"/>
                <w:sz w:val="18"/>
                <w:szCs w:val="18"/>
                <w:color w:val="auto"/>
              </w:rPr>
              <w:t>BlackLine Systems S.a r.l.</w:t>
            </w:r>
          </w:p>
        </w:tc>
        <w:tc>
          <w:tcPr>
            <w:tcW w:w="3620" w:type="dxa"/>
            <w:vAlign w:val="bottom"/>
          </w:tcPr>
          <w:p>
            <w:pPr>
              <w:jc w:val="center"/>
              <w:ind w:right="570"/>
              <w:spacing w:after="0"/>
              <w:rPr>
                <w:sz w:val="20"/>
                <w:szCs w:val="20"/>
                <w:color w:val="auto"/>
              </w:rPr>
            </w:pPr>
            <w:r>
              <w:rPr>
                <w:rFonts w:ascii="Arial" w:cs="Arial" w:eastAsia="Arial" w:hAnsi="Arial"/>
                <w:sz w:val="18"/>
                <w:szCs w:val="18"/>
                <w:color w:val="auto"/>
                <w:w w:val="99"/>
              </w:rPr>
              <w:t>France</w:t>
            </w:r>
          </w:p>
        </w:tc>
      </w:tr>
      <w:tr>
        <w:trPr>
          <w:trHeight w:val="216"/>
        </w:trPr>
        <w:tc>
          <w:tcPr>
            <w:tcW w:w="7800" w:type="dxa"/>
            <w:vAlign w:val="bottom"/>
            <w:gridSpan w:val="3"/>
            <w:shd w:val="clear" w:color="auto" w:fill="CFF0FC"/>
          </w:tcPr>
          <w:p>
            <w:pPr>
              <w:spacing w:after="0"/>
              <w:rPr>
                <w:sz w:val="20"/>
                <w:szCs w:val="20"/>
                <w:color w:val="auto"/>
              </w:rPr>
            </w:pPr>
            <w:r>
              <w:rPr>
                <w:rFonts w:ascii="Arial" w:cs="Arial" w:eastAsia="Arial" w:hAnsi="Arial"/>
                <w:sz w:val="18"/>
                <w:szCs w:val="18"/>
                <w:color w:val="auto"/>
              </w:rPr>
              <w:t>BlackLine Systems Germany Gmb H</w:t>
            </w:r>
          </w:p>
        </w:tc>
        <w:tc>
          <w:tcPr>
            <w:tcW w:w="3620" w:type="dxa"/>
            <w:vAlign w:val="bottom"/>
            <w:shd w:val="clear" w:color="auto" w:fill="CFF0FC"/>
          </w:tcPr>
          <w:p>
            <w:pPr>
              <w:jc w:val="center"/>
              <w:ind w:right="590"/>
              <w:spacing w:after="0"/>
              <w:rPr>
                <w:sz w:val="20"/>
                <w:szCs w:val="20"/>
                <w:color w:val="auto"/>
              </w:rPr>
            </w:pPr>
            <w:r>
              <w:rPr>
                <w:rFonts w:ascii="Arial" w:cs="Arial" w:eastAsia="Arial" w:hAnsi="Arial"/>
                <w:sz w:val="18"/>
                <w:szCs w:val="18"/>
                <w:color w:val="auto"/>
                <w:w w:val="99"/>
              </w:rPr>
              <w:t>Germany</w:t>
            </w:r>
          </w:p>
        </w:tc>
      </w:tr>
      <w:tr>
        <w:trPr>
          <w:trHeight w:val="216"/>
        </w:trPr>
        <w:tc>
          <w:tcPr>
            <w:tcW w:w="7800" w:type="dxa"/>
            <w:vAlign w:val="bottom"/>
            <w:gridSpan w:val="3"/>
          </w:tcPr>
          <w:p>
            <w:pPr>
              <w:spacing w:after="0"/>
              <w:rPr>
                <w:sz w:val="20"/>
                <w:szCs w:val="20"/>
                <w:color w:val="auto"/>
              </w:rPr>
            </w:pPr>
            <w:r>
              <w:rPr>
                <w:rFonts w:ascii="Arial" w:cs="Arial" w:eastAsia="Arial" w:hAnsi="Arial"/>
                <w:sz w:val="18"/>
                <w:szCs w:val="18"/>
                <w:color w:val="auto"/>
              </w:rPr>
              <w:t>BlackLine C.V.</w:t>
            </w:r>
          </w:p>
        </w:tc>
        <w:tc>
          <w:tcPr>
            <w:tcW w:w="3620" w:type="dxa"/>
            <w:vAlign w:val="bottom"/>
          </w:tcPr>
          <w:p>
            <w:pPr>
              <w:jc w:val="center"/>
              <w:ind w:right="570"/>
              <w:spacing w:after="0"/>
              <w:rPr>
                <w:sz w:val="20"/>
                <w:szCs w:val="20"/>
                <w:color w:val="auto"/>
              </w:rPr>
            </w:pPr>
            <w:r>
              <w:rPr>
                <w:rFonts w:ascii="Arial" w:cs="Arial" w:eastAsia="Arial" w:hAnsi="Arial"/>
                <w:sz w:val="18"/>
                <w:szCs w:val="18"/>
                <w:color w:val="auto"/>
                <w:w w:val="98"/>
              </w:rPr>
              <w:t>Netherlands</w:t>
            </w:r>
          </w:p>
        </w:tc>
      </w:tr>
      <w:tr>
        <w:trPr>
          <w:trHeight w:val="216"/>
        </w:trPr>
        <w:tc>
          <w:tcPr>
            <w:tcW w:w="7800" w:type="dxa"/>
            <w:vAlign w:val="bottom"/>
            <w:gridSpan w:val="3"/>
            <w:shd w:val="clear" w:color="auto" w:fill="CFF0FC"/>
          </w:tcPr>
          <w:p>
            <w:pPr>
              <w:spacing w:after="0"/>
              <w:rPr>
                <w:sz w:val="20"/>
                <w:szCs w:val="20"/>
                <w:color w:val="auto"/>
              </w:rPr>
            </w:pPr>
            <w:r>
              <w:rPr>
                <w:rFonts w:ascii="Arial" w:cs="Arial" w:eastAsia="Arial" w:hAnsi="Arial"/>
                <w:sz w:val="18"/>
                <w:szCs w:val="18"/>
                <w:color w:val="auto"/>
              </w:rPr>
              <w:t>BlackLine Coöperatief U.A.</w:t>
            </w:r>
          </w:p>
        </w:tc>
        <w:tc>
          <w:tcPr>
            <w:tcW w:w="3620" w:type="dxa"/>
            <w:vAlign w:val="bottom"/>
            <w:shd w:val="clear" w:color="auto" w:fill="CFF0FC"/>
          </w:tcPr>
          <w:p>
            <w:pPr>
              <w:jc w:val="center"/>
              <w:ind w:right="570"/>
              <w:spacing w:after="0"/>
              <w:rPr>
                <w:sz w:val="20"/>
                <w:szCs w:val="20"/>
                <w:color w:val="auto"/>
              </w:rPr>
            </w:pPr>
            <w:r>
              <w:rPr>
                <w:rFonts w:ascii="Arial" w:cs="Arial" w:eastAsia="Arial" w:hAnsi="Arial"/>
                <w:sz w:val="18"/>
                <w:szCs w:val="18"/>
                <w:color w:val="auto"/>
                <w:w w:val="98"/>
              </w:rPr>
              <w:t>Netherlands</w:t>
            </w:r>
          </w:p>
        </w:tc>
      </w:tr>
      <w:tr>
        <w:trPr>
          <w:trHeight w:val="216"/>
        </w:trPr>
        <w:tc>
          <w:tcPr>
            <w:tcW w:w="7800" w:type="dxa"/>
            <w:vAlign w:val="bottom"/>
            <w:gridSpan w:val="3"/>
          </w:tcPr>
          <w:p>
            <w:pPr>
              <w:spacing w:after="0"/>
              <w:rPr>
                <w:sz w:val="20"/>
                <w:szCs w:val="20"/>
                <w:color w:val="auto"/>
              </w:rPr>
            </w:pPr>
            <w:r>
              <w:rPr>
                <w:rFonts w:ascii="Arial" w:cs="Arial" w:eastAsia="Arial" w:hAnsi="Arial"/>
                <w:sz w:val="18"/>
                <w:szCs w:val="18"/>
                <w:color w:val="auto"/>
              </w:rPr>
              <w:t>Runbook Company BV</w:t>
            </w:r>
          </w:p>
        </w:tc>
        <w:tc>
          <w:tcPr>
            <w:tcW w:w="3620" w:type="dxa"/>
            <w:vAlign w:val="bottom"/>
          </w:tcPr>
          <w:p>
            <w:pPr>
              <w:jc w:val="center"/>
              <w:ind w:right="570"/>
              <w:spacing w:after="0"/>
              <w:rPr>
                <w:sz w:val="20"/>
                <w:szCs w:val="20"/>
                <w:color w:val="auto"/>
              </w:rPr>
            </w:pPr>
            <w:r>
              <w:rPr>
                <w:rFonts w:ascii="Arial" w:cs="Arial" w:eastAsia="Arial" w:hAnsi="Arial"/>
                <w:sz w:val="18"/>
                <w:szCs w:val="18"/>
                <w:color w:val="auto"/>
                <w:w w:val="98"/>
              </w:rPr>
              <w:t>Netherlands</w:t>
            </w:r>
          </w:p>
        </w:tc>
      </w:tr>
      <w:tr>
        <w:trPr>
          <w:trHeight w:val="216"/>
        </w:trPr>
        <w:tc>
          <w:tcPr>
            <w:tcW w:w="7800" w:type="dxa"/>
            <w:vAlign w:val="bottom"/>
            <w:gridSpan w:val="3"/>
            <w:shd w:val="clear" w:color="auto" w:fill="CFF0FC"/>
          </w:tcPr>
          <w:p>
            <w:pPr>
              <w:spacing w:after="0"/>
              <w:rPr>
                <w:sz w:val="20"/>
                <w:szCs w:val="20"/>
                <w:color w:val="auto"/>
              </w:rPr>
            </w:pPr>
            <w:r>
              <w:rPr>
                <w:rFonts w:ascii="Arial" w:cs="Arial" w:eastAsia="Arial" w:hAnsi="Arial"/>
                <w:sz w:val="18"/>
                <w:szCs w:val="18"/>
                <w:color w:val="auto"/>
              </w:rPr>
              <w:t>Runbook IP BV</w:t>
            </w:r>
          </w:p>
        </w:tc>
        <w:tc>
          <w:tcPr>
            <w:tcW w:w="3620" w:type="dxa"/>
            <w:vAlign w:val="bottom"/>
            <w:shd w:val="clear" w:color="auto" w:fill="CFF0FC"/>
          </w:tcPr>
          <w:p>
            <w:pPr>
              <w:jc w:val="center"/>
              <w:ind w:right="570"/>
              <w:spacing w:after="0"/>
              <w:rPr>
                <w:sz w:val="20"/>
                <w:szCs w:val="20"/>
                <w:color w:val="auto"/>
              </w:rPr>
            </w:pPr>
            <w:r>
              <w:rPr>
                <w:rFonts w:ascii="Arial" w:cs="Arial" w:eastAsia="Arial" w:hAnsi="Arial"/>
                <w:sz w:val="18"/>
                <w:szCs w:val="18"/>
                <w:color w:val="auto"/>
                <w:w w:val="98"/>
              </w:rPr>
              <w:t>Netherlands</w:t>
            </w:r>
          </w:p>
        </w:tc>
      </w:tr>
      <w:tr>
        <w:trPr>
          <w:trHeight w:val="216"/>
        </w:trPr>
        <w:tc>
          <w:tcPr>
            <w:tcW w:w="7800" w:type="dxa"/>
            <w:vAlign w:val="bottom"/>
            <w:gridSpan w:val="3"/>
          </w:tcPr>
          <w:p>
            <w:pPr>
              <w:spacing w:after="0"/>
              <w:rPr>
                <w:sz w:val="20"/>
                <w:szCs w:val="20"/>
                <w:color w:val="auto"/>
              </w:rPr>
            </w:pPr>
            <w:r>
              <w:rPr>
                <w:rFonts w:ascii="Arial" w:cs="Arial" w:eastAsia="Arial" w:hAnsi="Arial"/>
                <w:sz w:val="18"/>
                <w:szCs w:val="18"/>
                <w:color w:val="auto"/>
              </w:rPr>
              <w:t>BlackLine International BV</w:t>
            </w:r>
          </w:p>
        </w:tc>
        <w:tc>
          <w:tcPr>
            <w:tcW w:w="3620" w:type="dxa"/>
            <w:vAlign w:val="bottom"/>
          </w:tcPr>
          <w:p>
            <w:pPr>
              <w:jc w:val="center"/>
              <w:ind w:right="570"/>
              <w:spacing w:after="0"/>
              <w:rPr>
                <w:sz w:val="20"/>
                <w:szCs w:val="20"/>
                <w:color w:val="auto"/>
              </w:rPr>
            </w:pPr>
            <w:r>
              <w:rPr>
                <w:rFonts w:ascii="Arial" w:cs="Arial" w:eastAsia="Arial" w:hAnsi="Arial"/>
                <w:sz w:val="18"/>
                <w:szCs w:val="18"/>
                <w:color w:val="auto"/>
                <w:w w:val="98"/>
              </w:rPr>
              <w:t>Netherlands</w:t>
            </w:r>
          </w:p>
        </w:tc>
      </w:tr>
      <w:tr>
        <w:trPr>
          <w:trHeight w:val="216"/>
        </w:trPr>
        <w:tc>
          <w:tcPr>
            <w:tcW w:w="7800" w:type="dxa"/>
            <w:vAlign w:val="bottom"/>
            <w:gridSpan w:val="3"/>
            <w:shd w:val="clear" w:color="auto" w:fill="CFF0FC"/>
          </w:tcPr>
          <w:p>
            <w:pPr>
              <w:spacing w:after="0"/>
              <w:rPr>
                <w:sz w:val="20"/>
                <w:szCs w:val="20"/>
                <w:color w:val="auto"/>
              </w:rPr>
            </w:pPr>
            <w:r>
              <w:rPr>
                <w:rFonts w:ascii="Arial" w:cs="Arial" w:eastAsia="Arial" w:hAnsi="Arial"/>
                <w:sz w:val="18"/>
                <w:szCs w:val="18"/>
                <w:color w:val="auto"/>
              </w:rPr>
              <w:t>BlackLine Sp. z o.o.</w:t>
            </w:r>
          </w:p>
        </w:tc>
        <w:tc>
          <w:tcPr>
            <w:tcW w:w="3620" w:type="dxa"/>
            <w:vAlign w:val="bottom"/>
            <w:shd w:val="clear" w:color="auto" w:fill="CFF0FC"/>
          </w:tcPr>
          <w:p>
            <w:pPr>
              <w:jc w:val="center"/>
              <w:ind w:right="570"/>
              <w:spacing w:after="0"/>
              <w:rPr>
                <w:sz w:val="20"/>
                <w:szCs w:val="20"/>
                <w:color w:val="auto"/>
              </w:rPr>
            </w:pPr>
            <w:r>
              <w:rPr>
                <w:rFonts w:ascii="Arial" w:cs="Arial" w:eastAsia="Arial" w:hAnsi="Arial"/>
                <w:sz w:val="18"/>
                <w:szCs w:val="18"/>
                <w:color w:val="auto"/>
                <w:w w:val="99"/>
              </w:rPr>
              <w:t>Poland</w:t>
            </w:r>
          </w:p>
        </w:tc>
      </w:tr>
      <w:tr>
        <w:trPr>
          <w:trHeight w:val="216"/>
        </w:trPr>
        <w:tc>
          <w:tcPr>
            <w:tcW w:w="7800" w:type="dxa"/>
            <w:vAlign w:val="bottom"/>
            <w:gridSpan w:val="3"/>
          </w:tcPr>
          <w:p>
            <w:pPr>
              <w:spacing w:after="0"/>
              <w:rPr>
                <w:sz w:val="20"/>
                <w:szCs w:val="20"/>
                <w:color w:val="auto"/>
              </w:rPr>
            </w:pPr>
            <w:r>
              <w:rPr>
                <w:rFonts w:ascii="Arial" w:cs="Arial" w:eastAsia="Arial" w:hAnsi="Arial"/>
                <w:sz w:val="18"/>
                <w:szCs w:val="18"/>
                <w:color w:val="auto"/>
              </w:rPr>
              <w:t>BlackLine Systems SRL</w:t>
            </w:r>
          </w:p>
        </w:tc>
        <w:tc>
          <w:tcPr>
            <w:tcW w:w="3620" w:type="dxa"/>
            <w:vAlign w:val="bottom"/>
          </w:tcPr>
          <w:p>
            <w:pPr>
              <w:jc w:val="center"/>
              <w:ind w:right="570"/>
              <w:spacing w:after="0"/>
              <w:rPr>
                <w:sz w:val="20"/>
                <w:szCs w:val="20"/>
                <w:color w:val="auto"/>
              </w:rPr>
            </w:pPr>
            <w:r>
              <w:rPr>
                <w:rFonts w:ascii="Arial" w:cs="Arial" w:eastAsia="Arial" w:hAnsi="Arial"/>
                <w:sz w:val="18"/>
                <w:szCs w:val="18"/>
                <w:color w:val="auto"/>
                <w:w w:val="99"/>
              </w:rPr>
              <w:t>Romania</w:t>
            </w:r>
          </w:p>
        </w:tc>
      </w:tr>
      <w:tr>
        <w:trPr>
          <w:trHeight w:val="216"/>
        </w:trPr>
        <w:tc>
          <w:tcPr>
            <w:tcW w:w="7800" w:type="dxa"/>
            <w:vAlign w:val="bottom"/>
            <w:gridSpan w:val="3"/>
            <w:shd w:val="clear" w:color="auto" w:fill="CFF0FC"/>
          </w:tcPr>
          <w:p>
            <w:pPr>
              <w:spacing w:after="0"/>
              <w:rPr>
                <w:sz w:val="20"/>
                <w:szCs w:val="20"/>
                <w:color w:val="auto"/>
              </w:rPr>
            </w:pPr>
            <w:r>
              <w:rPr>
                <w:rFonts w:ascii="Arial" w:cs="Arial" w:eastAsia="Arial" w:hAnsi="Arial"/>
                <w:sz w:val="18"/>
                <w:szCs w:val="18"/>
                <w:color w:val="auto"/>
              </w:rPr>
              <w:t>BlackLine Systems Pte. Ltd.</w:t>
            </w:r>
          </w:p>
        </w:tc>
        <w:tc>
          <w:tcPr>
            <w:tcW w:w="3620" w:type="dxa"/>
            <w:vAlign w:val="bottom"/>
            <w:shd w:val="clear" w:color="auto" w:fill="CFF0FC"/>
          </w:tcPr>
          <w:p>
            <w:pPr>
              <w:jc w:val="center"/>
              <w:ind w:right="590"/>
              <w:spacing w:after="0"/>
              <w:rPr>
                <w:sz w:val="20"/>
                <w:szCs w:val="20"/>
                <w:color w:val="auto"/>
              </w:rPr>
            </w:pPr>
            <w:r>
              <w:rPr>
                <w:rFonts w:ascii="Arial" w:cs="Arial" w:eastAsia="Arial" w:hAnsi="Arial"/>
                <w:sz w:val="18"/>
                <w:szCs w:val="18"/>
                <w:color w:val="auto"/>
                <w:w w:val="99"/>
              </w:rPr>
              <w:t>Singapore</w:t>
            </w:r>
          </w:p>
        </w:tc>
      </w:tr>
      <w:tr>
        <w:trPr>
          <w:trHeight w:val="216"/>
        </w:trPr>
        <w:tc>
          <w:tcPr>
            <w:tcW w:w="7800" w:type="dxa"/>
            <w:vAlign w:val="bottom"/>
            <w:gridSpan w:val="3"/>
          </w:tcPr>
          <w:p>
            <w:pPr>
              <w:spacing w:after="0"/>
              <w:rPr>
                <w:sz w:val="20"/>
                <w:szCs w:val="20"/>
                <w:color w:val="auto"/>
              </w:rPr>
            </w:pPr>
            <w:r>
              <w:rPr>
                <w:rFonts w:ascii="Arial" w:cs="Arial" w:eastAsia="Arial" w:hAnsi="Arial"/>
                <w:sz w:val="18"/>
                <w:szCs w:val="18"/>
                <w:color w:val="auto"/>
              </w:rPr>
              <w:t>BlackLine Systems Limited</w:t>
            </w:r>
          </w:p>
        </w:tc>
        <w:tc>
          <w:tcPr>
            <w:tcW w:w="3620" w:type="dxa"/>
            <w:vAlign w:val="bottom"/>
          </w:tcPr>
          <w:p>
            <w:pPr>
              <w:jc w:val="center"/>
              <w:ind w:right="570"/>
              <w:spacing w:after="0"/>
              <w:rPr>
                <w:sz w:val="20"/>
                <w:szCs w:val="20"/>
                <w:color w:val="auto"/>
              </w:rPr>
            </w:pPr>
            <w:r>
              <w:rPr>
                <w:rFonts w:ascii="Arial" w:cs="Arial" w:eastAsia="Arial" w:hAnsi="Arial"/>
                <w:sz w:val="18"/>
                <w:szCs w:val="18"/>
                <w:color w:val="auto"/>
                <w:w w:val="99"/>
              </w:rPr>
              <w:t>United Kingdom</w:t>
            </w:r>
          </w:p>
        </w:tc>
      </w:tr>
      <w:tr>
        <w:trPr>
          <w:trHeight w:val="216"/>
        </w:trPr>
        <w:tc>
          <w:tcPr>
            <w:tcW w:w="7800" w:type="dxa"/>
            <w:vAlign w:val="bottom"/>
            <w:gridSpan w:val="3"/>
            <w:shd w:val="clear" w:color="auto" w:fill="CFF0FC"/>
          </w:tcPr>
          <w:p>
            <w:pPr>
              <w:spacing w:after="0"/>
              <w:rPr>
                <w:sz w:val="20"/>
                <w:szCs w:val="20"/>
                <w:color w:val="auto"/>
              </w:rPr>
            </w:pPr>
            <w:r>
              <w:rPr>
                <w:rFonts w:ascii="Arial" w:cs="Arial" w:eastAsia="Arial" w:hAnsi="Arial"/>
                <w:sz w:val="18"/>
                <w:szCs w:val="18"/>
                <w:color w:val="auto"/>
              </w:rPr>
              <w:t>BlackLine K.K.</w:t>
            </w:r>
          </w:p>
        </w:tc>
        <w:tc>
          <w:tcPr>
            <w:tcW w:w="3620" w:type="dxa"/>
            <w:vAlign w:val="bottom"/>
            <w:shd w:val="clear" w:color="auto" w:fill="CFF0FC"/>
          </w:tcPr>
          <w:p>
            <w:pPr>
              <w:jc w:val="center"/>
              <w:ind w:right="570"/>
              <w:spacing w:after="0"/>
              <w:rPr>
                <w:sz w:val="20"/>
                <w:szCs w:val="20"/>
                <w:color w:val="auto"/>
              </w:rPr>
            </w:pPr>
            <w:r>
              <w:rPr>
                <w:rFonts w:ascii="Arial" w:cs="Arial" w:eastAsia="Arial" w:hAnsi="Arial"/>
                <w:sz w:val="18"/>
                <w:szCs w:val="18"/>
                <w:color w:val="auto"/>
                <w:w w:val="97"/>
              </w:rPr>
              <w:t>Japan</w:t>
            </w:r>
          </w:p>
        </w:tc>
      </w:tr>
    </w:tbl>
    <w:p>
      <w:pPr>
        <w:sectPr>
          <w:pgSz w:w="11900" w:h="16838" w:orient="portrait"/>
          <w:cols w:equalWidth="0" w:num="1">
            <w:col w:w="11420"/>
          </w:cols>
          <w:pgMar w:left="240" w:top="118" w:right="239" w:bottom="1440" w:gutter="0" w:footer="0" w:header="0"/>
        </w:sectPr>
      </w:pPr>
    </w:p>
    <w:bookmarkStart w:id="107" w:name="page108"/>
    <w:bookmarkEnd w:id="107"/>
    <w:p>
      <w:pPr>
        <w:jc w:val="right"/>
        <w:spacing w:after="0"/>
        <w:rPr>
          <w:sz w:val="20"/>
          <w:szCs w:val="20"/>
          <w:color w:val="auto"/>
        </w:rPr>
      </w:pPr>
      <w:r>
        <w:rPr>
          <w:rFonts w:ascii="Arial" w:cs="Arial" w:eastAsia="Arial" w:hAnsi="Arial"/>
          <w:sz w:val="18"/>
          <w:szCs w:val="18"/>
          <w:b w:val="1"/>
          <w:bCs w:val="1"/>
          <w:color w:val="auto"/>
        </w:rPr>
        <w:t>Exhibit 23.1</w:t>
      </w: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200" w:lineRule="exact"/>
        <w:rPr>
          <w:sz w:val="20"/>
          <w:szCs w:val="20"/>
          <w:color w:val="auto"/>
        </w:rPr>
      </w:pPr>
    </w:p>
    <w:p>
      <w:pPr>
        <w:spacing w:after="0" w:line="250" w:lineRule="exact"/>
        <w:rPr>
          <w:sz w:val="20"/>
          <w:szCs w:val="20"/>
          <w:color w:val="auto"/>
        </w:rPr>
      </w:pPr>
    </w:p>
    <w:p>
      <w:pPr>
        <w:jc w:val="both"/>
        <w:ind w:right="40"/>
        <w:spacing w:after="0"/>
        <w:rPr>
          <w:sz w:val="20"/>
          <w:szCs w:val="20"/>
          <w:color w:val="auto"/>
        </w:rPr>
      </w:pPr>
      <w:r>
        <w:rPr>
          <w:rFonts w:ascii="Arial" w:cs="Arial" w:eastAsia="Arial" w:hAnsi="Arial"/>
          <w:sz w:val="18"/>
          <w:szCs w:val="18"/>
          <w:color w:val="auto"/>
        </w:rPr>
        <w:t>We hereby consent to the incorporation by reference in the Registration Statements on Form S-8 (Nos. 333-214309, 333-217985, 333-223528, 333-226818, and 333-229968) and Form S-3 (No. 333-221500) of BlackLine, Inc. of our report dated February 27, 2020 relating to the financial statements and the effectiveness of internal control over financial reporting, which appears in this Form 10-K.</w:t>
      </w: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color w:val="auto"/>
        </w:rPr>
        <w:t>/s/ PricewaterhouseCoopers LLP</w:t>
      </w:r>
    </w:p>
    <w:p>
      <w:pPr>
        <w:spacing w:after="0" w:line="234" w:lineRule="auto"/>
        <w:rPr>
          <w:sz w:val="20"/>
          <w:szCs w:val="20"/>
          <w:color w:val="auto"/>
        </w:rPr>
      </w:pPr>
      <w:r>
        <w:rPr>
          <w:rFonts w:ascii="Arial" w:cs="Arial" w:eastAsia="Arial" w:hAnsi="Arial"/>
          <w:sz w:val="18"/>
          <w:szCs w:val="18"/>
          <w:color w:val="auto"/>
        </w:rPr>
        <w:t>Los Angeles, CA</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February 27, 2020</w:t>
      </w:r>
    </w:p>
    <w:p>
      <w:pPr>
        <w:sectPr>
          <w:pgSz w:w="11900" w:h="16838" w:orient="portrait"/>
          <w:cols w:equalWidth="0" w:num="1">
            <w:col w:w="11420"/>
          </w:cols>
          <w:pgMar w:left="240" w:top="121" w:right="239" w:bottom="1440" w:gutter="0" w:footer="0" w:header="0"/>
        </w:sectPr>
      </w:pPr>
    </w:p>
    <w:bookmarkStart w:id="108" w:name="page109"/>
    <w:bookmarkEnd w:id="108"/>
    <w:p>
      <w:pPr>
        <w:jc w:val="right"/>
        <w:spacing w:after="0"/>
        <w:rPr>
          <w:sz w:val="20"/>
          <w:szCs w:val="20"/>
          <w:color w:val="auto"/>
        </w:rPr>
      </w:pPr>
      <w:r>
        <w:rPr>
          <w:rFonts w:ascii="Arial" w:cs="Arial" w:eastAsia="Arial" w:hAnsi="Arial"/>
          <w:sz w:val="18"/>
          <w:szCs w:val="18"/>
          <w:b w:val="1"/>
          <w:bCs w:val="1"/>
          <w:color w:val="auto"/>
        </w:rPr>
        <w:t>Exhibit 31.1</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PRINCIPAL EXECUTIVE OFFICER</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w:t>
      </w:r>
    </w:p>
    <w:p>
      <w:pPr>
        <w:jc w:val="center"/>
        <w:spacing w:after="0" w:line="234" w:lineRule="auto"/>
        <w:rPr>
          <w:sz w:val="20"/>
          <w:szCs w:val="20"/>
          <w:color w:val="auto"/>
        </w:rPr>
      </w:pPr>
      <w:r>
        <w:rPr>
          <w:rFonts w:ascii="Arial" w:cs="Arial" w:eastAsia="Arial" w:hAnsi="Arial"/>
          <w:sz w:val="18"/>
          <w:szCs w:val="18"/>
          <w:b w:val="1"/>
          <w:bCs w:val="1"/>
          <w:color w:val="auto"/>
        </w:rPr>
        <w:t>EXCHANGE ACT RULES 13a-14(a) AND 15d-14(a),</w:t>
      </w:r>
    </w:p>
    <w:p>
      <w:pPr>
        <w:jc w:val="center"/>
        <w:spacing w:after="0" w:line="235" w:lineRule="auto"/>
        <w:rPr>
          <w:sz w:val="20"/>
          <w:szCs w:val="20"/>
          <w:color w:val="auto"/>
        </w:rPr>
      </w:pPr>
      <w:r>
        <w:rPr>
          <w:rFonts w:ascii="Arial" w:cs="Arial" w:eastAsia="Arial" w:hAnsi="Arial"/>
          <w:sz w:val="18"/>
          <w:szCs w:val="18"/>
          <w:b w:val="1"/>
          <w:bCs w:val="1"/>
          <w:color w:val="auto"/>
        </w:rPr>
        <w:t>AS ADOPTED PURSUANT TO</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302 OF THE SARBANES-OXLEY ACT OF 2002</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color w:val="auto"/>
        </w:rPr>
        <w:t>I, Therese Tucker, certify that:</w:t>
      </w:r>
    </w:p>
    <w:p>
      <w:pPr>
        <w:spacing w:after="0" w:line="239" w:lineRule="exact"/>
        <w:rPr>
          <w:sz w:val="20"/>
          <w:szCs w:val="20"/>
          <w:color w:val="auto"/>
        </w:rPr>
      </w:pPr>
    </w:p>
    <w:p>
      <w:pPr>
        <w:ind w:left="200" w:hanging="192"/>
        <w:spacing w:after="0"/>
        <w:tabs>
          <w:tab w:leader="none" w:pos="2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BlackLine, Inc.;</w:t>
      </w:r>
    </w:p>
    <w:p>
      <w:pPr>
        <w:spacing w:after="0" w:line="238" w:lineRule="exact"/>
        <w:rPr>
          <w:rFonts w:ascii="Arial" w:cs="Arial" w:eastAsia="Arial" w:hAnsi="Arial"/>
          <w:sz w:val="18"/>
          <w:szCs w:val="18"/>
          <w:color w:val="auto"/>
        </w:rPr>
      </w:pPr>
    </w:p>
    <w:p>
      <w:pPr>
        <w:ind w:right="280" w:firstLine="8"/>
        <w:spacing w:after="0"/>
        <w:tabs>
          <w:tab w:leader="none" w:pos="2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29" w:lineRule="exact"/>
        <w:rPr>
          <w:rFonts w:ascii="Arial" w:cs="Arial" w:eastAsia="Arial" w:hAnsi="Arial"/>
          <w:sz w:val="18"/>
          <w:szCs w:val="18"/>
          <w:color w:val="auto"/>
        </w:rPr>
      </w:pPr>
    </w:p>
    <w:p>
      <w:pPr>
        <w:ind w:right="20" w:firstLine="8"/>
        <w:spacing w:after="0" w:line="246" w:lineRule="auto"/>
        <w:tabs>
          <w:tab w:leader="none" w:pos="2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96" w:lineRule="exact"/>
        <w:rPr>
          <w:rFonts w:ascii="Arial" w:cs="Arial" w:eastAsia="Arial" w:hAnsi="Arial"/>
          <w:sz w:val="18"/>
          <w:szCs w:val="18"/>
          <w:color w:val="auto"/>
        </w:rPr>
      </w:pPr>
    </w:p>
    <w:p>
      <w:pPr>
        <w:ind w:right="100" w:firstLine="8"/>
        <w:spacing w:after="0"/>
        <w:tabs>
          <w:tab w:leader="none" w:pos="2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 15(f) and 15d–15(f)) for the registrant and have:</w:t>
      </w:r>
    </w:p>
    <w:p>
      <w:pPr>
        <w:spacing w:after="0" w:line="230" w:lineRule="exact"/>
        <w:rPr>
          <w:sz w:val="20"/>
          <w:szCs w:val="20"/>
          <w:color w:val="auto"/>
        </w:rPr>
      </w:pPr>
    </w:p>
    <w:p>
      <w:pPr>
        <w:ind w:right="100" w:firstLine="8"/>
        <w:spacing w:after="0"/>
        <w:tabs>
          <w:tab w:leader="none" w:pos="270" w:val="left"/>
        </w:tabs>
        <w:numPr>
          <w:ilvl w:val="0"/>
          <w:numId w:val="37"/>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02" w:lineRule="exact"/>
        <w:rPr>
          <w:rFonts w:ascii="Arial" w:cs="Arial" w:eastAsia="Arial" w:hAnsi="Arial"/>
          <w:sz w:val="18"/>
          <w:szCs w:val="18"/>
          <w:color w:val="auto"/>
        </w:rPr>
      </w:pPr>
    </w:p>
    <w:p>
      <w:pPr>
        <w:ind w:right="380" w:firstLine="8"/>
        <w:spacing w:after="0"/>
        <w:tabs>
          <w:tab w:leader="none" w:pos="270" w:val="left"/>
        </w:tabs>
        <w:numPr>
          <w:ilvl w:val="0"/>
          <w:numId w:val="37"/>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29" w:lineRule="exact"/>
        <w:rPr>
          <w:rFonts w:ascii="Arial" w:cs="Arial" w:eastAsia="Arial" w:hAnsi="Arial"/>
          <w:sz w:val="18"/>
          <w:szCs w:val="18"/>
          <w:color w:val="auto"/>
        </w:rPr>
      </w:pPr>
    </w:p>
    <w:p>
      <w:pPr>
        <w:ind w:right="340" w:firstLine="8"/>
        <w:spacing w:after="0" w:line="246" w:lineRule="auto"/>
        <w:tabs>
          <w:tab w:leader="none" w:pos="2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23" w:lineRule="exact"/>
        <w:rPr>
          <w:rFonts w:ascii="Arial" w:cs="Arial" w:eastAsia="Arial" w:hAnsi="Arial"/>
          <w:sz w:val="18"/>
          <w:szCs w:val="18"/>
          <w:color w:val="auto"/>
        </w:rPr>
      </w:pPr>
    </w:p>
    <w:p>
      <w:pPr>
        <w:ind w:right="200" w:firstLine="8"/>
        <w:spacing w:after="0"/>
        <w:tabs>
          <w:tab w:leader="none" w:pos="270" w:val="left"/>
        </w:tabs>
        <w:numPr>
          <w:ilvl w:val="0"/>
          <w:numId w:val="37"/>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30" w:lineRule="exact"/>
        <w:rPr>
          <w:sz w:val="20"/>
          <w:szCs w:val="20"/>
          <w:color w:val="auto"/>
        </w:rPr>
      </w:pPr>
    </w:p>
    <w:p>
      <w:pPr>
        <w:ind w:right="640" w:firstLine="8"/>
        <w:spacing w:after="0"/>
        <w:tabs>
          <w:tab w:leader="none" w:pos="2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230" w:lineRule="exact"/>
        <w:rPr>
          <w:sz w:val="20"/>
          <w:szCs w:val="20"/>
          <w:color w:val="auto"/>
        </w:rPr>
      </w:pPr>
    </w:p>
    <w:p>
      <w:pPr>
        <w:ind w:right="820" w:firstLine="8"/>
        <w:spacing w:after="0" w:line="246" w:lineRule="auto"/>
        <w:tabs>
          <w:tab w:leader="none" w:pos="270" w:val="left"/>
        </w:tabs>
        <w:numPr>
          <w:ilvl w:val="0"/>
          <w:numId w:val="39"/>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223" w:lineRule="exact"/>
        <w:rPr>
          <w:rFonts w:ascii="Arial" w:cs="Arial" w:eastAsia="Arial" w:hAnsi="Arial"/>
          <w:sz w:val="18"/>
          <w:szCs w:val="18"/>
          <w:color w:val="auto"/>
        </w:rPr>
      </w:pPr>
    </w:p>
    <w:p>
      <w:pPr>
        <w:ind w:right="420" w:firstLine="8"/>
        <w:spacing w:after="0" w:line="246" w:lineRule="auto"/>
        <w:tabs>
          <w:tab w:leader="none" w:pos="270" w:val="left"/>
        </w:tabs>
        <w:numPr>
          <w:ilvl w:val="0"/>
          <w:numId w:val="39"/>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color w:val="auto"/>
        </w:rPr>
        <w:t>Date: February 27, 2020</w:t>
      </w:r>
    </w:p>
    <w:p>
      <w:pPr>
        <w:spacing w:after="0" w:line="239"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BLACKLINE, INC.</w:t>
      </w:r>
    </w:p>
    <w:p>
      <w:pPr>
        <w:spacing w:after="0" w:line="276" w:lineRule="exact"/>
        <w:rPr>
          <w:sz w:val="20"/>
          <w:szCs w:val="20"/>
          <w:color w:val="auto"/>
        </w:rPr>
      </w:pPr>
    </w:p>
    <w:tbl>
      <w:tblPr>
        <w:tblLayout w:type="fixed"/>
        <w:tblInd w:w="5720" w:type="dxa"/>
        <w:tblCellMar>
          <w:top w:w="0" w:type="dxa"/>
          <w:left w:w="0" w:type="dxa"/>
          <w:bottom w:w="0" w:type="dxa"/>
          <w:right w:w="0" w:type="dxa"/>
        </w:tblCellMar>
      </w:tblPr>
      <w:tr>
        <w:trPr>
          <w:trHeight w:val="207"/>
        </w:trPr>
        <w:tc>
          <w:tcPr>
            <w:tcW w:w="840" w:type="dxa"/>
            <w:vAlign w:val="bottom"/>
          </w:tcPr>
          <w:p>
            <w:pPr>
              <w:spacing w:after="0"/>
              <w:rPr>
                <w:sz w:val="20"/>
                <w:szCs w:val="20"/>
                <w:color w:val="auto"/>
              </w:rPr>
            </w:pPr>
            <w:r>
              <w:rPr>
                <w:rFonts w:ascii="Arial" w:cs="Arial" w:eastAsia="Arial" w:hAnsi="Arial"/>
                <w:sz w:val="18"/>
                <w:szCs w:val="18"/>
                <w:color w:val="auto"/>
              </w:rPr>
              <w:t>By:</w:t>
            </w:r>
          </w:p>
        </w:tc>
        <w:tc>
          <w:tcPr>
            <w:tcW w:w="48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Therese Tucker</w:t>
            </w:r>
          </w:p>
        </w:tc>
      </w:tr>
      <w:tr>
        <w:trPr>
          <w:trHeight w:val="236"/>
        </w:trPr>
        <w:tc>
          <w:tcPr>
            <w:tcW w:w="840" w:type="dxa"/>
            <w:vAlign w:val="bottom"/>
          </w:tcPr>
          <w:p>
            <w:pPr>
              <w:spacing w:after="0"/>
              <w:rPr>
                <w:sz w:val="20"/>
                <w:szCs w:val="20"/>
                <w:color w:val="auto"/>
              </w:rPr>
            </w:pPr>
            <w:r>
              <w:rPr>
                <w:rFonts w:ascii="Arial" w:cs="Arial" w:eastAsia="Arial" w:hAnsi="Arial"/>
                <w:sz w:val="18"/>
                <w:szCs w:val="18"/>
                <w:color w:val="auto"/>
              </w:rPr>
              <w:t>Name:</w:t>
            </w:r>
          </w:p>
        </w:tc>
        <w:tc>
          <w:tcPr>
            <w:tcW w:w="4860" w:type="dxa"/>
            <w:vAlign w:val="bottom"/>
          </w:tcPr>
          <w:p>
            <w:pPr>
              <w:spacing w:after="0"/>
              <w:rPr>
                <w:sz w:val="20"/>
                <w:szCs w:val="20"/>
                <w:color w:val="auto"/>
              </w:rPr>
            </w:pPr>
            <w:r>
              <w:rPr>
                <w:rFonts w:ascii="Arial" w:cs="Arial" w:eastAsia="Arial" w:hAnsi="Arial"/>
                <w:sz w:val="18"/>
                <w:szCs w:val="18"/>
                <w:color w:val="auto"/>
              </w:rPr>
              <w:t>Therese Tucker</w:t>
            </w:r>
          </w:p>
        </w:tc>
      </w:tr>
      <w:tr>
        <w:trPr>
          <w:trHeight w:val="203"/>
        </w:trPr>
        <w:tc>
          <w:tcPr>
            <w:tcW w:w="840" w:type="dxa"/>
            <w:vAlign w:val="bottom"/>
          </w:tcPr>
          <w:p>
            <w:pPr>
              <w:spacing w:after="0" w:line="202" w:lineRule="exact"/>
              <w:rPr>
                <w:sz w:val="20"/>
                <w:szCs w:val="20"/>
                <w:color w:val="auto"/>
              </w:rPr>
            </w:pPr>
            <w:r>
              <w:rPr>
                <w:rFonts w:ascii="Arial" w:cs="Arial" w:eastAsia="Arial" w:hAnsi="Arial"/>
                <w:sz w:val="18"/>
                <w:szCs w:val="18"/>
                <w:color w:val="auto"/>
              </w:rPr>
              <w:t>Title:</w:t>
            </w:r>
          </w:p>
        </w:tc>
        <w:tc>
          <w:tcPr>
            <w:tcW w:w="4860" w:type="dxa"/>
            <w:vAlign w:val="bottom"/>
          </w:tcPr>
          <w:p>
            <w:pPr>
              <w:spacing w:after="0" w:line="202" w:lineRule="exact"/>
              <w:rPr>
                <w:sz w:val="20"/>
                <w:szCs w:val="20"/>
                <w:color w:val="auto"/>
              </w:rPr>
            </w:pPr>
            <w:r>
              <w:rPr>
                <w:rFonts w:ascii="Arial" w:cs="Arial" w:eastAsia="Arial" w:hAnsi="Arial"/>
                <w:sz w:val="18"/>
                <w:szCs w:val="18"/>
                <w:color w:val="auto"/>
              </w:rPr>
              <w:t>Chief Executive Officer</w:t>
            </w:r>
          </w:p>
        </w:tc>
      </w:tr>
      <w:tr>
        <w:trPr>
          <w:trHeight w:val="217"/>
        </w:trPr>
        <w:tc>
          <w:tcPr>
            <w:tcW w:w="840" w:type="dxa"/>
            <w:vAlign w:val="bottom"/>
          </w:tcPr>
          <w:p>
            <w:pPr>
              <w:spacing w:after="0"/>
              <w:rPr>
                <w:sz w:val="18"/>
                <w:szCs w:val="18"/>
                <w:color w:val="auto"/>
              </w:rPr>
            </w:pPr>
          </w:p>
        </w:tc>
        <w:tc>
          <w:tcPr>
            <w:tcW w:w="4860" w:type="dxa"/>
            <w:vAlign w:val="bottom"/>
          </w:tcPr>
          <w:p>
            <w:pPr>
              <w:spacing w:after="0"/>
              <w:rPr>
                <w:sz w:val="20"/>
                <w:szCs w:val="20"/>
                <w:color w:val="auto"/>
              </w:rPr>
            </w:pPr>
            <w:r>
              <w:rPr>
                <w:rFonts w:ascii="Arial" w:cs="Arial" w:eastAsia="Arial" w:hAnsi="Arial"/>
                <w:sz w:val="18"/>
                <w:szCs w:val="18"/>
                <w:color w:val="auto"/>
              </w:rPr>
              <w:t>(Principal Executive Officer)</w:t>
            </w:r>
          </w:p>
        </w:tc>
      </w:tr>
    </w:tbl>
    <w:p>
      <w:pPr>
        <w:sectPr>
          <w:pgSz w:w="11900" w:h="16838" w:orient="portrait"/>
          <w:cols w:equalWidth="0" w:num="1">
            <w:col w:w="11420"/>
          </w:cols>
          <w:pgMar w:left="240" w:top="118" w:right="239" w:bottom="1440" w:gutter="0" w:footer="0" w:header="0"/>
        </w:sectPr>
      </w:pPr>
    </w:p>
    <w:bookmarkStart w:id="109" w:name="page110"/>
    <w:bookmarkEnd w:id="109"/>
    <w:p>
      <w:pPr>
        <w:jc w:val="right"/>
        <w:spacing w:after="0"/>
        <w:rPr>
          <w:sz w:val="20"/>
          <w:szCs w:val="20"/>
          <w:color w:val="auto"/>
        </w:rPr>
      </w:pPr>
      <w:r>
        <w:rPr>
          <w:rFonts w:ascii="Arial" w:cs="Arial" w:eastAsia="Arial" w:hAnsi="Arial"/>
          <w:sz w:val="18"/>
          <w:szCs w:val="18"/>
          <w:b w:val="1"/>
          <w:bCs w:val="1"/>
          <w:color w:val="auto"/>
        </w:rPr>
        <w:t>Exhibit 31.2</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PRINCIPAL FINANCIAL OFFICER</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w:t>
      </w:r>
    </w:p>
    <w:p>
      <w:pPr>
        <w:jc w:val="center"/>
        <w:spacing w:after="0" w:line="234" w:lineRule="auto"/>
        <w:rPr>
          <w:sz w:val="20"/>
          <w:szCs w:val="20"/>
          <w:color w:val="auto"/>
        </w:rPr>
      </w:pPr>
      <w:r>
        <w:rPr>
          <w:rFonts w:ascii="Arial" w:cs="Arial" w:eastAsia="Arial" w:hAnsi="Arial"/>
          <w:sz w:val="18"/>
          <w:szCs w:val="18"/>
          <w:b w:val="1"/>
          <w:bCs w:val="1"/>
          <w:color w:val="auto"/>
        </w:rPr>
        <w:t>EXCHANGE ACT RULES 13a-14(a) AND 15d-14(a),</w:t>
      </w:r>
    </w:p>
    <w:p>
      <w:pPr>
        <w:jc w:val="center"/>
        <w:spacing w:after="0" w:line="235" w:lineRule="auto"/>
        <w:rPr>
          <w:sz w:val="20"/>
          <w:szCs w:val="20"/>
          <w:color w:val="auto"/>
        </w:rPr>
      </w:pPr>
      <w:r>
        <w:rPr>
          <w:rFonts w:ascii="Arial" w:cs="Arial" w:eastAsia="Arial" w:hAnsi="Arial"/>
          <w:sz w:val="18"/>
          <w:szCs w:val="18"/>
          <w:b w:val="1"/>
          <w:bCs w:val="1"/>
          <w:color w:val="auto"/>
        </w:rPr>
        <w:t>AS ADOPTED PURSUANT TO</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302 OF THE SARBANES-OXLEY ACT OF 2002</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color w:val="auto"/>
        </w:rPr>
        <w:t>I, Mark Partin, certify that:</w:t>
      </w:r>
    </w:p>
    <w:p>
      <w:pPr>
        <w:spacing w:after="0" w:line="239" w:lineRule="exact"/>
        <w:rPr>
          <w:sz w:val="20"/>
          <w:szCs w:val="20"/>
          <w:color w:val="auto"/>
        </w:rPr>
      </w:pPr>
    </w:p>
    <w:p>
      <w:pPr>
        <w:ind w:left="200" w:hanging="192"/>
        <w:spacing w:after="0"/>
        <w:tabs>
          <w:tab w:leader="none" w:pos="2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BlackLine, Inc.;</w:t>
      </w:r>
    </w:p>
    <w:p>
      <w:pPr>
        <w:spacing w:after="0" w:line="238" w:lineRule="exact"/>
        <w:rPr>
          <w:rFonts w:ascii="Arial" w:cs="Arial" w:eastAsia="Arial" w:hAnsi="Arial"/>
          <w:sz w:val="18"/>
          <w:szCs w:val="18"/>
          <w:color w:val="auto"/>
        </w:rPr>
      </w:pPr>
    </w:p>
    <w:p>
      <w:pPr>
        <w:ind w:right="280" w:firstLine="8"/>
        <w:spacing w:after="0"/>
        <w:tabs>
          <w:tab w:leader="none" w:pos="2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29" w:lineRule="exact"/>
        <w:rPr>
          <w:rFonts w:ascii="Arial" w:cs="Arial" w:eastAsia="Arial" w:hAnsi="Arial"/>
          <w:sz w:val="18"/>
          <w:szCs w:val="18"/>
          <w:color w:val="auto"/>
        </w:rPr>
      </w:pPr>
    </w:p>
    <w:p>
      <w:pPr>
        <w:ind w:right="20" w:firstLine="8"/>
        <w:spacing w:after="0" w:line="246" w:lineRule="auto"/>
        <w:tabs>
          <w:tab w:leader="none" w:pos="2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223" w:lineRule="exact"/>
        <w:rPr>
          <w:rFonts w:ascii="Arial" w:cs="Arial" w:eastAsia="Arial" w:hAnsi="Arial"/>
          <w:sz w:val="18"/>
          <w:szCs w:val="18"/>
          <w:color w:val="auto"/>
        </w:rPr>
      </w:pPr>
    </w:p>
    <w:p>
      <w:pPr>
        <w:ind w:right="100" w:firstLine="8"/>
        <w:spacing w:after="0"/>
        <w:tabs>
          <w:tab w:leader="none" w:pos="2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 15(f) and 15d–15(f)) for the registrant and have:</w:t>
      </w:r>
    </w:p>
    <w:p>
      <w:pPr>
        <w:spacing w:after="0" w:line="230" w:lineRule="exact"/>
        <w:rPr>
          <w:sz w:val="20"/>
          <w:szCs w:val="20"/>
          <w:color w:val="auto"/>
        </w:rPr>
      </w:pPr>
    </w:p>
    <w:p>
      <w:pPr>
        <w:ind w:right="100" w:firstLine="8"/>
        <w:spacing w:after="0"/>
        <w:tabs>
          <w:tab w:leader="none" w:pos="270" w:val="left"/>
        </w:tabs>
        <w:numPr>
          <w:ilvl w:val="0"/>
          <w:numId w:val="41"/>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29" w:lineRule="exact"/>
        <w:rPr>
          <w:rFonts w:ascii="Arial" w:cs="Arial" w:eastAsia="Arial" w:hAnsi="Arial"/>
          <w:sz w:val="18"/>
          <w:szCs w:val="18"/>
          <w:color w:val="auto"/>
        </w:rPr>
      </w:pPr>
    </w:p>
    <w:p>
      <w:pPr>
        <w:ind w:right="380" w:firstLine="8"/>
        <w:spacing w:after="0"/>
        <w:tabs>
          <w:tab w:leader="none" w:pos="270" w:val="left"/>
        </w:tabs>
        <w:numPr>
          <w:ilvl w:val="0"/>
          <w:numId w:val="41"/>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29" w:lineRule="exact"/>
        <w:rPr>
          <w:rFonts w:ascii="Arial" w:cs="Arial" w:eastAsia="Arial" w:hAnsi="Arial"/>
          <w:sz w:val="18"/>
          <w:szCs w:val="18"/>
          <w:color w:val="auto"/>
        </w:rPr>
      </w:pPr>
    </w:p>
    <w:p>
      <w:pPr>
        <w:ind w:right="340" w:firstLine="8"/>
        <w:spacing w:after="0" w:line="246" w:lineRule="auto"/>
        <w:tabs>
          <w:tab w:leader="none" w:pos="2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23" w:lineRule="exact"/>
        <w:rPr>
          <w:rFonts w:ascii="Arial" w:cs="Arial" w:eastAsia="Arial" w:hAnsi="Arial"/>
          <w:sz w:val="18"/>
          <w:szCs w:val="18"/>
          <w:color w:val="auto"/>
        </w:rPr>
      </w:pPr>
    </w:p>
    <w:p>
      <w:pPr>
        <w:ind w:right="200" w:firstLine="8"/>
        <w:spacing w:after="0"/>
        <w:tabs>
          <w:tab w:leader="none" w:pos="270" w:val="left"/>
        </w:tabs>
        <w:numPr>
          <w:ilvl w:val="0"/>
          <w:numId w:val="41"/>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30" w:lineRule="exact"/>
        <w:rPr>
          <w:sz w:val="20"/>
          <w:szCs w:val="20"/>
          <w:color w:val="auto"/>
        </w:rPr>
      </w:pPr>
    </w:p>
    <w:p>
      <w:pPr>
        <w:ind w:right="640" w:firstLine="8"/>
        <w:spacing w:after="0"/>
        <w:tabs>
          <w:tab w:leader="none" w:pos="2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230" w:lineRule="exact"/>
        <w:rPr>
          <w:sz w:val="20"/>
          <w:szCs w:val="20"/>
          <w:color w:val="auto"/>
        </w:rPr>
      </w:pPr>
    </w:p>
    <w:p>
      <w:pPr>
        <w:ind w:right="820" w:firstLine="8"/>
        <w:spacing w:after="0" w:line="246" w:lineRule="auto"/>
        <w:tabs>
          <w:tab w:leader="none" w:pos="270" w:val="left"/>
        </w:tabs>
        <w:numPr>
          <w:ilvl w:val="0"/>
          <w:numId w:val="43"/>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223" w:lineRule="exact"/>
        <w:rPr>
          <w:rFonts w:ascii="Arial" w:cs="Arial" w:eastAsia="Arial" w:hAnsi="Arial"/>
          <w:sz w:val="18"/>
          <w:szCs w:val="18"/>
          <w:color w:val="auto"/>
        </w:rPr>
      </w:pPr>
    </w:p>
    <w:p>
      <w:pPr>
        <w:ind w:right="420" w:firstLine="8"/>
        <w:spacing w:after="0" w:line="246" w:lineRule="auto"/>
        <w:tabs>
          <w:tab w:leader="none" w:pos="270" w:val="left"/>
        </w:tabs>
        <w:numPr>
          <w:ilvl w:val="0"/>
          <w:numId w:val="43"/>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color w:val="auto"/>
        </w:rPr>
        <w:t>Date: February 27, 2020</w:t>
      </w:r>
    </w:p>
    <w:p>
      <w:pPr>
        <w:spacing w:after="0" w:line="239"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BLACKLINE, INC.</w:t>
      </w:r>
    </w:p>
    <w:p>
      <w:pPr>
        <w:spacing w:after="0" w:line="276" w:lineRule="exact"/>
        <w:rPr>
          <w:sz w:val="20"/>
          <w:szCs w:val="20"/>
          <w:color w:val="auto"/>
        </w:rPr>
      </w:pPr>
    </w:p>
    <w:tbl>
      <w:tblPr>
        <w:tblLayout w:type="fixed"/>
        <w:tblInd w:w="5720" w:type="dxa"/>
        <w:tblCellMar>
          <w:top w:w="0" w:type="dxa"/>
          <w:left w:w="0" w:type="dxa"/>
          <w:bottom w:w="0" w:type="dxa"/>
          <w:right w:w="0" w:type="dxa"/>
        </w:tblCellMar>
      </w:tblPr>
      <w:tr>
        <w:trPr>
          <w:trHeight w:val="207"/>
        </w:trPr>
        <w:tc>
          <w:tcPr>
            <w:tcW w:w="780" w:type="dxa"/>
            <w:vAlign w:val="bottom"/>
          </w:tcPr>
          <w:p>
            <w:pPr>
              <w:spacing w:after="0"/>
              <w:rPr>
                <w:sz w:val="20"/>
                <w:szCs w:val="20"/>
                <w:color w:val="auto"/>
              </w:rPr>
            </w:pPr>
            <w:r>
              <w:rPr>
                <w:rFonts w:ascii="Arial" w:cs="Arial" w:eastAsia="Arial" w:hAnsi="Arial"/>
                <w:sz w:val="18"/>
                <w:szCs w:val="18"/>
                <w:color w:val="auto"/>
              </w:rPr>
              <w:t>By:</w:t>
            </w:r>
          </w:p>
        </w:tc>
        <w:tc>
          <w:tcPr>
            <w:tcW w:w="49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Mark Partin</w:t>
            </w:r>
          </w:p>
        </w:tc>
      </w:tr>
      <w:tr>
        <w:trPr>
          <w:trHeight w:val="236"/>
        </w:trPr>
        <w:tc>
          <w:tcPr>
            <w:tcW w:w="780" w:type="dxa"/>
            <w:vAlign w:val="bottom"/>
          </w:tcPr>
          <w:p>
            <w:pPr>
              <w:spacing w:after="0"/>
              <w:rPr>
                <w:sz w:val="20"/>
                <w:szCs w:val="20"/>
                <w:color w:val="auto"/>
              </w:rPr>
            </w:pPr>
            <w:r>
              <w:rPr>
                <w:rFonts w:ascii="Arial" w:cs="Arial" w:eastAsia="Arial" w:hAnsi="Arial"/>
                <w:sz w:val="18"/>
                <w:szCs w:val="18"/>
                <w:color w:val="auto"/>
              </w:rPr>
              <w:t>Name:</w:t>
            </w:r>
          </w:p>
        </w:tc>
        <w:tc>
          <w:tcPr>
            <w:tcW w:w="4920" w:type="dxa"/>
            <w:vAlign w:val="bottom"/>
          </w:tcPr>
          <w:p>
            <w:pPr>
              <w:spacing w:after="0"/>
              <w:rPr>
                <w:sz w:val="20"/>
                <w:szCs w:val="20"/>
                <w:color w:val="auto"/>
              </w:rPr>
            </w:pPr>
            <w:r>
              <w:rPr>
                <w:rFonts w:ascii="Arial" w:cs="Arial" w:eastAsia="Arial" w:hAnsi="Arial"/>
                <w:sz w:val="18"/>
                <w:szCs w:val="18"/>
                <w:color w:val="auto"/>
              </w:rPr>
              <w:t>Mark Partin</w:t>
            </w:r>
          </w:p>
        </w:tc>
      </w:tr>
      <w:tr>
        <w:trPr>
          <w:trHeight w:val="203"/>
        </w:trPr>
        <w:tc>
          <w:tcPr>
            <w:tcW w:w="780" w:type="dxa"/>
            <w:vAlign w:val="bottom"/>
          </w:tcPr>
          <w:p>
            <w:pPr>
              <w:spacing w:after="0" w:line="202" w:lineRule="exact"/>
              <w:rPr>
                <w:sz w:val="20"/>
                <w:szCs w:val="20"/>
                <w:color w:val="auto"/>
              </w:rPr>
            </w:pPr>
            <w:r>
              <w:rPr>
                <w:rFonts w:ascii="Arial" w:cs="Arial" w:eastAsia="Arial" w:hAnsi="Arial"/>
                <w:sz w:val="18"/>
                <w:szCs w:val="18"/>
                <w:color w:val="auto"/>
              </w:rPr>
              <w:t>Title:</w:t>
            </w:r>
          </w:p>
        </w:tc>
        <w:tc>
          <w:tcPr>
            <w:tcW w:w="4920" w:type="dxa"/>
            <w:vAlign w:val="bottom"/>
          </w:tcPr>
          <w:p>
            <w:pPr>
              <w:spacing w:after="0" w:line="202" w:lineRule="exact"/>
              <w:rPr>
                <w:sz w:val="20"/>
                <w:szCs w:val="20"/>
                <w:color w:val="auto"/>
              </w:rPr>
            </w:pPr>
            <w:r>
              <w:rPr>
                <w:rFonts w:ascii="Arial" w:cs="Arial" w:eastAsia="Arial" w:hAnsi="Arial"/>
                <w:sz w:val="18"/>
                <w:szCs w:val="18"/>
                <w:color w:val="auto"/>
              </w:rPr>
              <w:t>Chief Financial Officer</w:t>
            </w:r>
          </w:p>
        </w:tc>
      </w:tr>
      <w:tr>
        <w:trPr>
          <w:trHeight w:val="217"/>
        </w:trPr>
        <w:tc>
          <w:tcPr>
            <w:tcW w:w="780" w:type="dxa"/>
            <w:vAlign w:val="bottom"/>
          </w:tcPr>
          <w:p>
            <w:pPr>
              <w:spacing w:after="0"/>
              <w:rPr>
                <w:sz w:val="18"/>
                <w:szCs w:val="18"/>
                <w:color w:val="auto"/>
              </w:rPr>
            </w:pPr>
          </w:p>
        </w:tc>
        <w:tc>
          <w:tcPr>
            <w:tcW w:w="4920" w:type="dxa"/>
            <w:vAlign w:val="bottom"/>
          </w:tcPr>
          <w:p>
            <w:pPr>
              <w:spacing w:after="0"/>
              <w:rPr>
                <w:sz w:val="20"/>
                <w:szCs w:val="20"/>
                <w:color w:val="auto"/>
              </w:rPr>
            </w:pPr>
            <w:r>
              <w:rPr>
                <w:rFonts w:ascii="Arial" w:cs="Arial" w:eastAsia="Arial" w:hAnsi="Arial"/>
                <w:sz w:val="18"/>
                <w:szCs w:val="18"/>
                <w:color w:val="auto"/>
              </w:rPr>
              <w:t>(Principal Financial Officer)</w:t>
            </w:r>
          </w:p>
        </w:tc>
      </w:tr>
    </w:tbl>
    <w:p>
      <w:pPr>
        <w:sectPr>
          <w:pgSz w:w="11900" w:h="16838" w:orient="portrait"/>
          <w:cols w:equalWidth="0" w:num="1">
            <w:col w:w="11420"/>
          </w:cols>
          <w:pgMar w:left="240" w:top="118" w:right="239" w:bottom="1440" w:gutter="0" w:footer="0" w:header="0"/>
        </w:sectPr>
      </w:pPr>
    </w:p>
    <w:bookmarkStart w:id="110" w:name="page111"/>
    <w:bookmarkEnd w:id="110"/>
    <w:p>
      <w:pPr>
        <w:jc w:val="right"/>
        <w:spacing w:after="0"/>
        <w:rPr>
          <w:sz w:val="20"/>
          <w:szCs w:val="20"/>
          <w:color w:val="auto"/>
        </w:rPr>
      </w:pPr>
      <w:r>
        <w:rPr>
          <w:rFonts w:ascii="Arial" w:cs="Arial" w:eastAsia="Arial" w:hAnsi="Arial"/>
          <w:sz w:val="18"/>
          <w:szCs w:val="18"/>
          <w:b w:val="1"/>
          <w:bCs w:val="1"/>
          <w:color w:val="auto"/>
        </w:rPr>
        <w:t>Exhibit 32.1</w:t>
      </w: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CERTIFICATIONS OF PRINCIPAL EXECUTIVE OFFICER AND PRINCIPAL FINANCIAL OFFICER</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w:t>
      </w:r>
    </w:p>
    <w:p>
      <w:pPr>
        <w:jc w:val="center"/>
        <w:spacing w:after="0" w:line="234" w:lineRule="auto"/>
        <w:rPr>
          <w:sz w:val="20"/>
          <w:szCs w:val="20"/>
          <w:color w:val="auto"/>
        </w:rPr>
      </w:pPr>
      <w:r>
        <w:rPr>
          <w:rFonts w:ascii="Arial" w:cs="Arial" w:eastAsia="Arial" w:hAnsi="Arial"/>
          <w:sz w:val="18"/>
          <w:szCs w:val="18"/>
          <w:b w:val="1"/>
          <w:bCs w:val="1"/>
          <w:color w:val="auto"/>
        </w:rPr>
        <w:t>18 U.S.C. SECTION 1350,</w:t>
      </w:r>
    </w:p>
    <w:p>
      <w:pPr>
        <w:jc w:val="center"/>
        <w:spacing w:after="0" w:line="235" w:lineRule="auto"/>
        <w:rPr>
          <w:sz w:val="20"/>
          <w:szCs w:val="20"/>
          <w:color w:val="auto"/>
        </w:rPr>
      </w:pPr>
      <w:r>
        <w:rPr>
          <w:rFonts w:ascii="Arial" w:cs="Arial" w:eastAsia="Arial" w:hAnsi="Arial"/>
          <w:sz w:val="18"/>
          <w:szCs w:val="18"/>
          <w:b w:val="1"/>
          <w:bCs w:val="1"/>
          <w:color w:val="auto"/>
        </w:rPr>
        <w:t>AS ADOPTED PURSUANT TO</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2"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I, Therese Tucker, certify, pursuant to 18 U.S.C. Section 1350, as adopted pursuant to Section 906 of the Sarbanes-Oxley Act of 2002, that the Annual Report on Form 10-K of BlackLine, Inc. for the fiscal year ended December 31, 2019 fully complies with the requirements of Section 13(a) or 15(d) of the Securities Exchange Act of 1934 and that information contained in such Annual Report on Form 10-K fairly presents, in all material respects, the financial condition and results of operations of BlackLine, Inc.</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4320" w:type="dxa"/>
            <w:vAlign w:val="bottom"/>
          </w:tcPr>
          <w:p>
            <w:pPr>
              <w:spacing w:after="0"/>
              <w:rPr>
                <w:sz w:val="20"/>
                <w:szCs w:val="20"/>
                <w:color w:val="auto"/>
              </w:rPr>
            </w:pPr>
            <w:r>
              <w:rPr>
                <w:rFonts w:ascii="Arial" w:cs="Arial" w:eastAsia="Arial" w:hAnsi="Arial"/>
                <w:sz w:val="18"/>
                <w:szCs w:val="18"/>
                <w:color w:val="auto"/>
              </w:rPr>
              <w:t>Date: February 27, 2020</w:t>
            </w:r>
          </w:p>
        </w:tc>
        <w:tc>
          <w:tcPr>
            <w:tcW w:w="3080" w:type="dxa"/>
            <w:vAlign w:val="bottom"/>
          </w:tcPr>
          <w:p>
            <w:pPr>
              <w:ind w:left="2340"/>
              <w:spacing w:after="0"/>
              <w:rPr>
                <w:sz w:val="20"/>
                <w:szCs w:val="20"/>
                <w:color w:val="auto"/>
              </w:rPr>
            </w:pPr>
            <w:r>
              <w:rPr>
                <w:rFonts w:ascii="Arial" w:cs="Arial" w:eastAsia="Arial" w:hAnsi="Arial"/>
                <w:sz w:val="18"/>
                <w:szCs w:val="18"/>
                <w:color w:val="auto"/>
              </w:rPr>
              <w:t>By:</w:t>
            </w:r>
          </w:p>
        </w:tc>
        <w:tc>
          <w:tcPr>
            <w:tcW w:w="4020" w:type="dxa"/>
            <w:vAlign w:val="bottom"/>
          </w:tcPr>
          <w:p>
            <w:pPr>
              <w:spacing w:after="0"/>
              <w:rPr>
                <w:sz w:val="20"/>
                <w:szCs w:val="20"/>
                <w:color w:val="auto"/>
              </w:rPr>
            </w:pPr>
            <w:r>
              <w:rPr>
                <w:rFonts w:ascii="Arial" w:cs="Arial" w:eastAsia="Arial" w:hAnsi="Arial"/>
                <w:sz w:val="18"/>
                <w:szCs w:val="18"/>
                <w:color w:val="auto"/>
              </w:rPr>
              <w:t>/s/ Therese Tucker</w:t>
            </w:r>
          </w:p>
        </w:tc>
        <w:tc>
          <w:tcPr>
            <w:tcW w:w="0" w:type="dxa"/>
            <w:vAlign w:val="bottom"/>
          </w:tcPr>
          <w:p>
            <w:pPr>
              <w:spacing w:after="0"/>
              <w:rPr>
                <w:sz w:val="1"/>
                <w:szCs w:val="1"/>
                <w:color w:val="auto"/>
              </w:rPr>
            </w:pPr>
          </w:p>
        </w:tc>
      </w:tr>
      <w:tr>
        <w:trPr>
          <w:trHeight w:val="27"/>
        </w:trPr>
        <w:tc>
          <w:tcPr>
            <w:tcW w:w="4320" w:type="dxa"/>
            <w:vAlign w:val="bottom"/>
          </w:tcPr>
          <w:p>
            <w:pPr>
              <w:spacing w:after="0"/>
              <w:rPr>
                <w:sz w:val="2"/>
                <w:szCs w:val="2"/>
                <w:color w:val="auto"/>
              </w:rPr>
            </w:pPr>
          </w:p>
        </w:tc>
        <w:tc>
          <w:tcPr>
            <w:tcW w:w="3080" w:type="dxa"/>
            <w:vAlign w:val="bottom"/>
            <w:vMerge w:val="restart"/>
          </w:tcPr>
          <w:p>
            <w:pPr>
              <w:ind w:left="2340"/>
              <w:spacing w:after="0"/>
              <w:rPr>
                <w:sz w:val="20"/>
                <w:szCs w:val="20"/>
                <w:color w:val="auto"/>
              </w:rPr>
            </w:pPr>
            <w:r>
              <w:rPr>
                <w:rFonts w:ascii="Arial" w:cs="Arial" w:eastAsia="Arial" w:hAnsi="Arial"/>
                <w:sz w:val="18"/>
                <w:szCs w:val="18"/>
                <w:color w:val="auto"/>
              </w:rPr>
              <w:t>Name:</w:t>
            </w:r>
          </w:p>
        </w:tc>
        <w:tc>
          <w:tcPr>
            <w:tcW w:w="4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0"/>
        </w:trPr>
        <w:tc>
          <w:tcPr>
            <w:tcW w:w="4320" w:type="dxa"/>
            <w:vAlign w:val="bottom"/>
          </w:tcPr>
          <w:p>
            <w:pPr>
              <w:spacing w:after="0"/>
              <w:rPr>
                <w:sz w:val="18"/>
                <w:szCs w:val="18"/>
                <w:color w:val="auto"/>
              </w:rPr>
            </w:pPr>
          </w:p>
        </w:tc>
        <w:tc>
          <w:tcPr>
            <w:tcW w:w="3080" w:type="dxa"/>
            <w:vAlign w:val="bottom"/>
            <w:vMerge w:val="continue"/>
          </w:tcPr>
          <w:p>
            <w:pPr>
              <w:spacing w:after="0"/>
              <w:rPr>
                <w:sz w:val="18"/>
                <w:szCs w:val="18"/>
                <w:color w:val="auto"/>
              </w:rPr>
            </w:pPr>
          </w:p>
        </w:tc>
        <w:tc>
          <w:tcPr>
            <w:tcW w:w="4020" w:type="dxa"/>
            <w:vAlign w:val="bottom"/>
          </w:tcPr>
          <w:p>
            <w:pPr>
              <w:spacing w:after="0"/>
              <w:rPr>
                <w:sz w:val="20"/>
                <w:szCs w:val="20"/>
                <w:color w:val="auto"/>
              </w:rPr>
            </w:pPr>
            <w:r>
              <w:rPr>
                <w:rFonts w:ascii="Arial" w:cs="Arial" w:eastAsia="Arial" w:hAnsi="Arial"/>
                <w:sz w:val="18"/>
                <w:szCs w:val="18"/>
                <w:color w:val="auto"/>
              </w:rPr>
              <w:t>Therese Tucker</w:t>
            </w:r>
          </w:p>
        </w:tc>
        <w:tc>
          <w:tcPr>
            <w:tcW w:w="0" w:type="dxa"/>
            <w:vAlign w:val="bottom"/>
          </w:tcPr>
          <w:p>
            <w:pPr>
              <w:spacing w:after="0"/>
              <w:rPr>
                <w:sz w:val="1"/>
                <w:szCs w:val="1"/>
                <w:color w:val="auto"/>
              </w:rPr>
            </w:pPr>
          </w:p>
        </w:tc>
      </w:tr>
      <w:tr>
        <w:trPr>
          <w:trHeight w:val="242"/>
        </w:trPr>
        <w:tc>
          <w:tcPr>
            <w:tcW w:w="4320" w:type="dxa"/>
            <w:vAlign w:val="bottom"/>
          </w:tcPr>
          <w:p>
            <w:pPr>
              <w:spacing w:after="0"/>
              <w:rPr>
                <w:sz w:val="21"/>
                <w:szCs w:val="21"/>
                <w:color w:val="auto"/>
              </w:rPr>
            </w:pPr>
          </w:p>
        </w:tc>
        <w:tc>
          <w:tcPr>
            <w:tcW w:w="3080" w:type="dxa"/>
            <w:vAlign w:val="bottom"/>
          </w:tcPr>
          <w:p>
            <w:pPr>
              <w:ind w:left="2340"/>
              <w:spacing w:after="0"/>
              <w:rPr>
                <w:sz w:val="20"/>
                <w:szCs w:val="20"/>
                <w:color w:val="auto"/>
              </w:rPr>
            </w:pPr>
            <w:r>
              <w:rPr>
                <w:rFonts w:ascii="Arial" w:cs="Arial" w:eastAsia="Arial" w:hAnsi="Arial"/>
                <w:sz w:val="18"/>
                <w:szCs w:val="18"/>
                <w:color w:val="auto"/>
              </w:rPr>
              <w:t>Title:</w:t>
            </w:r>
          </w:p>
        </w:tc>
        <w:tc>
          <w:tcPr>
            <w:tcW w:w="4020" w:type="dxa"/>
            <w:vAlign w:val="bottom"/>
          </w:tcPr>
          <w:p>
            <w:pPr>
              <w:spacing w:after="0"/>
              <w:rPr>
                <w:sz w:val="20"/>
                <w:szCs w:val="20"/>
                <w:color w:val="auto"/>
              </w:rPr>
            </w:pPr>
            <w:r>
              <w:rPr>
                <w:rFonts w:ascii="Arial" w:cs="Arial" w:eastAsia="Arial" w:hAnsi="Arial"/>
                <w:sz w:val="18"/>
                <w:szCs w:val="18"/>
                <w:color w:val="auto"/>
              </w:rPr>
              <w:t>Chief Executive Officer</w:t>
            </w:r>
          </w:p>
        </w:tc>
        <w:tc>
          <w:tcPr>
            <w:tcW w:w="0" w:type="dxa"/>
            <w:vAlign w:val="bottom"/>
          </w:tcPr>
          <w:p>
            <w:pPr>
              <w:spacing w:after="0"/>
              <w:rPr>
                <w:sz w:val="1"/>
                <w:szCs w:val="1"/>
                <w:color w:val="auto"/>
              </w:rPr>
            </w:pPr>
          </w:p>
        </w:tc>
      </w:tr>
      <w:tr>
        <w:trPr>
          <w:trHeight w:val="243"/>
        </w:trPr>
        <w:tc>
          <w:tcPr>
            <w:tcW w:w="4320" w:type="dxa"/>
            <w:vAlign w:val="bottom"/>
          </w:tcPr>
          <w:p>
            <w:pPr>
              <w:spacing w:after="0"/>
              <w:rPr>
                <w:sz w:val="21"/>
                <w:szCs w:val="21"/>
                <w:color w:val="auto"/>
              </w:rPr>
            </w:pPr>
          </w:p>
        </w:tc>
        <w:tc>
          <w:tcPr>
            <w:tcW w:w="3080" w:type="dxa"/>
            <w:vAlign w:val="bottom"/>
          </w:tcPr>
          <w:p>
            <w:pPr>
              <w:spacing w:after="0"/>
              <w:rPr>
                <w:sz w:val="21"/>
                <w:szCs w:val="21"/>
                <w:color w:val="auto"/>
              </w:rPr>
            </w:pPr>
          </w:p>
        </w:tc>
        <w:tc>
          <w:tcPr>
            <w:tcW w:w="4020" w:type="dxa"/>
            <w:vAlign w:val="bottom"/>
          </w:tcPr>
          <w:p>
            <w:pPr>
              <w:spacing w:after="0"/>
              <w:rPr>
                <w:sz w:val="20"/>
                <w:szCs w:val="20"/>
                <w:color w:val="auto"/>
              </w:rPr>
            </w:pPr>
            <w:r>
              <w:rPr>
                <w:rFonts w:ascii="Arial" w:cs="Arial" w:eastAsia="Arial" w:hAnsi="Arial"/>
                <w:sz w:val="18"/>
                <w:szCs w:val="18"/>
                <w:color w:val="auto"/>
              </w:rPr>
              <w:t>(Principal Executive Officer)</w:t>
            </w:r>
          </w:p>
        </w:tc>
        <w:tc>
          <w:tcPr>
            <w:tcW w:w="0" w:type="dxa"/>
            <w:vAlign w:val="bottom"/>
          </w:tcPr>
          <w:p>
            <w:pPr>
              <w:spacing w:after="0"/>
              <w:rPr>
                <w:sz w:val="1"/>
                <w:szCs w:val="1"/>
                <w:color w:val="auto"/>
              </w:rPr>
            </w:pPr>
          </w:p>
        </w:tc>
      </w:tr>
    </w:tbl>
    <w:p>
      <w:pPr>
        <w:spacing w:after="0" w:line="242"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I, Mark Partin, certify, pursuant to 18 U.S.C. Section 1350, as adopted pursuant to Section 906 of the Sarbanes-Oxley Act of 2002, that the Annual Report on Form 10-K of BlackLine, Inc. for the fiscal year ended December 31, 2019 fully complies with the requirements of Section 13(a) or 15(d) of the Securities Exchange Act of 1934 and that information contained in such Annual Report on Form 10-K fairly presents, in all material respects, the financial condition and results of operations of BlackLine, Inc.</w:t>
      </w:r>
    </w:p>
    <w:p>
      <w:pPr>
        <w:spacing w:after="0" w:line="229" w:lineRule="exact"/>
        <w:rPr>
          <w:sz w:val="20"/>
          <w:szCs w:val="20"/>
          <w:color w:val="auto"/>
        </w:rPr>
      </w:pPr>
    </w:p>
    <w:p>
      <w:pPr>
        <w:spacing w:after="0"/>
        <w:tabs>
          <w:tab w:leader="none" w:pos="6700" w:val="left"/>
          <w:tab w:leader="none" w:pos="7340" w:val="left"/>
        </w:tabs>
        <w:rPr>
          <w:sz w:val="20"/>
          <w:szCs w:val="20"/>
          <w:color w:val="auto"/>
        </w:rPr>
      </w:pPr>
      <w:r>
        <w:rPr>
          <w:rFonts w:ascii="Arial" w:cs="Arial" w:eastAsia="Arial" w:hAnsi="Arial"/>
          <w:sz w:val="18"/>
          <w:szCs w:val="18"/>
          <w:color w:val="auto"/>
        </w:rPr>
        <w:t>Date: February 27, 2020</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7"/>
          <w:szCs w:val="17"/>
          <w:color w:val="auto"/>
        </w:rPr>
        <w:t>/s/ Mark Partin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4678680</wp:posOffset>
            </wp:positionH>
            <wp:positionV relativeFrom="paragraph">
              <wp:posOffset>23495</wp:posOffset>
            </wp:positionV>
            <wp:extent cx="2573020" cy="889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79">
                      <a:extLst>
                        <a:ext uri="{28A0092B-C50C-407E-A947-70E740481C1C}"/>
                      </a:extLst>
                    </a:blip>
                    <a:srcRect/>
                    <a:stretch>
                      <a:fillRect/>
                    </a:stretch>
                  </pic:blipFill>
                  <pic:spPr bwMode="auto">
                    <a:xfrm>
                      <a:off x="0" y="0"/>
                      <a:ext cx="2573020" cy="8890"/>
                    </a:xfrm>
                    <a:prstGeom prst="rect">
                      <a:avLst/>
                    </a:prstGeom>
                    <a:noFill/>
                  </pic:spPr>
                </pic:pic>
              </a:graphicData>
            </a:graphic>
          </wp:anchor>
        </w:drawing>
      </w:r>
    </w:p>
    <w:p>
      <w:pPr>
        <w:spacing w:after="0" w:line="30" w:lineRule="exact"/>
        <w:rPr>
          <w:sz w:val="20"/>
          <w:szCs w:val="20"/>
          <w:color w:val="auto"/>
        </w:rPr>
      </w:pPr>
    </w:p>
    <w:p>
      <w:pPr>
        <w:ind w:left="6720"/>
        <w:spacing w:after="0"/>
        <w:rPr>
          <w:sz w:val="20"/>
          <w:szCs w:val="20"/>
          <w:color w:val="auto"/>
        </w:rPr>
      </w:pPr>
      <w:r>
        <w:rPr>
          <w:rFonts w:ascii="Arial" w:cs="Arial" w:eastAsia="Arial" w:hAnsi="Arial"/>
          <w:sz w:val="18"/>
          <w:szCs w:val="18"/>
          <w:color w:val="auto"/>
        </w:rPr>
        <w:t>Name: Mark Partin</w:t>
      </w:r>
    </w:p>
    <w:p>
      <w:pPr>
        <w:spacing w:after="0" w:line="36" w:lineRule="exact"/>
        <w:rPr>
          <w:sz w:val="20"/>
          <w:szCs w:val="20"/>
          <w:color w:val="auto"/>
        </w:rPr>
      </w:pPr>
    </w:p>
    <w:p>
      <w:pPr>
        <w:ind w:left="6720"/>
        <w:spacing w:after="0"/>
        <w:tabs>
          <w:tab w:leader="none" w:pos="7340" w:val="left"/>
        </w:tabs>
        <w:rPr>
          <w:sz w:val="20"/>
          <w:szCs w:val="20"/>
          <w:color w:val="auto"/>
        </w:rPr>
      </w:pPr>
      <w:r>
        <w:rPr>
          <w:rFonts w:ascii="Arial" w:cs="Arial" w:eastAsia="Arial" w:hAnsi="Arial"/>
          <w:sz w:val="18"/>
          <w:szCs w:val="18"/>
          <w:color w:val="auto"/>
        </w:rPr>
        <w:t>Title:</w:t>
        <w:tab/>
        <w:t>Chief Financial Officer</w:t>
      </w:r>
    </w:p>
    <w:p>
      <w:pPr>
        <w:spacing w:after="0" w:line="36" w:lineRule="exact"/>
        <w:rPr>
          <w:sz w:val="20"/>
          <w:szCs w:val="20"/>
          <w:color w:val="auto"/>
        </w:rPr>
      </w:pPr>
    </w:p>
    <w:p>
      <w:pPr>
        <w:ind w:left="7360"/>
        <w:spacing w:after="0"/>
        <w:rPr>
          <w:sz w:val="20"/>
          <w:szCs w:val="20"/>
          <w:color w:val="auto"/>
        </w:rPr>
      </w:pPr>
      <w:r>
        <w:rPr>
          <w:rFonts w:ascii="Arial" w:cs="Arial" w:eastAsia="Arial" w:hAnsi="Arial"/>
          <w:sz w:val="18"/>
          <w:szCs w:val="18"/>
          <w:color w:val="auto"/>
        </w:rPr>
        <w:t>(Principal Financial Officer)</w:t>
      </w:r>
    </w:p>
    <w:sectPr>
      <w:pgSz w:w="11900" w:h="16838" w:orient="portrait"/>
      <w:cols w:equalWidth="0" w:num="1">
        <w:col w:w="11420"/>
      </w:cols>
      <w:pgMar w:left="240" w:top="115"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21DA317"/>
    <w:multiLevelType w:val="hybridMultilevel"/>
    <w:lvl w:ilvl="0">
      <w:lvlJc w:val="left"/>
      <w:lvlText w:val="☒"/>
      <w:numFmt w:val="bullet"/>
      <w:start w:val="1"/>
    </w:lvl>
  </w:abstractNum>
  <w:abstractNum w:abstractNumId="1">
    <w:nsid w:val="2443A858"/>
    <w:multiLevelType w:val="hybridMultilevel"/>
    <w:lvl w:ilvl="0">
      <w:lvlJc w:val="left"/>
      <w:lvlText w:val="☐"/>
      <w:numFmt w:val="bullet"/>
      <w:start w:val="1"/>
    </w:lvl>
  </w:abstractNum>
  <w:abstractNum w:abstractNumId="2">
    <w:nsid w:val="2D1D5AE9"/>
    <w:multiLevelType w:val="hybridMultilevel"/>
    <w:lvl w:ilvl="0">
      <w:lvlJc w:val="left"/>
      <w:lvlText w:val="•"/>
      <w:numFmt w:val="bullet"/>
      <w:start w:val="1"/>
    </w:lvl>
  </w:abstractNum>
  <w:abstractNum w:abstractNumId="3">
    <w:nsid w:val="6763845E"/>
    <w:multiLevelType w:val="hybridMultilevel"/>
    <w:lvl w:ilvl="0">
      <w:lvlJc w:val="left"/>
      <w:lvlText w:val="•"/>
      <w:numFmt w:val="bullet"/>
      <w:start w:val="1"/>
    </w:lvl>
  </w:abstractNum>
  <w:abstractNum w:abstractNumId="4">
    <w:nsid w:val="75A2A8D4"/>
    <w:multiLevelType w:val="hybridMultilevel"/>
    <w:lvl w:ilvl="0">
      <w:lvlJc w:val="left"/>
      <w:lvlText w:val="•"/>
      <w:numFmt w:val="bullet"/>
      <w:start w:val="1"/>
    </w:lvl>
  </w:abstractNum>
  <w:abstractNum w:abstractNumId="5">
    <w:nsid w:val="8EDBDAB"/>
    <w:multiLevelType w:val="hybridMultilevel"/>
    <w:lvl w:ilvl="0">
      <w:lvlJc w:val="left"/>
      <w:lvlText w:val="•"/>
      <w:numFmt w:val="bullet"/>
      <w:start w:val="1"/>
    </w:lvl>
  </w:abstractNum>
  <w:abstractNum w:abstractNumId="6">
    <w:nsid w:val="79838CB2"/>
    <w:multiLevelType w:val="hybridMultilevel"/>
    <w:lvl w:ilvl="0">
      <w:lvlJc w:val="left"/>
      <w:lvlText w:val="•"/>
      <w:numFmt w:val="bullet"/>
      <w:start w:val="1"/>
    </w:lvl>
  </w:abstractNum>
  <w:abstractNum w:abstractNumId="7">
    <w:nsid w:val="4353D0CD"/>
    <w:multiLevelType w:val="hybridMultilevel"/>
    <w:lvl w:ilvl="0">
      <w:lvlJc w:val="left"/>
      <w:lvlText w:val="•"/>
      <w:numFmt w:val="bullet"/>
      <w:start w:val="1"/>
    </w:lvl>
  </w:abstractNum>
  <w:abstractNum w:abstractNumId="8">
    <w:nsid w:val="B03E0C6"/>
    <w:multiLevelType w:val="hybridMultilevel"/>
    <w:lvl w:ilvl="0">
      <w:lvlJc w:val="left"/>
      <w:lvlText w:val="•"/>
      <w:numFmt w:val="bullet"/>
      <w:start w:val="1"/>
    </w:lvl>
  </w:abstractNum>
  <w:abstractNum w:abstractNumId="9">
    <w:nsid w:val="189A769B"/>
    <w:multiLevelType w:val="hybridMultilevel"/>
    <w:lvl w:ilvl="0">
      <w:lvlJc w:val="left"/>
      <w:lvlText w:val="•"/>
      <w:numFmt w:val="bullet"/>
      <w:start w:val="1"/>
    </w:lvl>
  </w:abstractNum>
  <w:abstractNum w:abstractNumId="10">
    <w:nsid w:val="54E49EB4"/>
    <w:multiLevelType w:val="hybridMultilevel"/>
    <w:lvl w:ilvl="0">
      <w:lvlJc w:val="left"/>
      <w:lvlText w:val="•"/>
      <w:numFmt w:val="bullet"/>
      <w:start w:val="1"/>
    </w:lvl>
  </w:abstractNum>
  <w:abstractNum w:abstractNumId="11">
    <w:nsid w:val="71F32454"/>
    <w:multiLevelType w:val="hybridMultilevel"/>
    <w:lvl w:ilvl="0">
      <w:lvlJc w:val="left"/>
      <w:lvlText w:val="•"/>
      <w:numFmt w:val="bullet"/>
      <w:start w:val="1"/>
    </w:lvl>
  </w:abstractNum>
  <w:abstractNum w:abstractNumId="12">
    <w:nsid w:val="2CA88611"/>
    <w:multiLevelType w:val="hybridMultilevel"/>
    <w:lvl w:ilvl="0">
      <w:lvlJc w:val="left"/>
      <w:lvlText w:val="•"/>
      <w:numFmt w:val="bullet"/>
      <w:start w:val="1"/>
    </w:lvl>
  </w:abstractNum>
  <w:abstractNum w:abstractNumId="13">
    <w:nsid w:val="836C40E"/>
    <w:multiLevelType w:val="hybridMultilevel"/>
    <w:lvl w:ilvl="0">
      <w:lvlJc w:val="left"/>
      <w:lvlText w:val="•"/>
      <w:numFmt w:val="bullet"/>
      <w:start w:val="1"/>
    </w:lvl>
  </w:abstractNum>
  <w:abstractNum w:abstractNumId="14">
    <w:nsid w:val="2901D82"/>
    <w:multiLevelType w:val="hybridMultilevel"/>
    <w:lvl w:ilvl="0">
      <w:lvlJc w:val="left"/>
      <w:lvlText w:val="•"/>
      <w:numFmt w:val="bullet"/>
      <w:start w:val="1"/>
    </w:lvl>
  </w:abstractNum>
  <w:abstractNum w:abstractNumId="15">
    <w:nsid w:val="3A95F874"/>
    <w:multiLevelType w:val="hybridMultilevel"/>
    <w:lvl w:ilvl="0">
      <w:lvlJc w:val="left"/>
      <w:lvlText w:val="•"/>
      <w:numFmt w:val="bullet"/>
      <w:start w:val="1"/>
    </w:lvl>
  </w:abstractNum>
  <w:abstractNum w:abstractNumId="16">
    <w:nsid w:val="8138641"/>
    <w:multiLevelType w:val="hybridMultilevel"/>
    <w:lvl w:ilvl="0">
      <w:lvlJc w:val="left"/>
      <w:lvlText w:val="•"/>
      <w:numFmt w:val="bullet"/>
      <w:start w:val="1"/>
    </w:lvl>
  </w:abstractNum>
  <w:abstractNum w:abstractNumId="17">
    <w:nsid w:val="1E7FF521"/>
    <w:multiLevelType w:val="hybridMultilevel"/>
    <w:lvl w:ilvl="0">
      <w:lvlJc w:val="left"/>
      <w:lvlText w:val="•"/>
      <w:numFmt w:val="bullet"/>
      <w:start w:val="1"/>
    </w:lvl>
  </w:abstractNum>
  <w:abstractNum w:abstractNumId="18">
    <w:nsid w:val="7C3DBD3D"/>
    <w:multiLevelType w:val="hybridMultilevel"/>
    <w:lvl w:ilvl="0">
      <w:lvlJc w:val="left"/>
      <w:lvlText w:val="(%1)"/>
      <w:numFmt w:val="decimal"/>
      <w:start w:val="1"/>
    </w:lvl>
  </w:abstractNum>
  <w:abstractNum w:abstractNumId="19">
    <w:nsid w:val="737B8DDC"/>
    <w:multiLevelType w:val="hybridMultilevel"/>
    <w:lvl w:ilvl="0">
      <w:lvlJc w:val="left"/>
      <w:lvlText w:val="(%1)"/>
      <w:numFmt w:val="decimal"/>
      <w:start w:val="4"/>
    </w:lvl>
  </w:abstractNum>
  <w:abstractNum w:abstractNumId="20">
    <w:nsid w:val="6CEAF087"/>
    <w:multiLevelType w:val="hybridMultilevel"/>
    <w:lvl w:ilvl="0">
      <w:lvlJc w:val="left"/>
      <w:lvlText w:val="(%1)"/>
      <w:numFmt w:val="decimal"/>
      <w:start w:val="5"/>
    </w:lvl>
  </w:abstractNum>
  <w:abstractNum w:abstractNumId="21">
    <w:nsid w:val="22221A70"/>
    <w:multiLevelType w:val="hybridMultilevel"/>
    <w:lvl w:ilvl="0">
      <w:lvlJc w:val="left"/>
      <w:lvlText w:val="(%1)"/>
      <w:numFmt w:val="decimal"/>
      <w:start w:val="6"/>
    </w:lvl>
  </w:abstractNum>
  <w:abstractNum w:abstractNumId="22">
    <w:nsid w:val="4516DDE9"/>
    <w:multiLevelType w:val="hybridMultilevel"/>
    <w:lvl w:ilvl="0">
      <w:lvlJc w:val="left"/>
      <w:lvlText w:val="(%1)"/>
      <w:numFmt w:val="decimal"/>
      <w:start w:val="1"/>
    </w:lvl>
  </w:abstractNum>
  <w:abstractNum w:abstractNumId="23">
    <w:nsid w:val="3006C83E"/>
    <w:multiLevelType w:val="hybridMultilevel"/>
    <w:lvl w:ilvl="0">
      <w:lvlJc w:val="left"/>
      <w:lvlText w:val="K.%1."/>
      <w:numFmt w:val="upperLetter"/>
      <w:start w:val="11"/>
    </w:lvl>
  </w:abstractNum>
  <w:abstractNum w:abstractNumId="24">
    <w:nsid w:val="614FD4A1"/>
    <w:multiLevelType w:val="hybridMultilevel"/>
    <w:lvl w:ilvl="0">
      <w:lvlJc w:val="left"/>
      <w:lvlText w:val="•"/>
      <w:numFmt w:val="bullet"/>
      <w:start w:val="1"/>
    </w:lvl>
  </w:abstractNum>
  <w:abstractNum w:abstractNumId="25">
    <w:nsid w:val="419AC241"/>
    <w:multiLevelType w:val="hybridMultilevel"/>
    <w:lvl w:ilvl="0">
      <w:lvlJc w:val="left"/>
      <w:lvlText w:val="(%1)"/>
      <w:numFmt w:val="decimal"/>
      <w:start w:val="1"/>
    </w:lvl>
  </w:abstractNum>
  <w:abstractNum w:abstractNumId="26">
    <w:nsid w:val="5577F8E1"/>
    <w:multiLevelType w:val="hybridMultilevel"/>
    <w:lvl w:ilvl="0">
      <w:lvlJc w:val="left"/>
      <w:lvlText w:val="%1."/>
      <w:numFmt w:val="decimal"/>
      <w:start w:val="1"/>
    </w:lvl>
  </w:abstractNum>
  <w:abstractNum w:abstractNumId="27">
    <w:nsid w:val="440BADFC"/>
    <w:multiLevelType w:val="hybridMultilevel"/>
    <w:lvl w:ilvl="0">
      <w:lvlJc w:val="left"/>
      <w:lvlText w:val="%1"/>
      <w:numFmt w:val="decimal"/>
      <w:start w:val="104"/>
    </w:lvl>
  </w:abstractNum>
  <w:abstractNum w:abstractNumId="28">
    <w:nsid w:val="5072367"/>
    <w:multiLevelType w:val="hybridMultilevel"/>
    <w:lvl w:ilvl="0">
      <w:lvlJc w:val="left"/>
      <w:lvlText w:val="*"/>
      <w:numFmt w:val="bullet"/>
      <w:start w:val="1"/>
    </w:lvl>
  </w:abstractNum>
  <w:abstractNum w:abstractNumId="29">
    <w:nsid w:val="3804823E"/>
    <w:multiLevelType w:val="hybridMultilevel"/>
    <w:lvl w:ilvl="0">
      <w:lvlJc w:val="left"/>
      <w:lvlText w:val="**"/>
      <w:numFmt w:val="bullet"/>
      <w:start w:val="1"/>
    </w:lvl>
  </w:abstractNum>
  <w:abstractNum w:abstractNumId="30">
    <w:nsid w:val="77465F01"/>
    <w:multiLevelType w:val="hybridMultilevel"/>
    <w:lvl w:ilvl="0">
      <w:lvlJc w:val="left"/>
      <w:lvlText w:val="+"/>
      <w:numFmt w:val="bullet"/>
      <w:start w:val="1"/>
    </w:lvl>
  </w:abstractNum>
  <w:abstractNum w:abstractNumId="31">
    <w:nsid w:val="7724C67E"/>
    <w:multiLevelType w:val="hybridMultilevel"/>
    <w:lvl w:ilvl="0">
      <w:lvlJc w:val="left"/>
      <w:lvlText w:val="†"/>
      <w:numFmt w:val="bullet"/>
      <w:start w:val="1"/>
    </w:lvl>
  </w:abstractNum>
  <w:abstractNum w:abstractNumId="32">
    <w:nsid w:val="5C482A97"/>
    <w:multiLevelType w:val="hybridMultilevel"/>
    <w:lvl w:ilvl="0">
      <w:lvlJc w:val="left"/>
      <w:lvlText w:val="•"/>
      <w:numFmt w:val="bullet"/>
      <w:start w:val="1"/>
    </w:lvl>
  </w:abstractNum>
  <w:abstractNum w:abstractNumId="33">
    <w:nsid w:val="2463B9EA"/>
    <w:multiLevelType w:val="hybridMultilevel"/>
    <w:lvl w:ilvl="0">
      <w:lvlJc w:val="left"/>
      <w:lvlText w:val="•"/>
      <w:numFmt w:val="bullet"/>
      <w:start w:val="1"/>
    </w:lvl>
  </w:abstractNum>
  <w:abstractNum w:abstractNumId="34">
    <w:nsid w:val="5E884ADC"/>
    <w:multiLevelType w:val="hybridMultilevel"/>
    <w:lvl w:ilvl="0">
      <w:lvlJc w:val="left"/>
      <w:lvlText w:val="•"/>
      <w:numFmt w:val="bullet"/>
      <w:start w:val="1"/>
    </w:lvl>
  </w:abstractNum>
  <w:abstractNum w:abstractNumId="35">
    <w:nsid w:val="51EAD36B"/>
    <w:multiLevelType w:val="hybridMultilevel"/>
    <w:lvl w:ilvl="0">
      <w:lvlJc w:val="left"/>
      <w:lvlText w:val="%1."/>
      <w:numFmt w:val="decimal"/>
      <w:start w:val="1"/>
    </w:lvl>
  </w:abstractNum>
  <w:abstractNum w:abstractNumId="36">
    <w:nsid w:val="2D517796"/>
    <w:multiLevelType w:val="hybridMultilevel"/>
    <w:lvl w:ilvl="0">
      <w:lvlJc w:val="left"/>
      <w:lvlText w:val="(%1)"/>
      <w:numFmt w:val="lowerLetter"/>
      <w:start w:val="1"/>
    </w:lvl>
  </w:abstractNum>
  <w:abstractNum w:abstractNumId="37">
    <w:nsid w:val="580BD78F"/>
    <w:multiLevelType w:val="hybridMultilevel"/>
    <w:lvl w:ilvl="0">
      <w:lvlJc w:val="left"/>
      <w:lvlText w:val="%1."/>
      <w:numFmt w:val="decimal"/>
      <w:start w:val="5"/>
    </w:lvl>
  </w:abstractNum>
  <w:abstractNum w:abstractNumId="38">
    <w:nsid w:val="153EA438"/>
    <w:multiLevelType w:val="hybridMultilevel"/>
    <w:lvl w:ilvl="0">
      <w:lvlJc w:val="left"/>
      <w:lvlText w:val="(%1)"/>
      <w:numFmt w:val="lowerLetter"/>
      <w:start w:val="1"/>
    </w:lvl>
  </w:abstractNum>
  <w:abstractNum w:abstractNumId="39">
    <w:nsid w:val="3855585C"/>
    <w:multiLevelType w:val="hybridMultilevel"/>
    <w:lvl w:ilvl="0">
      <w:lvlJc w:val="left"/>
      <w:lvlText w:val="%1."/>
      <w:numFmt w:val="decimal"/>
      <w:start w:val="1"/>
    </w:lvl>
  </w:abstractNum>
  <w:abstractNum w:abstractNumId="40">
    <w:nsid w:val="70A64E2A"/>
    <w:multiLevelType w:val="hybridMultilevel"/>
    <w:lvl w:ilvl="0">
      <w:lvlJc w:val="left"/>
      <w:lvlText w:val="(%1)"/>
      <w:numFmt w:val="lowerLetter"/>
      <w:start w:val="1"/>
    </w:lvl>
  </w:abstractNum>
  <w:abstractNum w:abstractNumId="41">
    <w:nsid w:val="6A2342EC"/>
    <w:multiLevelType w:val="hybridMultilevel"/>
    <w:lvl w:ilvl="0">
      <w:lvlJc w:val="left"/>
      <w:lvlText w:val="%1."/>
      <w:numFmt w:val="decimal"/>
      <w:start w:val="5"/>
    </w:lvl>
  </w:abstractNum>
  <w:abstractNum w:abstractNumId="42">
    <w:nsid w:val="2A487CB0"/>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jpe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36" Type="http://schemas.openxmlformats.org/officeDocument/2006/relationships/image" Target="media/image117.png"/><Relationship Id="rId137" Type="http://schemas.openxmlformats.org/officeDocument/2006/relationships/image" Target="media/image118.png"/><Relationship Id="rId159" Type="http://schemas.openxmlformats.org/officeDocument/2006/relationships/image" Target="media/image119.png"/><Relationship Id="rId160" Type="http://schemas.openxmlformats.org/officeDocument/2006/relationships/image" Target="media/image120.png"/><Relationship Id="rId168" Type="http://schemas.openxmlformats.org/officeDocument/2006/relationships/image" Target="media/image121.png"/><Relationship Id="rId169" Type="http://schemas.openxmlformats.org/officeDocument/2006/relationships/image" Target="media/image122.png"/><Relationship Id="rId170" Type="http://schemas.openxmlformats.org/officeDocument/2006/relationships/image" Target="media/image123.png"/><Relationship Id="rId171" Type="http://schemas.openxmlformats.org/officeDocument/2006/relationships/image" Target="media/image124.png"/><Relationship Id="rId172" Type="http://schemas.openxmlformats.org/officeDocument/2006/relationships/image" Target="media/image125.png"/><Relationship Id="rId173" Type="http://schemas.openxmlformats.org/officeDocument/2006/relationships/image" Target="media/image126.png"/><Relationship Id="rId174" Type="http://schemas.openxmlformats.org/officeDocument/2006/relationships/image" Target="media/image127.png"/><Relationship Id="rId175" Type="http://schemas.openxmlformats.org/officeDocument/2006/relationships/image" Target="media/image128.png"/><Relationship Id="rId176" Type="http://schemas.openxmlformats.org/officeDocument/2006/relationships/image" Target="media/image129.png"/><Relationship Id="rId177" Type="http://schemas.openxmlformats.org/officeDocument/2006/relationships/image" Target="media/image130.png"/><Relationship Id="rId178" Type="http://schemas.openxmlformats.org/officeDocument/2006/relationships/image" Target="media/image131.png"/><Relationship Id="rId179" Type="http://schemas.openxmlformats.org/officeDocument/2006/relationships/image" Target="media/image132.png"/><Relationship Id="rId124" Type="http://schemas.openxmlformats.org/officeDocument/2006/relationships/hyperlink" Target="http://www.sec.gov/Archives/edgar/data/1666134/000119312516727634/d215001dex21.htm" TargetMode="External"/><Relationship Id="rId125" Type="http://schemas.openxmlformats.org/officeDocument/2006/relationships/hyperlink" Target="http://www.sec.gov/Archives/edgar/data/1666134/000119312516739062/d215001dex32.htm" TargetMode="External"/><Relationship Id="rId126" Type="http://schemas.openxmlformats.org/officeDocument/2006/relationships/hyperlink" Target="http://www.sec.gov/Archives/edgar/data/1666134/000156459016030119/bl-ex32_197.htm" TargetMode="External"/><Relationship Id="rId127" Type="http://schemas.openxmlformats.org/officeDocument/2006/relationships/hyperlink" Target="http://www.sec.gov/Archives/edgar/data/1666134/000156459016030119/bl-ex33_195.htm" TargetMode="External"/><Relationship Id="rId128" Type="http://schemas.openxmlformats.org/officeDocument/2006/relationships/hyperlink" Target="http://www.sec.gov/Archives/edgar/data/1666134/000119312516727634/d215001dex41.htm" TargetMode="External"/><Relationship Id="rId129" Type="http://schemas.openxmlformats.org/officeDocument/2006/relationships/hyperlink" Target="http://www.sec.gov/Archives/edgar/data/1666134/000156459016030119/bl-ex42_194.htm" TargetMode="External"/><Relationship Id="rId130" Type="http://schemas.openxmlformats.org/officeDocument/2006/relationships/hyperlink" Target="http://www.sec.gov/Archives/edgar/data/1666134/000156459016030119/bl-ex43_196.htm" TargetMode="External"/><Relationship Id="rId131" Type="http://schemas.openxmlformats.org/officeDocument/2006/relationships/hyperlink" Target="http://www.sec.gov/Archives/edgar/data/1666134/000119312516727634/d215001dex47.htm" TargetMode="External"/><Relationship Id="rId132" Type="http://schemas.openxmlformats.org/officeDocument/2006/relationships/hyperlink" Target="http://www.sec.gov/Archives/edgar/data/1666134/000119312517339208/d492459dex45.htm" TargetMode="External"/><Relationship Id="rId133" Type="http://schemas.openxmlformats.org/officeDocument/2006/relationships/hyperlink" Target="http://www.sec.gov/Archives/edgar/data/1666134/000119312517339208/d492459dex46.htm" TargetMode="External"/><Relationship Id="rId134" Type="http://schemas.openxmlformats.org/officeDocument/2006/relationships/hyperlink" Target="http://www.sec.gov/Archives/edgar/data/1666134/000119312519220076/d791910dex41.htm" TargetMode="External"/><Relationship Id="rId135" Type="http://schemas.openxmlformats.org/officeDocument/2006/relationships/hyperlink" Target="http://www.sec.gov/Archives/edgar/data/1666134/000119312516727634/d215001dex101.htm" TargetMode="External"/><Relationship Id="rId138" Type="http://schemas.openxmlformats.org/officeDocument/2006/relationships/hyperlink" Target="http://www.sec.gov/Archives/edgar/data/1666134/000156459019005462/bl-10k_20181231.htm" TargetMode="External"/><Relationship Id="rId139" Type="http://schemas.openxmlformats.org/officeDocument/2006/relationships/hyperlink" Target="http://www.sec.gov/Archives/edgar/data/1666134/000119312516727634/d215001dex106.htm" TargetMode="External"/><Relationship Id="rId140" Type="http://schemas.openxmlformats.org/officeDocument/2006/relationships/hyperlink" Target="http://www.sec.gov/Archives/edgar/data/1666134/000119312516727634/d215001dex107.htm" TargetMode="External"/><Relationship Id="rId141" Type="http://schemas.openxmlformats.org/officeDocument/2006/relationships/hyperlink" Target="http://www.sec.gov/Archives/edgar/data/1666134/000119312516727634/d215001dex108.htm" TargetMode="External"/><Relationship Id="rId142" Type="http://schemas.openxmlformats.org/officeDocument/2006/relationships/hyperlink" Target="http://www.sec.gov/Archives/edgar/data/1666134/000119312516727634/d215001dex109.htm" TargetMode="External"/><Relationship Id="rId143" Type="http://schemas.openxmlformats.org/officeDocument/2006/relationships/hyperlink" Target="http://www.sec.gov/Archives/edgar/data/1666134/000119312516739062/d215001dex1010.htm" TargetMode="External"/><Relationship Id="rId144" Type="http://schemas.openxmlformats.org/officeDocument/2006/relationships/hyperlink" Target="http://www.sec.gov/Archives/edgar/data/1666134/000119312516727634/d215001dex1011.htm" TargetMode="External"/><Relationship Id="rId145" Type="http://schemas.openxmlformats.org/officeDocument/2006/relationships/hyperlink" Target="http://www.sec.gov/Archives/edgar/data/1666134/000156459018020461/bl-ex102_32.htm" TargetMode="External"/><Relationship Id="rId146" Type="http://schemas.openxmlformats.org/officeDocument/2006/relationships/hyperlink" Target="http://www.sec.gov/Archives/edgar/data/1666134/000119312516727634/d215001dex1013.htm" TargetMode="External"/><Relationship Id="rId147" Type="http://schemas.openxmlformats.org/officeDocument/2006/relationships/hyperlink" Target="http://www.sec.gov/Archives/edgar/data/1666134/000119312516727634/d215001dex1014.htm" TargetMode="External"/><Relationship Id="rId148" Type="http://schemas.openxmlformats.org/officeDocument/2006/relationships/hyperlink" Target="http://www.sec.gov/Archives/edgar/data/1666134/000119312516727634/d215001dex1016.htm" TargetMode="External"/><Relationship Id="rId149" Type="http://schemas.openxmlformats.org/officeDocument/2006/relationships/hyperlink" Target="http://www.sec.gov/Archives/edgar/data/1666134/000119312516727634/d215001dex1018.htm" TargetMode="External"/><Relationship Id="rId150" Type="http://schemas.openxmlformats.org/officeDocument/2006/relationships/hyperlink" Target="http://www.sec.gov/Archives/edgar/data/1666134/000119312516727634/d215001dex1019.htm" TargetMode="External"/><Relationship Id="rId151" Type="http://schemas.openxmlformats.org/officeDocument/2006/relationships/hyperlink" Target="http://www.sec.gov/Archives/edgar/data/1666134/000119312516727634/d215001dex1020.htm" TargetMode="External"/><Relationship Id="rId152" Type="http://schemas.openxmlformats.org/officeDocument/2006/relationships/hyperlink" Target="http://www.sec.gov/Archives/edgar/data/1666134/000156459018012391/bl-ex1018_8.htm" TargetMode="External"/><Relationship Id="rId153" Type="http://schemas.openxmlformats.org/officeDocument/2006/relationships/hyperlink" Target="http://www.sec.gov/Archives/edgar/data/1666134/000119312516727634/d215001dex1022.htm" TargetMode="External"/><Relationship Id="rId154" Type="http://schemas.openxmlformats.org/officeDocument/2006/relationships/hyperlink" Target="http://www.sec.gov/Archives/edgar/data/1666134/000119312516727634/d215001dex1023.htm" TargetMode="External"/><Relationship Id="rId155" Type="http://schemas.openxmlformats.org/officeDocument/2006/relationships/hyperlink" Target="http://www.sec.gov/Archives/edgar/data/1666134/000119312516727634/d215001dex1024.htm" TargetMode="External"/><Relationship Id="rId156" Type="http://schemas.openxmlformats.org/officeDocument/2006/relationships/hyperlink" Target="http://www.sec.gov/Archives/edgar/data/1666134/000119312516727634/d215001dex1025.htm" TargetMode="External"/><Relationship Id="rId157" Type="http://schemas.openxmlformats.org/officeDocument/2006/relationships/hyperlink" Target="http://www.sec.gov/Archives/edgar/data/1666134/000119312516727634/d215001dex1026.htm" TargetMode="External"/><Relationship Id="rId158" Type="http://schemas.openxmlformats.org/officeDocument/2006/relationships/hyperlink" Target="http://www.sec.gov/Archives/edgar/data/1666134/000119312516727634/d215001dex1027.htm" TargetMode="External"/><Relationship Id="rId161" Type="http://schemas.openxmlformats.org/officeDocument/2006/relationships/hyperlink" Target="http://www.sec.gov/Archives/edgar/data/1666134/000119312516727634/d215001dex1028.htm" TargetMode="External"/><Relationship Id="rId162" Type="http://schemas.openxmlformats.org/officeDocument/2006/relationships/hyperlink" Target="http://www.sec.gov/Archives/edgar/data/1666134/000119312516727634/d215001dex1029.htm" TargetMode="External"/><Relationship Id="rId163" Type="http://schemas.openxmlformats.org/officeDocument/2006/relationships/hyperlink" Target="http://www.sec.gov/Archives/edgar/data/1666134/000119312517177161/d369909dex1026.htm" TargetMode="External"/><Relationship Id="rId164" Type="http://schemas.openxmlformats.org/officeDocument/2006/relationships/hyperlink" Target="http://www.sec.gov/Archives/edgar/data/1666134/000119312517177161/d369909dex1027.htm" TargetMode="External"/><Relationship Id="rId165" Type="http://schemas.openxmlformats.org/officeDocument/2006/relationships/hyperlink" Target="http://www.sec.gov/Archives/edgar/data/1666134/000119312517177161/d369909dex1028.htm" TargetMode="External"/><Relationship Id="rId166" Type="http://schemas.openxmlformats.org/officeDocument/2006/relationships/hyperlink" Target="http://www.sec.gov/Archives/edgar/data/1666134/000119312519220076/d791910dex101.htm" TargetMode="External"/><Relationship Id="rId167" Type="http://schemas.openxmlformats.org/officeDocument/2006/relationships/hyperlink" Target="http://www.sec.gov/Archives/edgar/data/1666134/000119312519220076/d791910dex102.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2020-02-27T16:38:25Z</dcterms:created>
  <dcterms:modified xsi:type="dcterms:W3CDTF">2020-02-27T16:38:25Z</dcterms:modified>
</cp:coreProperties>
</file>