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6069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right="3140" w:firstLine="5"/>
        <w:spacing w:after="0" w:line="247" w:lineRule="exact"/>
        <w:tabs>
          <w:tab w:leader="none" w:pos="3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BLACKLINE,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6069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6069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73"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0" w:hanging="37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20" w:right="1280" w:hanging="437"/>
        <w:spacing w:after="0" w:line="308" w:lineRule="auto"/>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13" w:lineRule="exact"/>
        <w:rPr>
          <w:rFonts w:ascii="Arial" w:cs="Arial" w:eastAsia="Arial" w:hAnsi="Arial"/>
          <w:sz w:val="17"/>
          <w:szCs w:val="17"/>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0" w:hanging="375"/>
        <w:spacing w:after="0" w:line="26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wp:posOffset>
            </wp:positionH>
            <wp:positionV relativeFrom="paragraph">
              <wp:posOffset>-3088005</wp:posOffset>
            </wp:positionV>
            <wp:extent cx="558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-2770505</wp:posOffset>
            </wp:positionV>
            <wp:extent cx="5589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-2316480</wp:posOffset>
            </wp:positionV>
            <wp:extent cx="5589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-1998980</wp:posOffset>
            </wp:positionV>
            <wp:extent cx="5589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-1682115</wp:posOffset>
            </wp:positionV>
            <wp:extent cx="5589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-781685</wp:posOffset>
            </wp:positionV>
            <wp:extent cx="558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-464820</wp:posOffset>
            </wp:positionV>
            <wp:extent cx="5589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-147320</wp:posOffset>
            </wp:positionV>
            <wp:extent cx="5589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168910</wp:posOffset>
            </wp:positionV>
            <wp:extent cx="5589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6069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wp:posOffset>
            </wp:positionV>
            <wp:extent cx="60693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675005</wp:posOffset>
            </wp:positionV>
            <wp:extent cx="606933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380"/>
          </w:cols>
          <w:pgMar w:left="1160" w:top="238" w:right="13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92075</wp:posOffset>
            </wp:positionV>
            <wp:extent cx="2065655"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56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21300 Victory Boulevard, 12th Floor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Woodland Hills, California 91367</w:t>
      </w:r>
    </w:p>
    <w:p>
      <w:pPr>
        <w:jc w:val="center"/>
        <w:spacing w:after="0"/>
        <w:rPr>
          <w:sz w:val="20"/>
          <w:szCs w:val="20"/>
          <w:color w:val="auto"/>
        </w:rPr>
      </w:pPr>
      <w:r>
        <w:rPr>
          <w:rFonts w:ascii="Arial" w:cs="Arial" w:eastAsia="Arial" w:hAnsi="Arial"/>
          <w:sz w:val="18"/>
          <w:szCs w:val="18"/>
          <w:b w:val="1"/>
          <w:bCs w:val="1"/>
          <w:color w:val="auto"/>
        </w:rPr>
        <w:t>(818) 223-9008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are pleased to invite you to attend the annual meeting of stockholders of BlackLine, Inc. to be held on Wednesday, May 6, 2020 at 9:00 a.m., Pacific time. The annual meeting will be a virtual meeting held over the Internet. You will be able to attend the virtual annual meeting, vote your shares electronically, and submit your questions during the live webcast of the meeting by visiting www.virtualshareholdermeeting.com/BL2020 and entering your sixteen-digit control number located on your proxy card.</w:t>
      </w:r>
    </w:p>
    <w:p>
      <w:pPr>
        <w:spacing w:after="0" w:line="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telephone, or, if you received paper copies of the proxy materials by mail, you may also vote by mail by following the instructions on the proxy card or voting instruction card. Voting over the Internet or by telephone, written proxy or voting instruction card will ensure your representation at the annual meeting regardless of whether you attend the virtual annual meeting.</w:t>
      </w:r>
    </w:p>
    <w:p>
      <w:pPr>
        <w:spacing w:after="0" w:line="5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Also, please let us know if you plan to attend the virtual annual meeting by marking the appropriate box on the enclosed proxy card, if you requested to receive printed proxy materials, or, if you vote by telephone or over the Internet, by indicating your plans when prompted.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continued interest in, BlackLine,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132016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58293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194945</wp:posOffset>
            </wp:positionV>
            <wp:extent cx="132016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1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John Brennan</w:t>
            </w:r>
          </w:p>
        </w:tc>
        <w:tc>
          <w:tcPr>
            <w:tcW w:w="7280" w:type="dxa"/>
            <w:vAlign w:val="bottom"/>
          </w:tcPr>
          <w:p>
            <w:pPr>
              <w:ind w:left="3760"/>
              <w:spacing w:after="0"/>
              <w:rPr>
                <w:sz w:val="20"/>
                <w:szCs w:val="20"/>
                <w:color w:val="auto"/>
              </w:rPr>
            </w:pPr>
            <w:r>
              <w:rPr>
                <w:rFonts w:ascii="Arial" w:cs="Arial" w:eastAsia="Arial" w:hAnsi="Arial"/>
                <w:sz w:val="18"/>
                <w:szCs w:val="18"/>
                <w:color w:val="auto"/>
              </w:rPr>
              <w:t>Therese Tucker</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Chairman of the Board</w:t>
            </w:r>
          </w:p>
        </w:tc>
        <w:tc>
          <w:tcPr>
            <w:tcW w:w="7280" w:type="dxa"/>
            <w:vAlign w:val="bottom"/>
          </w:tcPr>
          <w:p>
            <w:pPr>
              <w:ind w:left="3760"/>
              <w:spacing w:after="0"/>
              <w:rPr>
                <w:sz w:val="20"/>
                <w:szCs w:val="20"/>
                <w:color w:val="auto"/>
              </w:rPr>
            </w:pPr>
            <w:r>
              <w:rPr>
                <w:rFonts w:ascii="Arial" w:cs="Arial" w:eastAsia="Arial" w:hAnsi="Arial"/>
                <w:sz w:val="18"/>
                <w:szCs w:val="18"/>
                <w:color w:val="auto"/>
              </w:rPr>
              <w:t>Chief Executive Officer and Director</w:t>
            </w:r>
          </w:p>
        </w:tc>
      </w:tr>
      <w:tr>
        <w:trPr>
          <w:trHeight w:val="486"/>
        </w:trPr>
        <w:tc>
          <w:tcPr>
            <w:tcW w:w="2280" w:type="dxa"/>
            <w:vAlign w:val="bottom"/>
          </w:tcPr>
          <w:p>
            <w:pPr>
              <w:spacing w:after="0"/>
              <w:rPr>
                <w:sz w:val="24"/>
                <w:szCs w:val="24"/>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Woodland Hills, California</w:t>
            </w:r>
          </w:p>
        </w:tc>
      </w:tr>
      <w:tr>
        <w:trPr>
          <w:trHeight w:val="243"/>
        </w:trPr>
        <w:tc>
          <w:tcPr>
            <w:tcW w:w="2280" w:type="dxa"/>
            <w:vAlign w:val="bottom"/>
          </w:tcPr>
          <w:p>
            <w:pPr>
              <w:spacing w:after="0"/>
              <w:rPr>
                <w:sz w:val="21"/>
                <w:szCs w:val="21"/>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March 24, 2020</w:t>
            </w:r>
          </w:p>
        </w:tc>
      </w:tr>
      <w:tr>
        <w:trPr>
          <w:trHeight w:val="459"/>
        </w:trPr>
        <w:tc>
          <w:tcPr>
            <w:tcW w:w="228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68"/>
        </w:trPr>
        <w:tc>
          <w:tcPr>
            <w:tcW w:w="2280" w:type="dxa"/>
            <w:vAlign w:val="bottom"/>
            <w:shd w:val="clear" w:color="auto" w:fill="000000"/>
          </w:tcPr>
          <w:p>
            <w:pPr>
              <w:spacing w:after="0"/>
              <w:rPr>
                <w:sz w:val="5"/>
                <w:szCs w:val="5"/>
                <w:color w:val="auto"/>
              </w:rPr>
            </w:pPr>
          </w:p>
        </w:tc>
        <w:tc>
          <w:tcPr>
            <w:tcW w:w="72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BLACKLINE,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21300 Victory Boulevard, 12th Floor</w:t>
      </w:r>
    </w:p>
    <w:p>
      <w:pPr>
        <w:jc w:val="center"/>
        <w:ind w:right="-19"/>
        <w:spacing w:after="0"/>
        <w:rPr>
          <w:sz w:val="20"/>
          <w:szCs w:val="20"/>
          <w:color w:val="auto"/>
        </w:rPr>
      </w:pPr>
      <w:r>
        <w:rPr>
          <w:rFonts w:ascii="Arial" w:cs="Arial" w:eastAsia="Arial" w:hAnsi="Arial"/>
          <w:sz w:val="18"/>
          <w:szCs w:val="18"/>
          <w:b w:val="1"/>
          <w:bCs w:val="1"/>
          <w:color w:val="auto"/>
        </w:rPr>
        <w:t>Woodland Hills, California 91367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ectPr>
          <w:pgSz w:w="11900" w:h="16838" w:orient="portrait"/>
          <w:cols w:equalWidth="0" w:num="1">
            <w:col w:w="9560"/>
          </w:cols>
          <w:pgMar w:left="1160" w:top="279" w:right="117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9:00 a.m., Pacific time, on Wednesday, May 6, 2020</w:t>
      </w:r>
    </w:p>
    <w:p>
      <w:pPr>
        <w:spacing w:after="0" w:line="200"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annual meeting will be a virtual meeting held over the Internet. You will be able to attend the annual meeting, vote your shares electronically and submit your questions during the live webcast of the meeting by visiting www.virtualshareholdermeeting.com/BL2020 and entering your sixteen-digit control number located on your proxy card.</w:t>
      </w:r>
    </w:p>
    <w:p>
      <w:pPr>
        <w:spacing w:after="0" w:line="200"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(1) To elect as Class I directors the three nominees named in the accompanying proxy statement to serve until our 2023 annual meeting of stockholders and until their respective successors are duly elected and qualified.</w:t>
      </w:r>
    </w:p>
    <w:p>
      <w:pPr>
        <w:spacing w:after="0" w:line="200"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spacing w:after="0" w:line="19" w:lineRule="exact"/>
        <w:rPr>
          <w:sz w:val="20"/>
          <w:szCs w:val="20"/>
          <w:color w:val="auto"/>
        </w:rPr>
      </w:pPr>
    </w:p>
    <w:p>
      <w:pPr>
        <w:ind w:left="3200" w:right="440"/>
        <w:spacing w:after="0" w:line="342" w:lineRule="auto"/>
        <w:rPr>
          <w:sz w:val="20"/>
          <w:szCs w:val="20"/>
          <w:color w:val="auto"/>
        </w:rPr>
      </w:pPr>
      <w:r>
        <w:rPr>
          <w:rFonts w:ascii="Arial" w:cs="Arial" w:eastAsia="Arial" w:hAnsi="Arial"/>
          <w:sz w:val="16"/>
          <w:szCs w:val="16"/>
          <w:color w:val="auto"/>
        </w:rPr>
        <w:t>(2) To ratify the appointment of PricewaterhouseCoopers LLP as our independent registered public accounting firm for the fiscal year ending December 31, 2020.</w:t>
      </w:r>
    </w:p>
    <w:p>
      <w:pPr>
        <w:spacing w:after="0" w:line="178" w:lineRule="exact"/>
        <w:rPr>
          <w:sz w:val="20"/>
          <w:szCs w:val="20"/>
          <w:color w:val="auto"/>
        </w:rPr>
      </w:pPr>
    </w:p>
    <w:p>
      <w:pPr>
        <w:ind w:left="3200" w:right="520"/>
        <w:spacing w:after="0" w:line="277" w:lineRule="auto"/>
        <w:rPr>
          <w:sz w:val="20"/>
          <w:szCs w:val="20"/>
          <w:color w:val="auto"/>
        </w:rPr>
      </w:pPr>
      <w:r>
        <w:rPr>
          <w:rFonts w:ascii="Arial" w:cs="Arial" w:eastAsia="Arial" w:hAnsi="Arial"/>
          <w:sz w:val="18"/>
          <w:szCs w:val="18"/>
          <w:color w:val="auto"/>
        </w:rPr>
        <w:t>(3) To conduct an advisory non-binding vote to approve the compensation of our named executive officers.</w:t>
      </w:r>
    </w:p>
    <w:p>
      <w:pPr>
        <w:spacing w:after="0" w:line="224" w:lineRule="exact"/>
        <w:rPr>
          <w:sz w:val="20"/>
          <w:szCs w:val="20"/>
          <w:color w:val="auto"/>
        </w:rPr>
      </w:pPr>
    </w:p>
    <w:p>
      <w:pPr>
        <w:ind w:left="3200" w:right="40"/>
        <w:spacing w:after="0" w:line="277" w:lineRule="auto"/>
        <w:rPr>
          <w:sz w:val="20"/>
          <w:szCs w:val="20"/>
          <w:color w:val="auto"/>
        </w:rPr>
      </w:pPr>
      <w:r>
        <w:rPr>
          <w:rFonts w:ascii="Arial" w:cs="Arial" w:eastAsia="Arial" w:hAnsi="Arial"/>
          <w:sz w:val="18"/>
          <w:szCs w:val="18"/>
          <w:color w:val="auto"/>
        </w:rPr>
        <w:t>(4) To transact other business that may properly come before the annual meeting or any adjournments or postponements thereof.</w:t>
      </w:r>
    </w:p>
    <w:p>
      <w:pPr>
        <w:sectPr>
          <w:pgSz w:w="11900" w:h="16838" w:orient="portrait"/>
          <w:cols w:equalWidth="0" w:num="1">
            <w:col w:w="9560"/>
          </w:cols>
          <w:pgMar w:left="1160" w:top="279" w:right="11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Adjournments and Postponements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0" w:lineRule="exact"/>
        <w:rPr>
          <w:sz w:val="20"/>
          <w:szCs w:val="20"/>
          <w:color w:val="auto"/>
        </w:rPr>
      </w:pPr>
    </w:p>
    <w:p>
      <w:pPr>
        <w:sectPr>
          <w:pgSz w:w="11900" w:h="16838" w:orient="portrait"/>
          <w:cols w:equalWidth="0" w:num="2">
            <w:col w:w="2660" w:space="540"/>
            <w:col w:w="6360"/>
          </w:cols>
          <w:pgMar w:left="1160" w:top="279" w:right="11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March 9, 2020</w:t>
      </w:r>
    </w:p>
    <w:p>
      <w:pPr>
        <w:spacing w:after="0" w:line="200"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spacing w:after="0" w:line="102" w:lineRule="exact"/>
        <w:rPr>
          <w:sz w:val="20"/>
          <w:szCs w:val="20"/>
          <w:color w:val="auto"/>
        </w:rPr>
      </w:pPr>
    </w:p>
    <w:p>
      <w:pPr>
        <w:ind w:left="3200" w:right="140"/>
        <w:spacing w:after="0" w:line="277" w:lineRule="auto"/>
        <w:rPr>
          <w:sz w:val="20"/>
          <w:szCs w:val="20"/>
          <w:color w:val="auto"/>
        </w:rPr>
      </w:pPr>
      <w:r>
        <w:rPr>
          <w:rFonts w:ascii="Arial" w:cs="Arial" w:eastAsia="Arial" w:hAnsi="Arial"/>
          <w:sz w:val="18"/>
          <w:szCs w:val="18"/>
          <w:color w:val="auto"/>
        </w:rPr>
        <w:t>Only holders of record of our common stock as of March 9, 2020 are entitled to notice of and to vote at the annual meeting.</w:t>
      </w:r>
    </w:p>
    <w:p>
      <w:pPr>
        <w:sectPr>
          <w:pgSz w:w="11900" w:h="16838" w:orient="portrait"/>
          <w:cols w:equalWidth="0" w:num="1">
            <w:col w:w="9560"/>
          </w:cols>
          <w:pgMar w:left="1160" w:top="279" w:right="11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Admission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are invited to attend the virtual annual meeting if you are a stockholder of record or a beneficial owner of shares of our common stock as of the Record Date. You can attend the virtual annual meeting by visiting www.virtualshareholdermeeting.com/BL2020 and entering your sixteen-digit control number located on your proxy card.</w:t>
      </w:r>
    </w:p>
    <w:p>
      <w:pPr>
        <w:spacing w:after="0" w:line="200"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Proxy Materials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The Notice Regarding the Internet Availability of Proxy Materials, which contains instructions on how to access the proxy materials and our 2019 annual report, is first being sent or given on or about March 24, 2020 to all stockholders entitled to vote at the annual meeting. The proxy materials and our 2019 annual report can be accessed by</w:t>
      </w:r>
    </w:p>
    <w:p>
      <w:pPr>
        <w:spacing w:after="0" w:line="1" w:lineRule="exact"/>
        <w:rPr>
          <w:sz w:val="20"/>
          <w:szCs w:val="20"/>
          <w:color w:val="auto"/>
        </w:rPr>
      </w:pPr>
    </w:p>
    <w:p>
      <w:pPr>
        <w:sectPr>
          <w:pgSz w:w="11900" w:h="16838" w:orient="portrait"/>
          <w:cols w:equalWidth="0" w:num="2">
            <w:col w:w="2480" w:space="720"/>
            <w:col w:w="6360"/>
          </w:cols>
          <w:pgMar w:left="1160" w:top="279" w:right="1179" w:bottom="1440" w:gutter="0" w:footer="0" w:header="0"/>
          <w:type w:val="continuous"/>
        </w:sectPr>
      </w:pPr>
    </w:p>
    <w:p>
      <w:pPr>
        <w:ind w:left="3200" w:right="320"/>
        <w:spacing w:after="0" w:line="260" w:lineRule="auto"/>
        <w:rPr>
          <w:sz w:val="20"/>
          <w:szCs w:val="20"/>
          <w:color w:val="auto"/>
        </w:rPr>
      </w:pPr>
      <w:r>
        <w:rPr>
          <w:rFonts w:ascii="Arial" w:cs="Arial" w:eastAsia="Arial" w:hAnsi="Arial"/>
          <w:sz w:val="18"/>
          <w:szCs w:val="18"/>
          <w:color w:val="auto"/>
        </w:rPr>
        <w:t>following the instructions in the Notice Regarding the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606933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344"/>
        </w:trPr>
        <w:tc>
          <w:tcPr>
            <w:tcW w:w="15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Voting</w:t>
            </w:r>
          </w:p>
        </w:tc>
        <w:tc>
          <w:tcPr>
            <w:tcW w:w="1320" w:type="dxa"/>
            <w:vAlign w:val="bottom"/>
          </w:tcPr>
          <w:p>
            <w:pPr>
              <w:spacing w:after="0"/>
              <w:rPr>
                <w:sz w:val="24"/>
                <w:szCs w:val="24"/>
                <w:color w:val="auto"/>
              </w:rPr>
            </w:pPr>
          </w:p>
        </w:tc>
        <w:tc>
          <w:tcPr>
            <w:tcW w:w="6540" w:type="dxa"/>
            <w:vAlign w:val="bottom"/>
            <w:gridSpan w:val="3"/>
          </w:tcPr>
          <w:p>
            <w:pPr>
              <w:ind w:left="340"/>
              <w:spacing w:after="0"/>
              <w:rPr>
                <w:sz w:val="20"/>
                <w:szCs w:val="20"/>
                <w:color w:val="auto"/>
              </w:rPr>
            </w:pPr>
            <w:r>
              <w:rPr>
                <w:rFonts w:ascii="Arial" w:cs="Arial" w:eastAsia="Arial" w:hAnsi="Arial"/>
                <w:sz w:val="18"/>
                <w:szCs w:val="18"/>
                <w:color w:val="auto"/>
                <w:w w:val="91"/>
              </w:rPr>
              <w:t>Your vote is very important. You may vote by proxy over the Internet or by telephone,</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40" w:type="dxa"/>
            <w:vAlign w:val="bottom"/>
            <w:gridSpan w:val="3"/>
          </w:tcPr>
          <w:p>
            <w:pPr>
              <w:ind w:left="340"/>
              <w:spacing w:after="0"/>
              <w:rPr>
                <w:sz w:val="20"/>
                <w:szCs w:val="20"/>
                <w:color w:val="auto"/>
              </w:rPr>
            </w:pPr>
            <w:r>
              <w:rPr>
                <w:rFonts w:ascii="Arial" w:cs="Arial" w:eastAsia="Arial" w:hAnsi="Arial"/>
                <w:sz w:val="18"/>
                <w:szCs w:val="18"/>
                <w:color w:val="auto"/>
                <w:w w:val="92"/>
              </w:rPr>
              <w:t>or, if you received paper copies of the proxy materials by mail, you may also vote by</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40" w:type="dxa"/>
            <w:vAlign w:val="bottom"/>
            <w:gridSpan w:val="3"/>
          </w:tcPr>
          <w:p>
            <w:pPr>
              <w:ind w:left="340"/>
              <w:spacing w:after="0"/>
              <w:rPr>
                <w:sz w:val="20"/>
                <w:szCs w:val="20"/>
                <w:color w:val="auto"/>
              </w:rPr>
            </w:pPr>
            <w:r>
              <w:rPr>
                <w:rFonts w:ascii="Arial" w:cs="Arial" w:eastAsia="Arial" w:hAnsi="Arial"/>
                <w:sz w:val="18"/>
                <w:szCs w:val="18"/>
                <w:color w:val="auto"/>
                <w:w w:val="96"/>
              </w:rPr>
              <w:t>mail by following the instructions on the proxy card or voting instruction card. For</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40" w:type="dxa"/>
            <w:vAlign w:val="bottom"/>
            <w:gridSpan w:val="3"/>
          </w:tcPr>
          <w:p>
            <w:pPr>
              <w:ind w:left="340"/>
              <w:spacing w:after="0"/>
              <w:rPr>
                <w:sz w:val="20"/>
                <w:szCs w:val="20"/>
                <w:color w:val="auto"/>
              </w:rPr>
            </w:pPr>
            <w:r>
              <w:rPr>
                <w:rFonts w:ascii="Arial" w:cs="Arial" w:eastAsia="Arial" w:hAnsi="Arial"/>
                <w:sz w:val="18"/>
                <w:szCs w:val="18"/>
                <w:color w:val="auto"/>
                <w:w w:val="94"/>
              </w:rPr>
              <w:t>specific instructions on how to vote your shares, please refer to the section entitled</w:t>
            </w:r>
          </w:p>
        </w:tc>
      </w:tr>
      <w:tr>
        <w:trPr>
          <w:trHeight w:val="190"/>
        </w:trPr>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540" w:type="dxa"/>
            <w:vAlign w:val="bottom"/>
            <w:gridSpan w:val="3"/>
          </w:tcPr>
          <w:p>
            <w:pPr>
              <w:ind w:left="340"/>
              <w:spacing w:after="0" w:line="190" w:lineRule="exact"/>
              <w:rPr>
                <w:rFonts w:ascii="Arial" w:cs="Arial" w:eastAsia="Arial" w:hAnsi="Arial"/>
                <w:sz w:val="18"/>
                <w:szCs w:val="18"/>
                <w:color w:val="auto"/>
                <w:w w:val="90"/>
              </w:rPr>
            </w:pPr>
            <w:r>
              <w:rPr>
                <w:rFonts w:ascii="Arial" w:cs="Arial" w:eastAsia="Arial" w:hAnsi="Arial"/>
                <w:sz w:val="18"/>
                <w:szCs w:val="18"/>
                <w:color w:val="auto"/>
                <w:w w:val="90"/>
              </w:rPr>
              <w:t>“</w:t>
            </w:r>
            <w:r>
              <w:rPr>
                <w:rFonts w:ascii="Arial" w:cs="Arial" w:eastAsia="Arial" w:hAnsi="Arial"/>
                <w:sz w:val="18"/>
                <w:szCs w:val="18"/>
                <w:i w:val="1"/>
                <w:iCs w:val="1"/>
                <w:color w:val="auto"/>
                <w:w w:val="90"/>
              </w:rPr>
              <w:t>Questions and Answers</w:t>
            </w:r>
            <w:r>
              <w:rPr>
                <w:rFonts w:ascii="Arial" w:cs="Arial" w:eastAsia="Arial" w:hAnsi="Arial"/>
                <w:sz w:val="18"/>
                <w:szCs w:val="18"/>
                <w:color w:val="auto"/>
                <w:w w:val="90"/>
              </w:rPr>
              <w:t xml:space="preserve">” beginning on page </w:t>
            </w:r>
            <w:hyperlink w:anchor="page7">
              <w:r>
                <w:rPr>
                  <w:rFonts w:ascii="Arial" w:cs="Arial" w:eastAsia="Arial" w:hAnsi="Arial"/>
                  <w:sz w:val="18"/>
                  <w:szCs w:val="18"/>
                  <w:color w:val="0000EE"/>
                  <w:w w:val="90"/>
                </w:rPr>
                <w:t>1</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of the accompanying proxy statement.</w:t>
            </w:r>
          </w:p>
        </w:tc>
      </w:tr>
      <w:tr>
        <w:trPr>
          <w:trHeight w:val="358"/>
        </w:trPr>
        <w:tc>
          <w:tcPr>
            <w:tcW w:w="2860" w:type="dxa"/>
            <w:vAlign w:val="bottom"/>
            <w:gridSpan w:val="2"/>
          </w:tcPr>
          <w:p>
            <w:pPr>
              <w:spacing w:after="0"/>
              <w:rPr>
                <w:sz w:val="20"/>
                <w:szCs w:val="20"/>
                <w:color w:val="auto"/>
              </w:rPr>
            </w:pPr>
            <w:r>
              <w:rPr>
                <w:rFonts w:ascii="Arial" w:cs="Arial" w:eastAsia="Arial" w:hAnsi="Arial"/>
                <w:sz w:val="18"/>
                <w:szCs w:val="18"/>
                <w:color w:val="auto"/>
              </w:rPr>
              <w:t>By order of the Board of Directors,</w:t>
            </w:r>
          </w:p>
        </w:tc>
        <w:tc>
          <w:tcPr>
            <w:tcW w:w="3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206565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Karole Morgan-Prager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and Administrative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606933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00"/>
          </w:cols>
          <w:pgMar w:left="1160" w:top="276" w:right="1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r>
      <w:tr>
        <w:trPr>
          <w:trHeight w:val="189"/>
        </w:trPr>
        <w:tc>
          <w:tcPr>
            <w:tcW w:w="8900" w:type="dxa"/>
            <w:vAlign w:val="bottom"/>
            <w:gridSpan w:val="43"/>
            <w:shd w:val="clear" w:color="auto" w:fill="CCEEFF"/>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PROXY MATERIALS AND ANNUAL MEETING</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200" w:type="dxa"/>
            <w:vAlign w:val="bottom"/>
            <w:gridSpan w:val="40"/>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BOARD OF DIRECTORS AND CORPORATE GOVERNANCE</w:t>
              </w:r>
            </w:hyperlink>
          </w:p>
        </w:tc>
        <w:tc>
          <w:tcPr>
            <w:tcW w:w="1700" w:type="dxa"/>
            <w:vAlign w:val="bottom"/>
            <w:gridSpan w:val="3"/>
          </w:tcPr>
          <w:p>
            <w:pPr>
              <w:spacing w:after="0"/>
              <w:rPr>
                <w:sz w:val="16"/>
                <w:szCs w:val="16"/>
                <w:color w:val="auto"/>
              </w:rPr>
            </w:pPr>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r>
      <w:tr>
        <w:trPr>
          <w:trHeight w:val="34"/>
        </w:trPr>
        <w:tc>
          <w:tcPr>
            <w:tcW w:w="1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880" w:type="dxa"/>
            <w:vAlign w:val="bottom"/>
            <w:gridSpan w:val="10"/>
            <w:shd w:val="clear" w:color="auto" w:fill="CCEEFF"/>
          </w:tcPr>
          <w:p>
            <w:pPr>
              <w:spacing w:after="0" w:line="189"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Composition of the Board</w:t>
              </w:r>
            </w:hyperlink>
          </w:p>
        </w:tc>
        <w:tc>
          <w:tcPr>
            <w:tcW w:w="6840" w:type="dxa"/>
            <w:vAlign w:val="bottom"/>
            <w:gridSpan w:val="32"/>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880" w:type="dxa"/>
            <w:vAlign w:val="bottom"/>
            <w:gridSpan w:val="10"/>
          </w:tcPr>
          <w:p>
            <w:pPr>
              <w:spacing w:after="0" w:line="189"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Stockholders’ Agreement</w:t>
              </w:r>
            </w:hyperlink>
          </w:p>
        </w:tc>
        <w:tc>
          <w:tcPr>
            <w:tcW w:w="6840" w:type="dxa"/>
            <w:vAlign w:val="bottom"/>
            <w:gridSpan w:val="32"/>
          </w:tcPr>
          <w:p>
            <w:pPr>
              <w:spacing w:after="0"/>
              <w:rPr>
                <w:sz w:val="16"/>
                <w:szCs w:val="16"/>
                <w:color w:val="auto"/>
              </w:rPr>
            </w:pPr>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spacing w:after="0" w:line="189"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Nominees for Director</w:t>
              </w:r>
            </w:hyperlink>
          </w:p>
        </w:tc>
        <w:tc>
          <w:tcPr>
            <w:tcW w:w="7080" w:type="dxa"/>
            <w:vAlign w:val="bottom"/>
            <w:gridSpan w:val="38"/>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640" w:type="dxa"/>
            <w:vAlign w:val="bottom"/>
            <w:gridSpan w:val="4"/>
          </w:tcPr>
          <w:p>
            <w:pPr>
              <w:spacing w:after="0" w:line="189"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Continuing Directors</w:t>
              </w:r>
            </w:hyperlink>
          </w:p>
        </w:tc>
        <w:tc>
          <w:tcPr>
            <w:tcW w:w="7080" w:type="dxa"/>
            <w:vAlign w:val="bottom"/>
            <w:gridSpan w:val="38"/>
          </w:tcPr>
          <w:p>
            <w:pPr>
              <w:spacing w:after="0"/>
              <w:rPr>
                <w:sz w:val="16"/>
                <w:szCs w:val="16"/>
                <w:color w:val="auto"/>
              </w:rPr>
            </w:pPr>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Director Independence</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40" w:type="dxa"/>
            <w:vAlign w:val="bottom"/>
            <w:gridSpan w:val="25"/>
            <w:shd w:val="clear" w:color="auto" w:fill="CCEEFF"/>
          </w:tcPr>
          <w:p>
            <w:pPr>
              <w:spacing w:after="0" w:line="189"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Role of Board in Risk Oversight Process</w:t>
              </w:r>
            </w:hyperlink>
          </w:p>
        </w:tc>
        <w:tc>
          <w:tcPr>
            <w:tcW w:w="5780" w:type="dxa"/>
            <w:vAlign w:val="bottom"/>
            <w:gridSpan w:val="17"/>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40" w:type="dxa"/>
            <w:vAlign w:val="bottom"/>
            <w:gridSpan w:val="25"/>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Board Meetings and Committees</w:t>
              </w:r>
            </w:hyperlink>
          </w:p>
        </w:tc>
        <w:tc>
          <w:tcPr>
            <w:tcW w:w="5780" w:type="dxa"/>
            <w:vAlign w:val="bottom"/>
            <w:gridSpan w:val="17"/>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13</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Committee Interlocks and Insider Participation</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460" w:type="dxa"/>
            <w:vAlign w:val="bottom"/>
            <w:gridSpan w:val="33"/>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Considerations in Evaluating Director Nominees</w:t>
              </w:r>
            </w:hyperlink>
          </w:p>
        </w:tc>
        <w:tc>
          <w:tcPr>
            <w:tcW w:w="4260" w:type="dxa"/>
            <w:vAlign w:val="bottom"/>
            <w:gridSpan w:val="9"/>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Stockholder Recommcorpendations for Nominations to Our Board</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800" w:type="dxa"/>
            <w:vAlign w:val="bottom"/>
            <w:gridSpan w:val="38"/>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Communications with the Board of Directors</w:t>
              </w:r>
            </w:hyperlink>
          </w:p>
        </w:tc>
        <w:tc>
          <w:tcPr>
            <w:tcW w:w="392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20" w:type="dxa"/>
            <w:vAlign w:val="bottom"/>
            <w:gridSpan w:val="20"/>
            <w:shd w:val="clear" w:color="auto" w:fill="CCEEFF"/>
          </w:tcPr>
          <w:p>
            <w:pPr>
              <w:spacing w:after="0" w:line="189"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Code of Business Conduct and Ethics</w:t>
              </w:r>
            </w:hyperlink>
          </w:p>
        </w:tc>
        <w:tc>
          <w:tcPr>
            <w:tcW w:w="6000" w:type="dxa"/>
            <w:vAlign w:val="bottom"/>
            <w:gridSpan w:val="2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20" w:type="dxa"/>
            <w:vAlign w:val="bottom"/>
            <w:gridSpan w:val="20"/>
          </w:tcPr>
          <w:p>
            <w:pPr>
              <w:spacing w:after="0" w:line="189"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Director Stock Ownership Guidelines</w:t>
              </w:r>
            </w:hyperlink>
          </w:p>
        </w:tc>
        <w:tc>
          <w:tcPr>
            <w:tcW w:w="6000" w:type="dxa"/>
            <w:vAlign w:val="bottom"/>
            <w:gridSpan w:val="22"/>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Corporate Responsibility</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43"/>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OF NON-EMPLOYEE DIRECTORS</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r>
      <w:tr>
        <w:trPr>
          <w:trHeight w:val="34"/>
        </w:trPr>
        <w:tc>
          <w:tcPr>
            <w:tcW w:w="1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800" w:type="dxa"/>
            <w:vAlign w:val="bottom"/>
            <w:gridSpan w:val="22"/>
            <w:shd w:val="clear" w:color="auto" w:fill="CCEEFF"/>
          </w:tcPr>
          <w:p>
            <w:pPr>
              <w:spacing w:after="0" w:line="189"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Outside Director Compensation Policy</w:t>
              </w:r>
            </w:hyperlink>
          </w:p>
        </w:tc>
        <w:tc>
          <w:tcPr>
            <w:tcW w:w="5920" w:type="dxa"/>
            <w:vAlign w:val="bottom"/>
            <w:gridSpan w:val="20"/>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00" w:type="dxa"/>
            <w:vAlign w:val="bottom"/>
            <w:gridSpan w:val="22"/>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 Table</w:t>
              </w:r>
            </w:hyperlink>
          </w:p>
        </w:tc>
        <w:tc>
          <w:tcPr>
            <w:tcW w:w="5920" w:type="dxa"/>
            <w:vAlign w:val="bottom"/>
            <w:gridSpan w:val="20"/>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43"/>
            <w:shd w:val="clear" w:color="auto" w:fill="CCEEFF"/>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PROPOSAL NUMBER 1 ELECTION OF CLASS I DIRECTORS</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640" w:type="dxa"/>
            <w:vAlign w:val="bottom"/>
            <w:gridSpan w:val="36"/>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Nominees for Director</w:t>
              </w:r>
            </w:hyperlink>
          </w:p>
        </w:tc>
        <w:tc>
          <w:tcPr>
            <w:tcW w:w="4080" w:type="dxa"/>
            <w:vAlign w:val="bottom"/>
            <w:gridSpan w:val="6"/>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line="189"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Required Vote</w:t>
              </w:r>
            </w:hyperlink>
          </w:p>
        </w:tc>
        <w:tc>
          <w:tcPr>
            <w:tcW w:w="7680" w:type="dxa"/>
            <w:vAlign w:val="bottom"/>
            <w:gridSpan w:val="41"/>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Board Recommendation</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43"/>
            <w:shd w:val="clear" w:color="auto" w:fill="CCEEFF"/>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PROPOSAL NUMBER 2 RATIFICATION OF APPOINTMENT OF INDEPENDENT REGISTERED PUBLIC</w:t>
              </w:r>
            </w:hyperlink>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6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ACCOUNTING FIRM</w:t>
              </w:r>
            </w:hyperlink>
          </w:p>
        </w:tc>
        <w:tc>
          <w:tcPr>
            <w:tcW w:w="6260" w:type="dxa"/>
            <w:vAlign w:val="bottom"/>
            <w:tcBorders>
              <w:top w:val="single" w:sz="8" w:color="0000EE"/>
            </w:tcBorders>
            <w:gridSpan w:val="35"/>
            <w:shd w:val="clear" w:color="auto" w:fill="CCEEFF"/>
          </w:tcPr>
          <w:p>
            <w:pPr>
              <w:spacing w:after="0"/>
              <w:rPr>
                <w:sz w:val="17"/>
                <w:szCs w:val="17"/>
                <w:color w:val="auto"/>
              </w:rPr>
            </w:pPr>
          </w:p>
        </w:tc>
        <w:tc>
          <w:tcPr>
            <w:tcW w:w="78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jc w:val="right"/>
              <w:ind w:right="100"/>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Fees Paid to the Independent Registered Public Accounting Firm</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Auditor Independence</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Audit and Non-Audit Services Pre-Approval Policy</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line="189"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Required Vote</w:t>
              </w:r>
            </w:hyperlink>
          </w:p>
        </w:tc>
        <w:tc>
          <w:tcPr>
            <w:tcW w:w="7680" w:type="dxa"/>
            <w:vAlign w:val="bottom"/>
            <w:gridSpan w:val="41"/>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Board Recommendation</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800" w:type="dxa"/>
            <w:vAlign w:val="bottom"/>
            <w:gridSpan w:val="8"/>
            <w:shd w:val="clear" w:color="auto" w:fill="CCEEFF"/>
          </w:tcPr>
          <w:p>
            <w:pPr>
              <w:spacing w:after="0" w:line="189"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Audit Committee Report</w:t>
              </w:r>
            </w:hyperlink>
          </w:p>
        </w:tc>
        <w:tc>
          <w:tcPr>
            <w:tcW w:w="6920" w:type="dxa"/>
            <w:vAlign w:val="bottom"/>
            <w:gridSpan w:val="34"/>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580" w:type="dxa"/>
            <w:vAlign w:val="bottom"/>
            <w:tcBorders>
              <w:bottom w:val="single" w:sz="8" w:color="0000EE"/>
            </w:tcBorders>
            <w:gridSpan w:val="42"/>
          </w:tcPr>
          <w:p>
            <w:pPr>
              <w:spacing w:after="0" w:line="189"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PROPOSAL NUMBER 3 ADVISORY NON-BINDING VOTE TO APPROVE THE COMPENSATION OF NAMED</w:t>
              </w:r>
            </w:hyperlink>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8720" w:type="dxa"/>
            <w:vAlign w:val="bottom"/>
            <w:gridSpan w:val="4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w:t>
              </w:r>
            </w:hyperlink>
          </w:p>
        </w:tc>
        <w:tc>
          <w:tcPr>
            <w:tcW w:w="660" w:type="dxa"/>
            <w:vAlign w:val="bottom"/>
            <w:gridSpan w:val="4"/>
          </w:tcPr>
          <w:p>
            <w:pPr>
              <w:jc w:val="right"/>
              <w:ind w:right="10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24</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520" w:type="dxa"/>
            <w:vAlign w:val="bottom"/>
            <w:gridSpan w:val="34"/>
            <w:shd w:val="clear" w:color="auto" w:fill="CCEEFF"/>
          </w:tcPr>
          <w:p>
            <w:pPr>
              <w:spacing w:after="0" w:line="189"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Advisory Vote on Compensation of Named Executive Officers</w:t>
              </w:r>
            </w:hyperlink>
          </w:p>
        </w:tc>
        <w:tc>
          <w:tcPr>
            <w:tcW w:w="4200" w:type="dxa"/>
            <w:vAlign w:val="bottom"/>
            <w:gridSpan w:val="8"/>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520" w:type="dxa"/>
            <w:vAlign w:val="bottom"/>
            <w:gridSpan w:val="34"/>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Required Vote</w:t>
              </w:r>
            </w:hyperlink>
          </w:p>
        </w:tc>
        <w:tc>
          <w:tcPr>
            <w:tcW w:w="4200" w:type="dxa"/>
            <w:vAlign w:val="bottom"/>
            <w:gridSpan w:val="8"/>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760" w:type="dxa"/>
            <w:vAlign w:val="bottom"/>
            <w:gridSpan w:val="7"/>
            <w:shd w:val="clear" w:color="auto" w:fill="CCEEFF"/>
          </w:tcPr>
          <w:p>
            <w:pPr>
              <w:spacing w:after="0" w:line="189"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Board Recommendation</w:t>
              </w:r>
            </w:hyperlink>
          </w:p>
        </w:tc>
        <w:tc>
          <w:tcPr>
            <w:tcW w:w="6960" w:type="dxa"/>
            <w:vAlign w:val="bottom"/>
            <w:gridSpan w:val="35"/>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43"/>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EXECUTIVE OFFICERS</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r>
      <w:tr>
        <w:trPr>
          <w:trHeight w:val="34"/>
        </w:trPr>
        <w:tc>
          <w:tcPr>
            <w:tcW w:w="1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43"/>
            <w:shd w:val="clear" w:color="auto" w:fill="CCEEFF"/>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26</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26</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Governance of Executive Compensation Program</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580" w:type="dxa"/>
            <w:vAlign w:val="bottom"/>
            <w:gridSpan w:val="30"/>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Individual Compensation Elements</w:t>
              </w:r>
            </w:hyperlink>
          </w:p>
        </w:tc>
        <w:tc>
          <w:tcPr>
            <w:tcW w:w="5140" w:type="dxa"/>
            <w:vAlign w:val="bottom"/>
            <w:gridSpan w:val="12"/>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120" w:type="dxa"/>
            <w:vAlign w:val="bottom"/>
            <w:gridSpan w:val="27"/>
            <w:shd w:val="clear" w:color="auto" w:fill="CCEEFF"/>
          </w:tcPr>
          <w:p>
            <w:pPr>
              <w:spacing w:after="0" w:line="189"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Other Compensation Policies and Practices</w:t>
              </w:r>
            </w:hyperlink>
          </w:p>
        </w:tc>
        <w:tc>
          <w:tcPr>
            <w:tcW w:w="5600" w:type="dxa"/>
            <w:vAlign w:val="bottom"/>
            <w:gridSpan w:val="15"/>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20" w:type="dxa"/>
            <w:vAlign w:val="bottom"/>
            <w:gridSpan w:val="27"/>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Tax and Accounting Considerations</w:t>
              </w:r>
            </w:hyperlink>
          </w:p>
        </w:tc>
        <w:tc>
          <w:tcPr>
            <w:tcW w:w="5600" w:type="dxa"/>
            <w:vAlign w:val="bottom"/>
            <w:gridSpan w:val="15"/>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38</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Executive Employment Arrangements</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38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60" w:type="dxa"/>
            <w:vAlign w:val="bottom"/>
            <w:gridSpan w:val="21"/>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5960" w:type="dxa"/>
            <w:vAlign w:val="bottom"/>
            <w:gridSpan w:val="21"/>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39</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40" w:type="dxa"/>
            <w:vAlign w:val="bottom"/>
            <w:gridSpan w:val="14"/>
            <w:shd w:val="clear" w:color="auto" w:fill="CCEEFF"/>
          </w:tcPr>
          <w:p>
            <w:pPr>
              <w:spacing w:after="0" w:line="189"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Summary Compensation Table</w:t>
              </w:r>
            </w:hyperlink>
          </w:p>
        </w:tc>
        <w:tc>
          <w:tcPr>
            <w:tcW w:w="6480" w:type="dxa"/>
            <w:vAlign w:val="bottom"/>
            <w:gridSpan w:val="28"/>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42"/>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Grants of Plan-Based Awards During 2019</w:t>
              </w:r>
            </w:hyperlink>
          </w:p>
        </w:tc>
        <w:tc>
          <w:tcPr>
            <w:tcW w:w="660" w:type="dxa"/>
            <w:vAlign w:val="bottom"/>
            <w:gridSpan w:val="4"/>
          </w:tcPr>
          <w:p>
            <w:pPr>
              <w:jc w:val="right"/>
              <w:ind w:right="100"/>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r>
      <w:tr>
        <w:trPr>
          <w:trHeight w:val="34"/>
        </w:trPr>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42"/>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Outstanding Equity Awards at Year-End</w:t>
              </w:r>
            </w:hyperlink>
          </w:p>
        </w:tc>
        <w:tc>
          <w:tcPr>
            <w:tcW w:w="6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900" w:type="dxa"/>
            <w:vAlign w:val="bottom"/>
            <w:gridSpan w:val="20"/>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183"/>
        </w:trPr>
        <w:tc>
          <w:tcPr>
            <w:tcW w:w="180" w:type="dxa"/>
            <w:vAlign w:val="bottom"/>
          </w:tcPr>
          <w:p>
            <w:pPr>
              <w:spacing w:after="0"/>
              <w:rPr>
                <w:sz w:val="15"/>
                <w:szCs w:val="15"/>
                <w:color w:val="auto"/>
              </w:rPr>
            </w:pPr>
          </w:p>
        </w:tc>
        <w:tc>
          <w:tcPr>
            <w:tcW w:w="8720" w:type="dxa"/>
            <w:vAlign w:val="bottom"/>
            <w:gridSpan w:val="19"/>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2016 CEO Performance-Based Equity Award</w:t>
              </w:r>
            </w:hyperlink>
          </w:p>
        </w:tc>
        <w:tc>
          <w:tcPr>
            <w:tcW w:w="560" w:type="dxa"/>
            <w:vAlign w:val="bottom"/>
            <w:tcBorders>
              <w:top w:val="single" w:sz="8" w:color="auto"/>
            </w:tcBorders>
            <w:gridSpan w:val="2"/>
          </w:tcPr>
          <w:p>
            <w:pPr>
              <w:ind w:left="380"/>
              <w:spacing w:after="0" w:line="18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0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720" w:type="dxa"/>
            <w:vAlign w:val="bottom"/>
            <w:gridSpan w:val="19"/>
            <w:shd w:val="clear" w:color="auto" w:fill="CCEEFF"/>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Stock Option Exercises and Stock Awards Vested During 2019</w:t>
              </w:r>
            </w:hyperlink>
          </w:p>
        </w:tc>
        <w:tc>
          <w:tcPr>
            <w:tcW w:w="660" w:type="dxa"/>
            <w:vAlign w:val="bottom"/>
            <w:gridSpan w:val="3"/>
            <w:shd w:val="clear" w:color="auto" w:fill="CCEEFF"/>
          </w:tcPr>
          <w:p>
            <w:pPr>
              <w:ind w:left="380"/>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520" w:type="dxa"/>
            <w:vAlign w:val="bottom"/>
            <w:gridSpan w:val="16"/>
          </w:tcPr>
          <w:p>
            <w:pPr>
              <w:spacing w:after="0" w:line="189"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Potential Payments Upon Termination or Change of Control</w:t>
              </w:r>
            </w:hyperlink>
          </w:p>
        </w:tc>
        <w:tc>
          <w:tcPr>
            <w:tcW w:w="420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840" w:type="dxa"/>
            <w:vAlign w:val="bottom"/>
            <w:gridSpan w:val="11"/>
            <w:shd w:val="clear" w:color="auto" w:fill="CCEEFF"/>
          </w:tcPr>
          <w:p>
            <w:pPr>
              <w:spacing w:after="0" w:line="189"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Equity Compensation Plan Information</w:t>
              </w:r>
            </w:hyperlink>
          </w:p>
        </w:tc>
        <w:tc>
          <w:tcPr>
            <w:tcW w:w="5880" w:type="dxa"/>
            <w:vAlign w:val="bottom"/>
            <w:gridSpan w:val="8"/>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40" w:type="dxa"/>
            <w:vAlign w:val="bottom"/>
            <w:gridSpan w:val="11"/>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CEO Pay Ratio</w:t>
              </w:r>
            </w:hyperlink>
          </w:p>
        </w:tc>
        <w:tc>
          <w:tcPr>
            <w:tcW w:w="5880" w:type="dxa"/>
            <w:vAlign w:val="bottom"/>
            <w:gridSpan w:val="8"/>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960" w:type="dxa"/>
            <w:vAlign w:val="bottom"/>
            <w:gridSpan w:val="11"/>
            <w:shd w:val="clear" w:color="auto" w:fill="CCEEFF"/>
          </w:tcPr>
          <w:p>
            <w:pPr>
              <w:spacing w:after="0" w:line="189"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RELATED PERSON TRANSACTIONS</w:t>
              </w:r>
            </w:hyperlink>
          </w:p>
        </w:tc>
        <w:tc>
          <w:tcPr>
            <w:tcW w:w="5940" w:type="dxa"/>
            <w:vAlign w:val="bottom"/>
            <w:gridSpan w:val="9"/>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49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80" w:type="dxa"/>
            <w:vAlign w:val="bottom"/>
            <w:gridSpan w:val="10"/>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Related Person Transactions</w:t>
              </w:r>
            </w:hyperlink>
          </w:p>
        </w:tc>
        <w:tc>
          <w:tcPr>
            <w:tcW w:w="5940" w:type="dxa"/>
            <w:vAlign w:val="bottom"/>
            <w:gridSpan w:val="9"/>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49</w:t>
              </w:r>
            </w:hyperlink>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960" w:type="dxa"/>
            <w:vAlign w:val="bottom"/>
            <w:gridSpan w:val="13"/>
            <w:shd w:val="clear" w:color="auto" w:fill="CCEEFF"/>
          </w:tcPr>
          <w:p>
            <w:pPr>
              <w:spacing w:after="0" w:line="189"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Policies and Procedures for Related Party Transactions</w:t>
              </w:r>
            </w:hyperlink>
          </w:p>
        </w:tc>
        <w:tc>
          <w:tcPr>
            <w:tcW w:w="4760" w:type="dxa"/>
            <w:vAlign w:val="bottom"/>
            <w:gridSpan w:val="6"/>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50</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0"/>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w:t>
              </w:r>
            </w:hyperlink>
          </w:p>
        </w:tc>
        <w:tc>
          <w:tcPr>
            <w:tcW w:w="660" w:type="dxa"/>
            <w:vAlign w:val="bottom"/>
            <w:gridSpan w:val="3"/>
          </w:tcPr>
          <w:p>
            <w:pPr>
              <w:ind w:left="380"/>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r>
      <w:tr>
        <w:trPr>
          <w:trHeight w:val="34"/>
        </w:trPr>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0"/>
            <w:shd w:val="clear" w:color="auto" w:fill="CCEEFF"/>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OTHER MATTERS</w:t>
              </w:r>
            </w:hyperlink>
          </w:p>
        </w:tc>
        <w:tc>
          <w:tcPr>
            <w:tcW w:w="660" w:type="dxa"/>
            <w:vAlign w:val="bottom"/>
            <w:gridSpan w:val="3"/>
            <w:shd w:val="clear" w:color="auto" w:fill="CCEEFF"/>
          </w:tcPr>
          <w:p>
            <w:pPr>
              <w:ind w:left="380"/>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8720" w:type="dxa"/>
            <w:vAlign w:val="bottom"/>
            <w:gridSpan w:val="19"/>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Delinquent Section 16(a) Reports</w:t>
              </w:r>
            </w:hyperlink>
          </w:p>
        </w:tc>
        <w:tc>
          <w:tcPr>
            <w:tcW w:w="660" w:type="dxa"/>
            <w:vAlign w:val="bottom"/>
            <w:gridSpan w:val="3"/>
          </w:tcPr>
          <w:p>
            <w:pPr>
              <w:ind w:left="380"/>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spacing w:after="0" w:line="189"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2019 Annual Report</w:t>
              </w:r>
            </w:hyperlink>
          </w:p>
        </w:tc>
        <w:tc>
          <w:tcPr>
            <w:tcW w:w="7240" w:type="dxa"/>
            <w:vAlign w:val="bottom"/>
            <w:gridSpan w:val="14"/>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480" w:type="dxa"/>
            <w:vAlign w:val="bottom"/>
            <w:gridSpan w:val="5"/>
          </w:tcPr>
          <w:p>
            <w:pPr>
              <w:spacing w:after="0" w:line="189"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Company Website</w:t>
              </w:r>
            </w:hyperlink>
          </w:p>
        </w:tc>
        <w:tc>
          <w:tcPr>
            <w:tcW w:w="7240" w:type="dxa"/>
            <w:vAlign w:val="bottom"/>
            <w:gridSpan w:val="14"/>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40" w:type="dxa"/>
            <w:vAlign w:val="bottom"/>
            <w:gridSpan w:val="6"/>
            <w:shd w:val="clear" w:color="auto" w:fill="CCEEFF"/>
          </w:tcPr>
          <w:p>
            <w:pPr>
              <w:spacing w:after="0" w:line="189"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Availability of Bylaws</w:t>
              </w:r>
            </w:hyperlink>
          </w:p>
        </w:tc>
        <w:tc>
          <w:tcPr>
            <w:tcW w:w="7080" w:type="dxa"/>
            <w:vAlign w:val="bottom"/>
            <w:gridSpan w:val="13"/>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0"/>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STOCKHOLDER PROPOSAL DEADLINES FOR 2021 ANNUAL MEETING</w:t>
              </w:r>
            </w:hyperlink>
          </w:p>
        </w:tc>
        <w:tc>
          <w:tcPr>
            <w:tcW w:w="660" w:type="dxa"/>
            <w:vAlign w:val="bottom"/>
            <w:gridSpan w:val="3"/>
          </w:tcPr>
          <w:p>
            <w:pPr>
              <w:ind w:left="380"/>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r>
      <w:tr>
        <w:trPr>
          <w:trHeight w:val="34"/>
        </w:trPr>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020" w:type="dxa"/>
            <w:vAlign w:val="bottom"/>
            <w:gridSpan w:val="14"/>
            <w:shd w:val="clear" w:color="auto" w:fill="CCEEFF"/>
          </w:tcPr>
          <w:p>
            <w:pPr>
              <w:spacing w:after="0" w:line="189"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Stockholder Proposals for Inclusion in Proxy Statement</w:t>
              </w:r>
            </w:hyperlink>
          </w:p>
        </w:tc>
        <w:tc>
          <w:tcPr>
            <w:tcW w:w="4700" w:type="dxa"/>
            <w:vAlign w:val="bottom"/>
            <w:gridSpan w:val="5"/>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6260" w:type="dxa"/>
            <w:vAlign w:val="bottom"/>
            <w:gridSpan w:val="18"/>
          </w:tcPr>
          <w:p>
            <w:pPr>
              <w:spacing w:after="0" w:line="189"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Stockholder Proposals and Director Nominations Not for Inclusion in Proxy Statement</w:t>
              </w:r>
            </w:hyperlink>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2"/>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BLACKLINE,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2020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at 9:00 a.m., Pacific time, on Wednesday, May 6, 2020</w:t>
      </w:r>
    </w:p>
    <w:p>
      <w:pPr>
        <w:spacing w:after="0" w:line="8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2020 annual meeting of stockholders of BlackLine, Inc., a Delaware corporation, and any postponements or adjournments thereof. The annual meeting will be held virtually on Wednesday, May 6, 2020 at 9:00 a.m., Pacific time. You will be able to attend the virtual annual meeting, vote your shares electronically and submit your questions during the live webcast of the meeting by visiting www.virtualshareholdermeeting.com/BL2020 and entering your sixteen-digit control number located on your proxy card.</w:t>
      </w:r>
    </w:p>
    <w:p>
      <w:pPr>
        <w:spacing w:after="0" w:line="8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Stockholders are invited to attend the virtual annual meeting and are requested to vote on the items of business described in this proxy statement. The Notice Regarding the Internet Availability of Proxy Materials, or the Notice of Internet Availability, which contains instructions on how to access the proxy materials and our 2019 annual report, is first being sent or given on or about March 24, 2020 to all stockholders entitled to notice of and to vote at the virtual annual meeting. The proxy materials and our 2019 annual report can be accessed by following the instructions in the Notice of Internet Availability as well as online at our Investor Relations website at http://investors.blackline.com.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am I voting 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are being asked to vote on three proposals:</w:t>
      </w:r>
    </w:p>
    <w:p>
      <w:pPr>
        <w:spacing w:after="0" w:line="117" w:lineRule="exact"/>
        <w:rPr>
          <w:sz w:val="20"/>
          <w:szCs w:val="20"/>
          <w:color w:val="auto"/>
        </w:rPr>
      </w:pPr>
    </w:p>
    <w:p>
      <w:pPr>
        <w:ind w:left="700" w:right="200" w:hanging="344"/>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the three nominees for Class I director named in this proxy statement to hold office until our 2023 annual meeting of stockholders and until their respective successors are duly elected and qualified;</w:t>
      </w:r>
    </w:p>
    <w:p>
      <w:pPr>
        <w:spacing w:after="0" w:line="62" w:lineRule="exact"/>
        <w:rPr>
          <w:rFonts w:ascii="Arial" w:cs="Arial" w:eastAsia="Arial" w:hAnsi="Arial"/>
          <w:sz w:val="18"/>
          <w:szCs w:val="18"/>
          <w:color w:val="auto"/>
        </w:rPr>
      </w:pPr>
    </w:p>
    <w:p>
      <w:pPr>
        <w:ind w:left="700" w:right="680" w:hanging="344"/>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or PwC, as our independent registered public accounting firm for our fiscal year ending December 31, 2020; and</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non-binding vote to approve the compensation of our named executive officers.</w:t>
      </w:r>
    </w:p>
    <w:p>
      <w:pPr>
        <w:spacing w:after="0" w:line="117"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You will also be voting on any other business as may properly come before the annual meeting or any adjournments or postponements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matters may be brought before the annual meeting?</w:t>
      </w:r>
    </w:p>
    <w:p>
      <w:pPr>
        <w:spacing w:after="0" w:line="121" w:lineRule="exact"/>
        <w:rPr>
          <w:sz w:val="20"/>
          <w:szCs w:val="20"/>
          <w:color w:val="auto"/>
        </w:rPr>
      </w:pPr>
    </w:p>
    <w:p>
      <w:pPr>
        <w:ind w:right="400" w:firstLine="360"/>
        <w:spacing w:after="0" w:line="286"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13" w:lineRule="exact"/>
        <w:rPr>
          <w:sz w:val="20"/>
          <w:szCs w:val="20"/>
          <w:color w:val="auto"/>
        </w:rPr>
      </w:pPr>
    </w:p>
    <w:p>
      <w:pPr>
        <w:ind w:left="700" w:hanging="34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three nominees for Class I director named in this proxy statement;</w:t>
      </w:r>
    </w:p>
    <w:p>
      <w:pPr>
        <w:spacing w:after="0" w:line="117" w:lineRule="exact"/>
        <w:rPr>
          <w:rFonts w:ascii="Arial" w:cs="Arial" w:eastAsia="Arial" w:hAnsi="Arial"/>
          <w:sz w:val="18"/>
          <w:szCs w:val="18"/>
          <w:color w:val="auto"/>
        </w:rPr>
      </w:pPr>
    </w:p>
    <w:p>
      <w:pPr>
        <w:ind w:left="700" w:right="40" w:hanging="344"/>
        <w:spacing w:after="0" w:line="28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PwC as our independent registered public accounting firm for our fiscal year ending December 31, 2020; and</w:t>
      </w:r>
    </w:p>
    <w:p>
      <w:pPr>
        <w:spacing w:after="0" w:line="53" w:lineRule="exact"/>
        <w:rPr>
          <w:rFonts w:ascii="Arial" w:cs="Arial" w:eastAsia="Arial" w:hAnsi="Arial"/>
          <w:sz w:val="18"/>
          <w:szCs w:val="18"/>
          <w:color w:val="auto"/>
        </w:rPr>
      </w:pPr>
    </w:p>
    <w:p>
      <w:pPr>
        <w:ind w:left="700" w:hanging="34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advisory non-binding vote to approve the compensation of our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Holders of our common stock as of the close of business on March 9, 2020, the Record Date for the annual meeting, are entitled to vote at the annual meeting. As of the Record Date, there were 56,362,635 shares of our common stock issued and outstanding. Stockholders are not permitted to cumulate votes with respect to the election of directors. Each share of common stock is entitled to one vote on each matter properly brought before the annual meeting.</w:t>
      </w:r>
    </w:p>
    <w:p>
      <w:pPr>
        <w:spacing w:after="0" w:line="63" w:lineRule="exact"/>
        <w:rPr>
          <w:sz w:val="20"/>
          <w:szCs w:val="20"/>
          <w:color w:val="auto"/>
        </w:rPr>
      </w:pPr>
    </w:p>
    <w:p>
      <w:pPr>
        <w:jc w:val="both"/>
        <w:ind w:right="60" w:firstLine="360"/>
        <w:spacing w:after="0" w:line="296" w:lineRule="auto"/>
        <w:rPr>
          <w:sz w:val="20"/>
          <w:szCs w:val="20"/>
          <w:color w:val="auto"/>
        </w:rPr>
      </w:pPr>
      <w:r>
        <w:rPr>
          <w:rFonts w:ascii="Arial" w:cs="Arial" w:eastAsia="Arial" w:hAnsi="Arial"/>
          <w:sz w:val="16"/>
          <w:szCs w:val="16"/>
          <w:i w:val="1"/>
          <w:iCs w:val="1"/>
          <w:color w:val="auto"/>
        </w:rPr>
        <w:t>Stockholder of Record: Shares Registered in Your Name</w:t>
      </w:r>
      <w:r>
        <w:rPr>
          <w:rFonts w:ascii="Arial" w:cs="Arial" w:eastAsia="Arial" w:hAnsi="Arial"/>
          <w:sz w:val="16"/>
          <w:szCs w:val="16"/>
          <w:color w:val="auto"/>
        </w:rPr>
        <w:t>. If, at the close of business on the Record Date for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your shares were registered directly in your name with our transfer agent, American Stock Transfer &amp; Company, LLC, or AST, then you are a stockholder of record. As a stockholder of record, you have the right to grant your voting proxy directly to the individuals listed on the proxy card, to vote electronically at the virtual annual meeting, or by Internet or by telephone, or, if you received paper copies of the proxy materials by mail, to vote by mail by following the instructions on the proxy card or voting instruction card.</w:t>
      </w:r>
    </w:p>
    <w:p>
      <w:pPr>
        <w:spacing w:after="0" w:line="5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 If, at</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close of business on the Record Date for the annual meeting, your shares were held, not in your name, but rather in an account at a brokerage firm, bank or other nominee, then you are the beneficial owner of shares held in “street name” and the Notice of Internet Availability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virtual annual meeting. However, since you are not the stockholder of record, you may not vote your shares electronically at the virtual annual meeting unless you obtain a legal proxy from your broker, bank or other nominee.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stockholder of record, you may vote in one of the following ways:</w:t>
      </w:r>
    </w:p>
    <w:p>
      <w:pPr>
        <w:spacing w:after="0" w:line="113" w:lineRule="exact"/>
        <w:rPr>
          <w:sz w:val="20"/>
          <w:szCs w:val="20"/>
          <w:color w:val="auto"/>
        </w:rPr>
      </w:pPr>
    </w:p>
    <w:p>
      <w:pPr>
        <w:ind w:left="700" w:right="260" w:hanging="344"/>
        <w:spacing w:after="0" w:line="282"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electronically at the annual meeting</w:t>
      </w:r>
      <w:r>
        <w:rPr>
          <w:rFonts w:ascii="Arial" w:cs="Arial" w:eastAsia="Arial" w:hAnsi="Arial"/>
          <w:sz w:val="18"/>
          <w:szCs w:val="18"/>
          <w:color w:val="auto"/>
        </w:rPr>
        <w:t>. If you plan to attend the virtual annual meeting, you may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proxy or electronically at the annual meeting.</w:t>
      </w:r>
    </w:p>
    <w:p>
      <w:pPr>
        <w:spacing w:after="0" w:line="53" w:lineRule="exact"/>
        <w:rPr>
          <w:rFonts w:ascii="Arial" w:cs="Arial" w:eastAsia="Arial" w:hAnsi="Arial"/>
          <w:sz w:val="18"/>
          <w:szCs w:val="18"/>
          <w:color w:val="auto"/>
        </w:rPr>
      </w:pPr>
    </w:p>
    <w:p>
      <w:pPr>
        <w:ind w:left="700" w:hanging="344"/>
        <w:spacing w:after="0" w:line="26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To vote by mail, complete, sign and date the proxy card that accompanies this proxy statement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promptly in the postage-prepaid envelope provided (if you received printed proxy materials). Your completed, signed and dated proxy card must be received prior to the annual meeting.</w:t>
      </w:r>
    </w:p>
    <w:p>
      <w:pPr>
        <w:spacing w:after="0" w:line="67" w:lineRule="exact"/>
        <w:rPr>
          <w:rFonts w:ascii="Arial" w:cs="Arial" w:eastAsia="Arial" w:hAnsi="Arial"/>
          <w:sz w:val="18"/>
          <w:szCs w:val="18"/>
          <w:color w:val="auto"/>
        </w:rPr>
      </w:pPr>
    </w:p>
    <w:p>
      <w:pPr>
        <w:ind w:left="700" w:right="40" w:hanging="344"/>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by telephone</w:t>
      </w:r>
      <w:r>
        <w:rPr>
          <w:rFonts w:ascii="Arial" w:cs="Arial" w:eastAsia="Arial" w:hAnsi="Arial"/>
          <w:sz w:val="18"/>
          <w:szCs w:val="18"/>
          <w:color w:val="auto"/>
        </w:rPr>
        <w:t>. To vote over the telephone, call toll-free 1-800-690-6903 from any touch-tone telephone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 Have your Notice of Internet Availability or proxy card available when you call. You will be asked to provide the control number from your Notice of Internet Availability or proxy card. Telephone voting is available 24 hours a day, 7 days a week, until 11:59 p.m., Eastern Time, on May 5, 2020.</w:t>
      </w:r>
    </w:p>
    <w:p>
      <w:pPr>
        <w:spacing w:after="0" w:line="71" w:lineRule="exact"/>
        <w:rPr>
          <w:rFonts w:ascii="Arial" w:cs="Arial" w:eastAsia="Arial" w:hAnsi="Arial"/>
          <w:sz w:val="18"/>
          <w:szCs w:val="18"/>
          <w:color w:val="auto"/>
        </w:rPr>
      </w:pPr>
    </w:p>
    <w:p>
      <w:pPr>
        <w:ind w:left="700" w:right="80" w:hanging="344"/>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via the Internet</w:t>
      </w:r>
      <w:r>
        <w:rPr>
          <w:rFonts w:ascii="Arial" w:cs="Arial" w:eastAsia="Arial" w:hAnsi="Arial"/>
          <w:sz w:val="18"/>
          <w:szCs w:val="18"/>
          <w:color w:val="auto"/>
        </w:rPr>
        <w:t>. To vote via the Internet, go to www.proxyvote.com to complete an electronic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May 5,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p>
    <w:p>
      <w:pPr>
        <w:spacing w:after="0" w:line="104" w:lineRule="exact"/>
        <w:rPr>
          <w:sz w:val="20"/>
          <w:szCs w:val="20"/>
          <w:color w:val="auto"/>
        </w:rPr>
      </w:pPr>
    </w:p>
    <w:p>
      <w:pPr>
        <w:ind w:right="100" w:firstLine="360"/>
        <w:spacing w:after="0" w:line="285" w:lineRule="auto"/>
        <w:rPr>
          <w:sz w:val="20"/>
          <w:szCs w:val="20"/>
          <w:color w:val="auto"/>
        </w:rPr>
      </w:pPr>
      <w:r>
        <w:rPr>
          <w:rFonts w:ascii="Arial" w:cs="Arial" w:eastAsia="Arial" w:hAnsi="Arial"/>
          <w:sz w:val="16"/>
          <w:szCs w:val="16"/>
          <w:color w:val="auto"/>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 or Internet voting will depend on the voting process of your broker, bank or other nominee.</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As discussed above, if you are a beneficial owner, you may not vote your shares electronically at the annual meeting unless you obtain a legal proxy from your broker, bank or other nominee.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can change your vote or revoke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by:</w:t>
      </w:r>
    </w:p>
    <w:p>
      <w:pPr>
        <w:spacing w:after="0" w:line="62" w:lineRule="exact"/>
        <w:rPr>
          <w:sz w:val="20"/>
          <w:szCs w:val="20"/>
          <w:color w:val="auto"/>
        </w:rPr>
      </w:pPr>
    </w:p>
    <w:p>
      <w:pPr>
        <w:ind w:left="700" w:hanging="344"/>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entering a new vote by telephone or via the Internet (until the applicable deadline for each method as set forth above);</w:t>
      </w:r>
    </w:p>
    <w:p>
      <w:pPr>
        <w:spacing w:after="0" w:line="128" w:lineRule="exact"/>
        <w:rPr>
          <w:rFonts w:ascii="Arial" w:cs="Arial" w:eastAsia="Arial" w:hAnsi="Arial"/>
          <w:sz w:val="17"/>
          <w:szCs w:val="17"/>
          <w:color w:val="auto"/>
        </w:rPr>
      </w:pPr>
    </w:p>
    <w:p>
      <w:pPr>
        <w:ind w:left="700" w:hanging="34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117" w:lineRule="exact"/>
        <w:rPr>
          <w:rFonts w:ascii="Arial" w:cs="Arial" w:eastAsia="Arial" w:hAnsi="Arial"/>
          <w:sz w:val="18"/>
          <w:szCs w:val="18"/>
          <w:color w:val="auto"/>
        </w:rPr>
      </w:pPr>
    </w:p>
    <w:p>
      <w:pPr>
        <w:ind w:left="700" w:right="220" w:hanging="344"/>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written notice of revocation prior to the annual meeting to our corporate secretary at our principal executive offices as follows: BlackLine, Inc., 21300 Victory Boulevard, 12th Floor, Woodland Hills, California 91367, Attn: Corporate Secretary; or</w:t>
      </w:r>
    </w:p>
    <w:p>
      <w:pPr>
        <w:spacing w:after="0" w:line="75" w:lineRule="exact"/>
        <w:rPr>
          <w:rFonts w:ascii="Arial" w:cs="Arial" w:eastAsia="Arial" w:hAnsi="Arial"/>
          <w:sz w:val="18"/>
          <w:szCs w:val="18"/>
          <w:color w:val="auto"/>
        </w:rPr>
      </w:pPr>
    </w:p>
    <w:p>
      <w:pPr>
        <w:ind w:left="700" w:hanging="344"/>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virtual annual meeting and voting electronically. Attendance at the virtual annual meeting will not cause your previously granted proxy to be revoked unless you specifically so request or cast your vote electronically at the virtual annual meeting.</w:t>
      </w:r>
    </w:p>
    <w:p>
      <w:pPr>
        <w:spacing w:after="0" w:line="76"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 If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beneficial owner of your shares, you must contact the broker, bank or other nominee holding your shares and follow their instructions to change your vote or revoke your proxy.</w:t>
      </w:r>
    </w:p>
    <w:p>
      <w:pPr>
        <w:spacing w:after="0" w:line="166"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Why did I receive a notice in the mail regarding the Internet availability of the proxy materials instead of a paper copy of the full set of proxy materials?</w:t>
      </w:r>
    </w:p>
    <w:p>
      <w:pPr>
        <w:spacing w:after="0" w:line="7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accordance with the rules of the Securities and Exchange Commission, or the SEC, we have elected to distribute our proxy materials, including the notice of annual meeting of stockholders, this proxy statement and our 2019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2019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Proxies are solicited by and on behalf of our board of directors. The persons named in the proxy, Mark Partin, our Chief Financial Officer, and Karole Morgan-Prager, our Chief Legal and Administrative Officer and Secretary, have been designated as proxies for the annual meeting by our board of directors. When proxies are properly dated, executed and returned, the shares represented by such proxies will be voted electronically at the virtual annual meeting in accordance with the instruction of the stockholder on such proxy. If no specific instructions are given, however, the shares will be voted in accordance with the recommendations of our board of directors on the proposals as described above and, if any other matters are properly brought before the annual meeting, the shares will be voted in accordance with the proxies’ judgment.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amended and restated bylaws and Delaware law. The presence, virtually or represented by proxy, of a majority of the voting power of our stock issued and outstanding and entitled to vote at the annual meeting will constitute a quorum to transact business at the annual meeting. Abstentions, “WITHHOLD” votes, and “broker non-votes” are counted as present and entitled to vote for purposes of determining a quorum. If there is no quorum, the chairman of the meeting may adjourn the meeting to another time or 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121" w:lineRule="exact"/>
        <w:rPr>
          <w:sz w:val="20"/>
          <w:szCs w:val="20"/>
          <w:color w:val="auto"/>
        </w:rPr>
      </w:pPr>
    </w:p>
    <w:p>
      <w:pPr>
        <w:ind w:right="380" w:firstLine="360"/>
        <w:spacing w:after="0" w:line="279" w:lineRule="auto"/>
        <w:rPr>
          <w:sz w:val="20"/>
          <w:szCs w:val="20"/>
          <w:color w:val="auto"/>
        </w:rPr>
      </w:pPr>
      <w:r>
        <w:rPr>
          <w:rFonts w:ascii="Arial" w:cs="Arial" w:eastAsia="Arial" w:hAnsi="Arial"/>
          <w:sz w:val="17"/>
          <w:szCs w:val="17"/>
          <w:color w:val="auto"/>
        </w:rPr>
        <w:t>The ratification of the appointment of PwC as our independent registered public accounting firm for our fiscal year ending December 31, 2020 (Proposal No. 2) is considered “routine” under applicable federal securities rules. The election of Class I directors (Proposal No. 1), and the advisory non-binding vote to approve the compensation of our named executive officers (Proposal No. 3) are considered “non-routine” under applicable federal securities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virtually or represented by proxy and entitled to vote at the annual meeting (Proposals No. 2 and No. 3). However, because the outcome of Proposal No. 1 (election of directors) will be determined by a plurality vote, you may only vote “FOR” or “WITHHOLD” and abstentions will have no impact on the outcome of such proposal as long as a quorum exists.</w:t>
      </w:r>
    </w:p>
    <w:p>
      <w:pPr>
        <w:spacing w:after="0" w:line="70"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color w:val="auto"/>
        </w:rPr>
        <w:t>Broker non-votes will be counted for purposes of calculating whether a quorum is present at the annual meeting but will not be counted for purposes of determining the number of votes cast on a proposal. Therefore, a broker non-vote will make a quorum more readily attainable but will not otherwise affect the outcome of the vote on any of the proposals.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i w:val="1"/>
          <w:iCs w:val="1"/>
          <w:color w:val="auto"/>
        </w:rPr>
        <w:t>Proposal No. 1: Election of Class I Directors</w:t>
      </w:r>
      <w:r>
        <w:rPr>
          <w:rFonts w:ascii="Arial" w:cs="Arial" w:eastAsia="Arial" w:hAnsi="Arial"/>
          <w:sz w:val="17"/>
          <w:szCs w:val="17"/>
          <w:color w:val="auto"/>
        </w:rPr>
        <w:t>. The election of Class I directors requires a plurality of the voting power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present virtually or represented by proxy at the annual meeting and entitled to vote on the election of directors. This means that the three nominees for Class I director receiving the highest number of “FOR” votes will be elected as Class I directors. You may vote (i) “FOR” for each director nominee or (ii) “WITHHOLD” for each director nominee. Because the outcome of this proposal will be determined by a plurality vote, shares voted “WITHHOLD” will not prevent a director nominee from being elected as a director. Broker non-votes will not affect the outcome of voting on this proposal.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Proposal No. 2: Ratification of Appointment of PwC</w:t>
      </w:r>
      <w:r>
        <w:rPr>
          <w:rFonts w:ascii="Arial" w:cs="Arial" w:eastAsia="Arial" w:hAnsi="Arial"/>
          <w:sz w:val="18"/>
          <w:szCs w:val="18"/>
          <w:color w:val="auto"/>
        </w:rPr>
        <w:t>. The ratification of the appointment of PwC requires the affirmative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a majority of the voting power of the shares present virtually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spacing w:after="0" w:line="80"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Proposal No. 3: Advisory Non-Binding Vote to Approve the Compensation of Named Executive Officers</w:t>
      </w:r>
      <w:r>
        <w:rPr>
          <w:rFonts w:ascii="Arial" w:cs="Arial" w:eastAsia="Arial" w:hAnsi="Arial"/>
          <w:sz w:val="16"/>
          <w:szCs w:val="16"/>
          <w:color w:val="auto"/>
        </w:rPr>
        <w:t>. The advisory non-binding vote to approve the fiscal 2019 compensation of our named executive officers requires the affirmative vote of a majority of the voting power of the shares present virtually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 Because this vote is advisory only, it will not be binding on our board of directors. The compensation committee will review the voting results and take them into consideration when making future decisions regarding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representative of Broadridge Financial Solutions will tabulate the votes and act as inspector of elections.</w:t>
      </w:r>
    </w:p>
    <w:p>
      <w:pPr>
        <w:spacing w:after="0" w:line="208"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7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w:t>
      </w:r>
      <w:r>
        <w:rPr>
          <w:rFonts w:ascii="Arial" w:cs="Arial" w:eastAsia="Arial" w:hAnsi="Arial"/>
          <w:sz w:val="18"/>
          <w:szCs w:val="18"/>
          <w:i w:val="1"/>
          <w:iCs w:val="1"/>
          <w:color w:val="auto"/>
        </w:rPr>
        <w:t xml:space="preserve"> </w:t>
      </w:r>
      <w:r>
        <w:rPr>
          <w:rFonts w:ascii="Arial" w:cs="Arial" w:eastAsia="Arial" w:hAnsi="Arial"/>
          <w:sz w:val="18"/>
          <w:szCs w:val="18"/>
          <w:color w:val="auto"/>
        </w:rPr>
        <w:t>not provide voting instructions, your shares will be voted:</w:t>
      </w:r>
    </w:p>
    <w:p>
      <w:pPr>
        <w:spacing w:after="0" w:line="58" w:lineRule="exact"/>
        <w:rPr>
          <w:sz w:val="20"/>
          <w:szCs w:val="20"/>
          <w:color w:val="auto"/>
        </w:rPr>
      </w:pPr>
    </w:p>
    <w:p>
      <w:pPr>
        <w:ind w:left="700" w:hanging="34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three nominees for Class I director named in this proxy statement;</w:t>
      </w:r>
    </w:p>
    <w:p>
      <w:pPr>
        <w:spacing w:after="0" w:line="117" w:lineRule="exact"/>
        <w:rPr>
          <w:rFonts w:ascii="Arial" w:cs="Arial" w:eastAsia="Arial" w:hAnsi="Arial"/>
          <w:sz w:val="18"/>
          <w:szCs w:val="18"/>
          <w:color w:val="auto"/>
        </w:rPr>
      </w:pPr>
    </w:p>
    <w:p>
      <w:pPr>
        <w:ind w:left="700" w:hanging="344"/>
        <w:spacing w:after="0" w:line="282"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PwC as our independent registered public accounting firm for our fiscal year ending December 31, 2020; and</w:t>
      </w:r>
    </w:p>
    <w:p>
      <w:pPr>
        <w:spacing w:after="0" w:line="53" w:lineRule="exact"/>
        <w:rPr>
          <w:rFonts w:ascii="Arial" w:cs="Arial" w:eastAsia="Arial" w:hAnsi="Arial"/>
          <w:sz w:val="18"/>
          <w:szCs w:val="18"/>
          <w:color w:val="auto"/>
        </w:rPr>
      </w:pPr>
    </w:p>
    <w:p>
      <w:pPr>
        <w:ind w:left="700" w:hanging="34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advisory non-binding vote to approve the compensation of our named executive officers.</w:t>
      </w:r>
    </w:p>
    <w:p>
      <w:pPr>
        <w:spacing w:after="0" w:line="12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if any other matters are properly brought before the annual meeting or any adjournments or postponements thereof, the persons named as proxies will be authorized to vote or otherwise act on those matters in accordance with their judgment.</w:t>
      </w:r>
    </w:p>
    <w:p>
      <w:pPr>
        <w:spacing w:after="0" w:line="16"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i w:val="1"/>
          <w:iCs w:val="1"/>
          <w:color w:val="auto"/>
        </w:rPr>
        <w:t>Beneficial Owner of Shares Held in “Street Name”: Shares Registered in the Name of a Broker, Bank or Other Nominee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matter—Proposal No. 2 (ratification of the appointment of PwC). Absent direction from you, however, your broker, bank or other nominee will not have the discretion to vote on Proposal No. 1 relating to the election of directors, and Proposal No. 3 relating to the approval of the compensation of our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BlackLine’s transfer agent?</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may contact our transfer agent, AST, by telephone at (800) 937-5449 (toll-free for United States residents), or by email at info@amstock.com. Materials may be mailed to AST at:</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Stock Transfer &amp; Trust Company, LLC</w:t>
      </w:r>
    </w:p>
    <w:p>
      <w:pPr>
        <w:jc w:val="center"/>
        <w:ind w:right="-39"/>
        <w:spacing w:after="0" w:line="186" w:lineRule="auto"/>
        <w:rPr>
          <w:sz w:val="20"/>
          <w:szCs w:val="20"/>
          <w:color w:val="auto"/>
        </w:rPr>
      </w:pPr>
      <w:r>
        <w:rPr>
          <w:rFonts w:ascii="Arial" w:cs="Arial" w:eastAsia="Arial" w:hAnsi="Arial"/>
          <w:sz w:val="17"/>
          <w:szCs w:val="17"/>
          <w:color w:val="auto"/>
        </w:rPr>
        <w:t>6201 15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Avenue</w:t>
      </w:r>
    </w:p>
    <w:p>
      <w:pPr>
        <w:jc w:val="center"/>
        <w:ind w:right="-39"/>
        <w:spacing w:after="0"/>
        <w:rPr>
          <w:sz w:val="20"/>
          <w:szCs w:val="20"/>
          <w:color w:val="auto"/>
        </w:rPr>
      </w:pPr>
      <w:r>
        <w:rPr>
          <w:rFonts w:ascii="Arial" w:cs="Arial" w:eastAsia="Arial" w:hAnsi="Arial"/>
          <w:sz w:val="18"/>
          <w:szCs w:val="18"/>
          <w:color w:val="auto"/>
        </w:rPr>
        <w:t>Brooklyn, NY 11219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annual meeting will be a virtual meeting held over the Internet. You will be able to attend the virtual annual meeting, vote your shares electronically and submit your questions during the live webcast of the meeting by visiting www.virtualshareholdermeeting.com/BL2020 and entering your sixteen-digit control number located on your proxy card. The annual meeting webcast will begin promptly at 9:00 a.m., Pacific time. We encourage you to access the meeting prior to the start time. Online check-in will begin at 8:50 a.m., Pacific time, and you should allow ample time for the check-in procedures. You will have the same rights and opportunities that would be afforded by an in-person meeting.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 If you</w:t>
      </w:r>
      <w:r>
        <w:rPr>
          <w:rFonts w:ascii="Arial" w:cs="Arial" w:eastAsia="Arial" w:hAnsi="Arial"/>
          <w:sz w:val="18"/>
          <w:szCs w:val="18"/>
          <w:i w:val="1"/>
          <w:iCs w:val="1"/>
          <w:color w:val="auto"/>
        </w:rPr>
        <w:t xml:space="preserve"> </w:t>
      </w:r>
      <w:r>
        <w:rPr>
          <w:rFonts w:ascii="Arial" w:cs="Arial" w:eastAsia="Arial" w:hAnsi="Arial"/>
          <w:sz w:val="18"/>
          <w:szCs w:val="18"/>
          <w:color w:val="auto"/>
        </w:rPr>
        <w:t>were a beneficial owner of shares that are held in “street name” at the close of business on the Record Date, you may not vote your shares electronically at the virtual annual meeting unless you obtain a “legal proxy” from your broker, bank or other nominee who is the stockholder of record with respect to your shares. You may still attend the virtual annual meeting even if you do not have a legal proxy. For admission to the virtual annual meeting, visit www.virtualshareholdermeeting.com/BL2020 and enter your sixteen-digit control number located on your proxy card.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84"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filed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Notice of Internet Availability or more than one set of printed materials?</w:t>
      </w:r>
    </w:p>
    <w:p>
      <w:pPr>
        <w:spacing w:after="0" w:line="11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If you receive more than one Notice of Internet Availability or more than one set of printed materials, your shares may be registered in more than one name and/or are registered in different accounts. Please follow the voting instructions on each Notice of Internet Availability or each set of printed materials, as applicable, to ensure that all of your shares are voted.</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72"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color w:val="auto"/>
        </w:rPr>
        <w:t>We have adopted an SEC-approved procedure called “householding,” under which we can deliver a single copy of the Notice of Internet Availability and, if applicable,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BlackLine,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jc w:val="center"/>
        <w:ind w:right="-19"/>
        <w:spacing w:after="0" w:line="184" w:lineRule="auto"/>
        <w:rPr>
          <w:sz w:val="20"/>
          <w:szCs w:val="20"/>
          <w:color w:val="auto"/>
        </w:rPr>
      </w:pPr>
      <w:r>
        <w:rPr>
          <w:rFonts w:ascii="Arial" w:cs="Arial" w:eastAsia="Arial" w:hAnsi="Arial"/>
          <w:sz w:val="16"/>
          <w:szCs w:val="16"/>
          <w:color w:val="auto"/>
        </w:rPr>
        <w:t>21300 Victory Boulevard,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jc w:val="center"/>
        <w:ind w:right="-19"/>
        <w:spacing w:after="0"/>
        <w:rPr>
          <w:sz w:val="20"/>
          <w:szCs w:val="20"/>
          <w:color w:val="auto"/>
        </w:rPr>
      </w:pPr>
      <w:r>
        <w:rPr>
          <w:rFonts w:ascii="Arial" w:cs="Arial" w:eastAsia="Arial" w:hAnsi="Arial"/>
          <w:sz w:val="18"/>
          <w:szCs w:val="18"/>
          <w:color w:val="auto"/>
        </w:rPr>
        <w:t>Woodland Hills, CA 91367</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(818) 223-9008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Stockholders who hold shares in street name may contact their broker, bank or other nominee to request information about householding.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names of stockholders of record entitled to vote at the annual meeting will be available from our Corporate Secretary for ten days prior to the meeting for any purpose germane to the annual meeting, between the hours of 9:00 a.m. and 4:30 p.m., Pacific time, at our corporate headquarters located at 21300 Victory Boulevard, 12th Floor, Woodland Hills, California 91367. The list of stockholders will also be available during the annual meeting through the meeting website at www.virtualshareholdermeeting.com/BL2020.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 xml:space="preserve">Please see the section entitled </w:t>
      </w:r>
      <w:r>
        <w:rPr>
          <w:rFonts w:ascii="Arial" w:cs="Arial" w:eastAsia="Arial" w:hAnsi="Arial"/>
          <w:sz w:val="17"/>
          <w:szCs w:val="17"/>
          <w:i w:val="1"/>
          <w:iCs w:val="1"/>
          <w:color w:val="auto"/>
        </w:rPr>
        <w:t>Stockholder Proposal Deadlines for 2021 Annual Meeting</w:t>
      </w:r>
      <w:r>
        <w:rPr>
          <w:rFonts w:ascii="Arial" w:cs="Arial" w:eastAsia="Arial" w:hAnsi="Arial"/>
          <w:sz w:val="17"/>
          <w:szCs w:val="17"/>
          <w:color w:val="auto"/>
        </w:rPr>
        <w:t xml:space="preserve"> in this proxy statement for more information regarding the deadlines for the submission of stockholder proposals for our 2021 annual meeting.</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board of directors is currently comprised of ten members. Our board of directors consists of three classes of directors, each serving staggered three-year terms. Upon expiration of the term of a class of directors, directors in that class will be elected for a three-year term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 xml:space="preserve">We are party to an Amended and Restated Stockholders’ Agreement with Silver Lake Sumeru Fund, L.P., Silver Lake Technology Investors Sumeru, L.P. (individually and/or collectively, Silver Lake Sumeru), Iconiq Strategic Partners, L.P., ICONIQ Strategic Partners-B, L.P., Iconiq Strategic Partners Co-Invest, L.P., BL Series and Iconiq Strategic Partners Co-Invest, L.P., BL2 Series (individually and/or collectively, Iconiq), Therese Tucker and Mario Spanicciati, dated as of October 27, 2016 (or the Stockholders’ Agreement). Pursuant to the Stockholders’ Agreement, Silver Lake Sumeru, Iconiq, Ms. Tucker and Mr. Spanicciati (or the Stockholder Parties) are entitled to designate members of our board of directors subject to certain restrictions,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any of the Stockholder Parties no longer beneficially owns at least 5% of the total number of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then outstanding (or the Designation Threshold), on a date that is 120 days before the date of our annual meeting at which directors are to be elected (or the Ownership Measurement Date), then with respect to such meeting and thereafter, the Stockholder Parties shall have no right to designate a designee on our board of directors.</w:t>
      </w:r>
    </w:p>
    <w:p>
      <w:pPr>
        <w:spacing w:after="0" w:line="77"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Silver Lake Sumeru no longer owns shares of our common stock, and is therefore no longer entitled to designate any directors. Silver Lake Sumeru previously designated Mr. Babcoke and Mr. Brennan as Silver Lake Sumeru designees at our 2018 and 2019 annual meetings of shareholders, respectively, and each of Mr. Babcoke and Mr. Brennan will continue to serve until 2021 and 2022, respectively. Before the Ownership Measurement Date, neither Iconiq nor Mr. Spanicciati held the Designation Threshold and are therefore no longer entitled to designate designees for this annual meeting.</w:t>
      </w:r>
    </w:p>
    <w:p>
      <w:pPr>
        <w:spacing w:after="0" w:line="68"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 xml:space="preserve">Ms. Tucker still holds the Designation Threshold and is entitled to membership on our board of directors for so long as she continues to hold the Designation Threshold as of the Ownership Measurement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that Ms. Tucker ceases to be employed by the company for any reason and she beneficially owns less than the Designation Threshold (i) she will be required to immediately tender her resignation from our board of directors effective only upon acceptance by our board of directors, and (ii) our board of directors may, in its sole discretion, accept or reject such resignation. If our board of directors rejects the resignation, Ms. Tucker will continue to have the right to be designated for membership on our board of directors; provided that our board of directors will have the right, by unanimous vote of the other directors (excluding Ms. Tucker), to require her resignation from our board of directors if our board of directors determines such resignation would be in the best interests of the company, regardless of the number of shares of common stock held by Ms. Tucker. The affiliates of each of the Stockholder Parties who continue to hold shares have agreed to vote their shares in favor of the directors designated as set forth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The following table sets forth the names, ages, and certain other information for each of the directors with terms expiring at the annual meeting (including those who are also nominees for election as a director at the annual meeting) and for each of the continuing members of our board of directors. All information is as of March 16,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r>
      <w:tr>
        <w:trPr>
          <w:trHeight w:val="162"/>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of Term for</w:t>
            </w:r>
          </w:p>
        </w:tc>
      </w:tr>
      <w:tr>
        <w:trPr>
          <w:trHeight w:val="162"/>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Director</w:t>
            </w:r>
          </w:p>
        </w:tc>
        <w:tc>
          <w:tcPr>
            <w:tcW w:w="2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Which</w:t>
            </w:r>
          </w:p>
        </w:tc>
      </w:tr>
      <w:tr>
        <w:trPr>
          <w:trHeight w:val="185"/>
        </w:trPr>
        <w:tc>
          <w:tcPr>
            <w:tcW w:w="2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6"/>
                <w:szCs w:val="16"/>
                <w:color w:val="auto"/>
              </w:rPr>
            </w:pPr>
          </w:p>
        </w:tc>
        <w:tc>
          <w:tcPr>
            <w:tcW w:w="3560" w:type="dxa"/>
            <w:vAlign w:val="bottom"/>
          </w:tcPr>
          <w:p>
            <w:pPr>
              <w:ind w:left="152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4"/>
                <w:szCs w:val="14"/>
                <w:b w:val="1"/>
                <w:bCs w:val="1"/>
                <w:color w:val="auto"/>
              </w:rPr>
              <w:t>Since</w:t>
            </w:r>
          </w:p>
        </w:tc>
        <w:tc>
          <w:tcPr>
            <w:tcW w:w="2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Expires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Nominated</w:t>
            </w:r>
          </w:p>
        </w:tc>
      </w:tr>
      <w:tr>
        <w:trPr>
          <w:trHeight w:val="237"/>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Nominees for Director</w:t>
            </w:r>
          </w:p>
        </w:tc>
        <w:tc>
          <w:tcPr>
            <w:tcW w:w="20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5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Marc Huffman</w:t>
            </w:r>
          </w:p>
        </w:tc>
        <w:tc>
          <w:tcPr>
            <w:tcW w:w="20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49</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President and Chief Operating Officer</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r>
      <w:tr>
        <w:trPr>
          <w:trHeight w:val="249"/>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58</w:t>
            </w: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 and Director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r>
      <w:tr>
        <w:trPr>
          <w:trHeight w:val="243"/>
        </w:trPr>
        <w:tc>
          <w:tcPr>
            <w:tcW w:w="2280" w:type="dxa"/>
            <w:vAlign w:val="bottom"/>
          </w:tcPr>
          <w:p>
            <w:pPr>
              <w:spacing w:after="0" w:line="243" w:lineRule="exact"/>
              <w:rPr>
                <w:sz w:val="20"/>
                <w:szCs w:val="20"/>
                <w:color w:val="auto"/>
              </w:rPr>
            </w:pPr>
            <w:r>
              <w:rPr>
                <w:rFonts w:ascii="Arial" w:cs="Arial" w:eastAsia="Arial" w:hAnsi="Arial"/>
                <w:sz w:val="17"/>
                <w:szCs w:val="17"/>
                <w:color w:val="auto"/>
              </w:rPr>
              <w:t>Thomas Unterman</w:t>
            </w:r>
            <w:r>
              <w:rPr>
                <w:rFonts w:ascii="Arial" w:cs="Arial" w:eastAsia="Arial" w:hAnsi="Arial"/>
                <w:sz w:val="28"/>
                <w:szCs w:val="28"/>
                <w:color w:val="auto"/>
                <w:vertAlign w:val="superscript"/>
              </w:rPr>
              <w:t>(2)(3)</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75</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Directors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Jason Babcoke</w:t>
            </w:r>
          </w:p>
        </w:tc>
        <w:tc>
          <w:tcPr>
            <w:tcW w:w="20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47</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2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Owen Ryan</w:t>
            </w:r>
            <w:r>
              <w:rPr>
                <w:rFonts w:ascii="Arial" w:cs="Arial" w:eastAsia="Arial" w:hAnsi="Arial"/>
                <w:sz w:val="28"/>
                <w:szCs w:val="28"/>
                <w:color w:val="auto"/>
                <w:vertAlign w:val="superscript"/>
              </w:rPr>
              <w:t>(1)(3)</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57</w:t>
            </w: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tcPr>
          <w:p>
            <w:pPr>
              <w:spacing w:after="0" w:line="243" w:lineRule="exact"/>
              <w:rPr>
                <w:sz w:val="20"/>
                <w:szCs w:val="20"/>
                <w:color w:val="auto"/>
              </w:rPr>
            </w:pPr>
            <w:r>
              <w:rPr>
                <w:rFonts w:ascii="Arial" w:cs="Arial" w:eastAsia="Arial" w:hAnsi="Arial"/>
                <w:sz w:val="17"/>
                <w:szCs w:val="17"/>
                <w:color w:val="auto"/>
              </w:rPr>
              <w:t>Kevin Thompson</w:t>
            </w:r>
            <w:r>
              <w:rPr>
                <w:rFonts w:ascii="Arial" w:cs="Arial" w:eastAsia="Arial" w:hAnsi="Arial"/>
                <w:sz w:val="28"/>
                <w:szCs w:val="28"/>
                <w:color w:val="auto"/>
                <w:vertAlign w:val="superscript"/>
              </w:rPr>
              <w:t>(1)(2)</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54</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Sophia Velastegui</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44</w:t>
            </w: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tcPr>
          <w:p>
            <w:pPr>
              <w:spacing w:after="0" w:line="243" w:lineRule="exact"/>
              <w:rPr>
                <w:sz w:val="20"/>
                <w:szCs w:val="20"/>
                <w:color w:val="auto"/>
              </w:rPr>
            </w:pPr>
            <w:r>
              <w:rPr>
                <w:rFonts w:ascii="Arial" w:cs="Arial" w:eastAsia="Arial" w:hAnsi="Arial"/>
                <w:sz w:val="17"/>
                <w:szCs w:val="17"/>
                <w:color w:val="auto"/>
              </w:rPr>
              <w:t>John Brennan</w:t>
            </w:r>
            <w:r>
              <w:rPr>
                <w:rFonts w:ascii="Arial" w:cs="Arial" w:eastAsia="Arial" w:hAnsi="Arial"/>
                <w:sz w:val="28"/>
                <w:szCs w:val="28"/>
                <w:color w:val="auto"/>
                <w:vertAlign w:val="superscript"/>
              </w:rPr>
              <w:t>(2)(3)</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55</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Graham Smith</w:t>
            </w:r>
            <w:r>
              <w:rPr>
                <w:rFonts w:ascii="Arial" w:cs="Arial" w:eastAsia="Arial" w:hAnsi="Arial"/>
                <w:sz w:val="28"/>
                <w:szCs w:val="28"/>
                <w:color w:val="auto"/>
                <w:vertAlign w:val="superscript"/>
              </w:rPr>
              <w:t>(1)(3)</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60</w:t>
            </w: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tcPr>
          <w:p>
            <w:pPr>
              <w:spacing w:after="0" w:line="243" w:lineRule="exact"/>
              <w:rPr>
                <w:sz w:val="20"/>
                <w:szCs w:val="20"/>
                <w:color w:val="auto"/>
              </w:rPr>
            </w:pPr>
            <w:r>
              <w:rPr>
                <w:rFonts w:ascii="Arial" w:cs="Arial" w:eastAsia="Arial" w:hAnsi="Arial"/>
                <w:sz w:val="17"/>
                <w:szCs w:val="17"/>
                <w:color w:val="auto"/>
              </w:rPr>
              <w:t>Mika Yamamoto</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47</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 Not Continuing</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390"/>
        </w:trPr>
        <w:tc>
          <w:tcPr>
            <w:tcW w:w="2280" w:type="dxa"/>
            <w:vAlign w:val="bottom"/>
          </w:tcPr>
          <w:p>
            <w:pPr>
              <w:spacing w:after="0"/>
              <w:rPr>
                <w:sz w:val="20"/>
                <w:szCs w:val="20"/>
                <w:color w:val="auto"/>
              </w:rPr>
            </w:pPr>
            <w:r>
              <w:rPr>
                <w:rFonts w:ascii="Arial" w:cs="Arial" w:eastAsia="Arial" w:hAnsi="Arial"/>
                <w:sz w:val="18"/>
                <w:szCs w:val="18"/>
                <w:color w:val="auto"/>
              </w:rPr>
              <w:t>Mario Spanicciati</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39</w:t>
            </w: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Chief Strategy Officer and Director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38"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109" w:lineRule="exact"/>
        <w:rPr>
          <w:rFonts w:ascii="Arial" w:cs="Arial" w:eastAsia="Arial" w:hAnsi="Arial"/>
          <w:sz w:val="14"/>
          <w:szCs w:val="14"/>
          <w:color w:val="auto"/>
        </w:rPr>
      </w:pPr>
    </w:p>
    <w:p>
      <w:pPr>
        <w:ind w:left="360" w:right="140" w:hanging="355"/>
        <w:spacing w:after="0" w:line="273"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Spanicciati is not standing for re-election at the 2020 annual meeting, but will continue to serve as a member of our board of directors until the expiration of his current term ending on the date of the 2020 annual meeting of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b w:val="1"/>
          <w:bCs w:val="1"/>
          <w:i w:val="1"/>
          <w:iCs w:val="1"/>
          <w:color w:val="auto"/>
        </w:rPr>
        <w:t xml:space="preserve">Marc Huffman </w:t>
      </w:r>
      <w:r>
        <w:rPr>
          <w:rFonts w:ascii="Arial" w:cs="Arial" w:eastAsia="Arial" w:hAnsi="Arial"/>
          <w:sz w:val="17"/>
          <w:szCs w:val="17"/>
          <w:color w:val="auto"/>
        </w:rPr>
        <w:t>has served as our Chief Operating Officer since February 2018, and as our President and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February 2020. Prior to joining us, Mr. Huffman served as President, Worldwide Sales and Distribution of NetSuite Inc., a global cloud ERP software provider (acquired by Oracle Corporation), from April 2014 to February 2018, Senior Vice President of North American Verticals, Channels and APAC of NetSuite from 2010 to April 2014, Senior Vice President of Sales, North America of NetSuite from 2008 to 2010 and Vice President of Sales of NetSuite from December 2003 to 2008. Prior to joining NetSuite, Mr. Huffman served as a director of sales responsible for Canada and the central United States at Oracle Corporation. Currently, Mr. Huffman serves on the board of directors of Channel Advisor Corporation, a provider of software-as-a-service solutions that help retailers and branded manufacturers improve their online performance. Mr. Huffman holds a B.S. with an emphasis on marketing from California State University, Chico.</w:t>
      </w:r>
    </w:p>
    <w:p>
      <w:pPr>
        <w:spacing w:after="0" w:line="73" w:lineRule="exact"/>
        <w:rPr>
          <w:sz w:val="20"/>
          <w:szCs w:val="20"/>
          <w:color w:val="auto"/>
        </w:rPr>
      </w:pPr>
    </w:p>
    <w:p>
      <w:pPr>
        <w:ind w:right="640" w:firstLine="360"/>
        <w:spacing w:after="0" w:line="342" w:lineRule="auto"/>
        <w:rPr>
          <w:sz w:val="20"/>
          <w:szCs w:val="20"/>
          <w:color w:val="auto"/>
        </w:rPr>
      </w:pPr>
      <w:r>
        <w:rPr>
          <w:rFonts w:ascii="Arial" w:cs="Arial" w:eastAsia="Arial" w:hAnsi="Arial"/>
          <w:sz w:val="16"/>
          <w:szCs w:val="16"/>
          <w:color w:val="auto"/>
        </w:rPr>
        <w:t>Mr. Huffman brings valuable experience to our board of directors, including extensive management experience in the technology industry, and operational insight and expertise he has accumulated as our President and Chief Operating Officer.</w:t>
      </w:r>
    </w:p>
    <w:p>
      <w:pPr>
        <w:spacing w:after="0" w:line="16"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b w:val="1"/>
          <w:bCs w:val="1"/>
          <w:i w:val="1"/>
          <w:iCs w:val="1"/>
          <w:color w:val="auto"/>
        </w:rPr>
        <w:t xml:space="preserve">Therese Tucker. </w:t>
      </w:r>
      <w:r>
        <w:rPr>
          <w:rFonts w:ascii="Arial" w:cs="Arial" w:eastAsia="Arial" w:hAnsi="Arial"/>
          <w:sz w:val="17"/>
          <w:szCs w:val="17"/>
          <w:color w:val="auto"/>
        </w:rPr>
        <w:t>Ms. Tucker is our founder and has served as our Chief Executive Officer and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since August 2001. Prior to founding the Company, Ms. Tucker served as Chief Technology Officer for SunGard Treasury Systems, Inc. and SunGard Trading Systems, Inc., providers of software solutions and information technology services. Ms. Tucker holds a B.S. in Computer Science and Mathematics from University of Illinois at Urbana-Champaign.</w:t>
      </w:r>
    </w:p>
    <w:p>
      <w:pPr>
        <w:spacing w:after="0" w:line="63"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Ms. Tucker is a valuable member of our board of directors, possessing over 25 years of experience in the finance and technology industry and the operational insight and expertise she has accumulated as our founder and Chief Executive Officer.</w:t>
      </w:r>
    </w:p>
    <w:p>
      <w:pPr>
        <w:spacing w:after="0" w:line="1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Thomas Unterman. </w:t>
      </w:r>
      <w:r>
        <w:rPr>
          <w:rFonts w:ascii="Arial" w:cs="Arial" w:eastAsia="Arial" w:hAnsi="Arial"/>
          <w:sz w:val="18"/>
          <w:szCs w:val="18"/>
          <w:color w:val="auto"/>
        </w:rPr>
        <w:t>Mr. Unterman has served as a member of our board of directors since 2010. Since September 1999,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Unterman has served as Partner for Rustic Canyon Partners, an early stage venture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firm, which he founded in September 1999. Previously, Mr. Unterman served as Executive Vice President and Chief Financial Officer of The Times Mirror Company, a newspaper publishing company that was acquired by Tribune Co. Currently, Mr. Unterman serves as a director of several civil rights non-profit companies. He also serves as a director for several of the Rustic Canyon portfolio companies. Mr. Unterman holds a J.D. from University of Chicago and a B.A. from the Woodrow Wilson School of Public Affairs at Princeton University.</w:t>
      </w:r>
    </w:p>
    <w:p>
      <w:pPr>
        <w:spacing w:after="0" w:line="80" w:lineRule="exact"/>
        <w:rPr>
          <w:sz w:val="20"/>
          <w:szCs w:val="20"/>
          <w:color w:val="auto"/>
        </w:rPr>
      </w:pPr>
    </w:p>
    <w:p>
      <w:pPr>
        <w:ind w:right="440" w:firstLine="360"/>
        <w:spacing w:after="0" w:line="263" w:lineRule="auto"/>
        <w:rPr>
          <w:sz w:val="20"/>
          <w:szCs w:val="20"/>
          <w:color w:val="auto"/>
        </w:rPr>
      </w:pPr>
      <w:r>
        <w:rPr>
          <w:rFonts w:ascii="Arial" w:cs="Arial" w:eastAsia="Arial" w:hAnsi="Arial"/>
          <w:sz w:val="18"/>
          <w:szCs w:val="18"/>
          <w:color w:val="auto"/>
        </w:rPr>
        <w:t>Mr. Unterman is a valuable member of our board of directors, bringing substantial experience as an executive officer of a public company, as an investment professional and as a director of private technology companies. We also believe that Mr. Unterman brings historical knowledge and continuity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b w:val="1"/>
          <w:bCs w:val="1"/>
          <w:i w:val="1"/>
          <w:iCs w:val="1"/>
          <w:color w:val="auto"/>
        </w:rPr>
        <w:t xml:space="preserve">Jason Babcoke. </w:t>
      </w:r>
      <w:r>
        <w:rPr>
          <w:rFonts w:ascii="Arial" w:cs="Arial" w:eastAsia="Arial" w:hAnsi="Arial"/>
          <w:sz w:val="17"/>
          <w:szCs w:val="17"/>
          <w:color w:val="auto"/>
        </w:rPr>
        <w:t>Mr. Babcoke has served as a member of our board of directors since September 2013. Mr. Babcoke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Managing Director of Sumeru Equity Partners, a private equity firm, since March 2014. Since July 2011, Mr. Babcoke has been at Silver Lake Sumeru, a middle-market investment group of Silver Lake, a global private equity firm, and is currently a Managing Director. Previously, Mr. Babcoke worked at Symphony Technology Group, a private equity firm, and served as a Senior Manager for Life Technologies, a biotech company, as Director of Engineering for Angstron Systems, Inc., a nano-deposition technology company, acquired by Novellus, and as a Venture Capital Associate for The Spark Group, a technology-focused investment group. Currently, Mr. Babcoke serves as a member of the board of directors for Criteria Corp and Snow Software. Mr. Babcoke holds an M.B.A. from Harvard Business School, an M.S. in Management Science and Engineering from Stanford University and a B.S. in Mechanical Engineering from University of California, Berkeley.</w:t>
      </w:r>
    </w:p>
    <w:p>
      <w:pPr>
        <w:spacing w:after="0" w:line="7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Mr. Babcoke brings valuable experience in venture capital investing and knowledge of technology companies to the board of directors.</w:t>
      </w:r>
    </w:p>
    <w:p>
      <w:pPr>
        <w:spacing w:after="0" w:line="62"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b w:val="1"/>
          <w:bCs w:val="1"/>
          <w:i w:val="1"/>
          <w:iCs w:val="1"/>
          <w:color w:val="auto"/>
        </w:rPr>
        <w:t xml:space="preserve">John Brennan. </w:t>
      </w:r>
      <w:r>
        <w:rPr>
          <w:rFonts w:ascii="Arial" w:cs="Arial" w:eastAsia="Arial" w:hAnsi="Arial"/>
          <w:sz w:val="16"/>
          <w:szCs w:val="16"/>
          <w:color w:val="auto"/>
        </w:rPr>
        <w:t>Mr. Brennan has served as a member of our board of directors since September 2013 and is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Mr. Brennan cofounded Sumeru Equity Partners, a private equity firm and has served as Managing Director since March 2014. Since February 2008, Mr. Brennan has served as a Managing Director for Silver Lake Sumeru, a middle-market investment group of Silver Lake, a global private equity firm. Mr. Brennan has also previously served as Senior Vice President of Platform Software for Adobe Systems Incorporated, a computer software company, as Senior Vice President of SMB Segment Operations for Hewlett Packard Company, an information technology company, and as Principal and Associate Partner of Electronics and High-Tech Practice for Accenture Strategic Services, a management consulting, technology services and outsourcing company. Mr. Brennan currently serves on the board of directors of several private companies. Mr. Brennan holds an M.B.A. from University of California, Berkeley Haas School of Business and a B.A. in History from Yale University.</w:t>
      </w:r>
    </w:p>
    <w:p>
      <w:pPr>
        <w:spacing w:after="0" w:line="58"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Mr. Brennan brings valuable management experience as well as experience in private equity investing and knowledge of technology companies to the board of directors.</w:t>
      </w:r>
    </w:p>
    <w:p>
      <w:pPr>
        <w:spacing w:after="0" w:line="62"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b w:val="1"/>
          <w:bCs w:val="1"/>
          <w:i w:val="1"/>
          <w:iCs w:val="1"/>
          <w:color w:val="auto"/>
        </w:rPr>
        <w:t xml:space="preserve">Owen Ryan. </w:t>
      </w:r>
      <w:r>
        <w:rPr>
          <w:rFonts w:ascii="Arial" w:cs="Arial" w:eastAsia="Arial" w:hAnsi="Arial"/>
          <w:sz w:val="17"/>
          <w:szCs w:val="17"/>
          <w:color w:val="auto"/>
        </w:rPr>
        <w:t>Mr. Ryan has served as a member of our board of directors since August 2018. Since 2018 Mr. Ryan has worked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Chief Strategy Officer, and subsequently CEO, of Geller Advisors, a strategic financial advisory and wealth management company. From 2016 to 2017, Mr. Ryan served as the President and Chief Executive Officer of AEGIS Insurance, a mutual insurance company. Prior to joining AEGIS Insurance, Mr. Ryan was Managing Partner and Chief Executive Officer of Deloitte Advisory, a financial advisory company, from 2008 until 2016. Mr. Ryan holds a B.S. from New Jersey City University and an M.B.A. from Columbia University, and is a certified public accountant.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Ryan is a valuable member of our board of directors, bringing extensive management and financial expertise to our board.</w:t>
      </w:r>
    </w:p>
    <w:p>
      <w:pPr>
        <w:spacing w:after="0" w:line="14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Graham Smith. </w:t>
      </w:r>
      <w:r>
        <w:rPr>
          <w:rFonts w:ascii="Arial" w:cs="Arial" w:eastAsia="Arial" w:hAnsi="Arial"/>
          <w:sz w:val="18"/>
          <w:szCs w:val="18"/>
          <w:color w:val="auto"/>
        </w:rPr>
        <w:t>Mr. Smith has served as a member of our board of directors since May 2015. Mr. Smith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Chief Financial Officer of Salesforce, Inc., a provider of customer relationship management software from March 2008 to August 2014. Mr. Smith previously served as Chief Financial Officer of Advent Software, Inc., a provider of portfolio accounting software. Mr. Smith has served as a member of the board of directors for Splunk Inc., a provider of operational intelligence software, since July 2011, of Xero, Inc., a provider of online accounting software, since February 2015, and of Slack, Inc. since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December 2018. Mr. Smith also served as a member of the board of directors of Citrix Systems, Inc., a provider of workplace software, from December 2015 to June 2018, and MINDBODY, Inc., a provider of software to the wellness industry, from February 2015 to February 2019. Mr. Smith holds a B.Sc. in Economics and Politics from University of Bristol in England and qualified as a chartered accountant in England and Wales.</w:t>
      </w:r>
    </w:p>
    <w:p>
      <w:pPr>
        <w:spacing w:after="0" w:line="79"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Mr. Smith brings valuable experience to our board of directors, including his experience in the software industry and service as an executive and a director for publicly traded companies, where he has served on various committees and held leadership roles.</w:t>
      </w:r>
    </w:p>
    <w:p>
      <w:pPr>
        <w:spacing w:after="0" w:line="1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 xml:space="preserve">Kevin Thompson. </w:t>
      </w:r>
      <w:r>
        <w:rPr>
          <w:rFonts w:ascii="Arial" w:cs="Arial" w:eastAsia="Arial" w:hAnsi="Arial"/>
          <w:sz w:val="17"/>
          <w:szCs w:val="17"/>
          <w:color w:val="auto"/>
        </w:rPr>
        <w:t>Mr. Thompson has served as a member of our board of directors since October 2017. Since March 2010,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Thompson has served as President and Chief Executive Officer of SolarWinds Inc., an enterprise information technology infrastructure management software company, or SolarWinds, and has held several other positions since he joined SolarWinds in July 2006. Mr. Thompson has served as Chairman of the board of directors of SolarWinds since October 2018. Prior to joining SolarWinds, Mr. Thompson served as Chief Financial Officer of Surgient, Inc., a software company, as Senior Vice President and Chief Financial Officer of SAS Institute, a business intelligence software company, and as Executive Vice President and Chief Financial Officer of Red Hat, Inc., an enterprise software company. Currently, Mr. Thompson serves on the board of directors of Instructure, Inc., an educational technology company. Previously, Mr. Thompson served on the board of directors of Barracuda Networks, Inc., a data security and storage company, from September 2013 to June 2016, and the board of directors of NetSuite Inc., a business management software company, from September 2006 to November 2016. Mr. Thompson holds a B.B.A. from the University of Oklahoma.</w:t>
      </w:r>
    </w:p>
    <w:p>
      <w:pPr>
        <w:spacing w:after="0" w:line="7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Mr. Thompson is a valuable member of our board of directors, bringing extensive experience working with software and other technology companies.</w:t>
      </w:r>
    </w:p>
    <w:p>
      <w:pPr>
        <w:spacing w:after="0" w:line="62" w:lineRule="exact"/>
        <w:rPr>
          <w:sz w:val="20"/>
          <w:szCs w:val="20"/>
          <w:color w:val="auto"/>
        </w:rPr>
      </w:pPr>
    </w:p>
    <w:p>
      <w:pPr>
        <w:ind w:right="100" w:firstLine="360"/>
        <w:spacing w:after="0" w:line="253" w:lineRule="auto"/>
        <w:rPr>
          <w:sz w:val="20"/>
          <w:szCs w:val="20"/>
          <w:color w:val="auto"/>
        </w:rPr>
      </w:pPr>
      <w:r>
        <w:rPr>
          <w:rFonts w:ascii="Arial" w:cs="Arial" w:eastAsia="Arial" w:hAnsi="Arial"/>
          <w:sz w:val="18"/>
          <w:szCs w:val="18"/>
          <w:b w:val="1"/>
          <w:bCs w:val="1"/>
          <w:i w:val="1"/>
          <w:iCs w:val="1"/>
          <w:color w:val="auto"/>
        </w:rPr>
        <w:t xml:space="preserve">Sophia Velastegui. </w:t>
      </w:r>
      <w:r>
        <w:rPr>
          <w:rFonts w:ascii="Arial" w:cs="Arial" w:eastAsia="Arial" w:hAnsi="Arial"/>
          <w:sz w:val="18"/>
          <w:szCs w:val="18"/>
          <w:color w:val="auto"/>
        </w:rPr>
        <w:t>Ms. Velastegui has served as a member of our board of directors since March 2020. Ms. Velastegui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Chief Technology Officer for Operation Applications at Microsoft Corporation (or Microsoft), a technology company, since February 2020, and previously served as General Manager of Product, AI Products &amp; Search, and General Manager of Product, Knowledge Graph in the AI and Research Group at Microsoft since December 2017. Prior to joining Microsoft, Ms. Velastegui served as Chief Product Officer at Doppler Labs, an audio technology company, from April 2017 to September 2017. Prior to joining Doppler Labs, Ms. Velastegui worked at Nest Labs, Inc., a home automation specialist company, from July 2014 to April 2017, first as Lead for Silicon/Architecture Roadmap, then as Head of Silicon/Architecture Roadmap. Ms. Velastegui holds a B.S. in Mechanical Engineering from Georgia Institute of Technology, and an M.S. in Mechanical Engineering from the University of California at Berkeley.</w:t>
      </w:r>
    </w:p>
    <w:p>
      <w:pPr>
        <w:spacing w:after="0" w:line="88"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Ms. Velastegui is a valuable member of our board of directors, bringing extensive engineering and product development experience, as well as experience working with other technology companies.</w:t>
      </w:r>
    </w:p>
    <w:p>
      <w:pPr>
        <w:spacing w:after="0" w:line="62" w:lineRule="exact"/>
        <w:rPr>
          <w:sz w:val="20"/>
          <w:szCs w:val="20"/>
          <w:color w:val="auto"/>
        </w:rPr>
      </w:pPr>
    </w:p>
    <w:p>
      <w:pPr>
        <w:ind w:right="200" w:firstLine="360"/>
        <w:spacing w:after="0" w:line="271" w:lineRule="auto"/>
        <w:rPr>
          <w:sz w:val="20"/>
          <w:szCs w:val="20"/>
          <w:color w:val="auto"/>
        </w:rPr>
      </w:pPr>
      <w:r>
        <w:rPr>
          <w:rFonts w:ascii="Arial" w:cs="Arial" w:eastAsia="Arial" w:hAnsi="Arial"/>
          <w:sz w:val="17"/>
          <w:szCs w:val="17"/>
          <w:b w:val="1"/>
          <w:bCs w:val="1"/>
          <w:i w:val="1"/>
          <w:iCs w:val="1"/>
          <w:color w:val="auto"/>
        </w:rPr>
        <w:t xml:space="preserve">Mika Yamamoto. </w:t>
      </w:r>
      <w:r>
        <w:rPr>
          <w:rFonts w:ascii="Arial" w:cs="Arial" w:eastAsia="Arial" w:hAnsi="Arial"/>
          <w:sz w:val="17"/>
          <w:szCs w:val="17"/>
          <w:color w:val="auto"/>
        </w:rPr>
        <w:t>Ms. Yamamoto has served as a member of our board of directors since April 2019. Ms. Yamamoto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EVP, Chief Marketing and Customer Experience Officer at F5 Networks since May 2019. Ms. Yamamoto previously served as Global President, and subsequently Vice President/ GM of Marketo, an Adobe Company, from August 2018 to March 2019. From June 2016 to August 2018, Ms. Yamamoto worked at SAP, an enterprise business application company, first as Chief Marketing Officer and most recently as Chief Digital Marketing Officer. Prior to joining SAP, Ms. Yamamoto worked as Head of Marketing &amp; Merchandising at Amazon, a retail and cloud computing company, from October 2015 to May 2016. Prior to joining Amazon Ms. Yamamoto served as Growth Officer and Strategist at Drumroll from January 2013 to October 2015. Ms. Yamamoto holds a Bachelor of Commerce, Economics and Marketing from Queen’s University.</w:t>
      </w:r>
    </w:p>
    <w:p>
      <w:pPr>
        <w:spacing w:after="0" w:line="70"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Ms. Yamamoto brings more than 20 years of enterprise marketing experience and leadership experience in software companies to our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Not Continuing</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Mario Spanicciati. </w:t>
      </w:r>
      <w:r>
        <w:rPr>
          <w:rFonts w:ascii="Arial" w:cs="Arial" w:eastAsia="Arial" w:hAnsi="Arial"/>
          <w:sz w:val="18"/>
          <w:szCs w:val="18"/>
          <w:color w:val="auto"/>
        </w:rPr>
        <w:t>Mr. Spanicciati joined us in 2004, and has served as our Chief Strategy Officer since September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Mr. Spanicciati served as our Chief Marketing Officer from October 2016 to September 2018, and as our Executive Vice President and as our Chief Strategy Officer from August 2015 to October 2016. He has been a member of our board of directors since September 2013. Prior to joining us, Mr. Spanicciati served as an Analyst for Merrill Lynch’s Private Banking &amp; Investment Group, a division of Merrill Lynch that offers personalized wealth management products and services. Mr. Spanicciati holds a B.S. in Hotel Administration from Cornell University.</w:t>
      </w:r>
    </w:p>
    <w:p>
      <w:pPr>
        <w:spacing w:after="0" w:line="84"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Mr. Spanicciati is a valuable member of our board of directors, bringing important perspective and experience as our Chief Strategy Officer. We also believe that he brings historical knowledge, operational expertise and continuity to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and considering the relationships that each non-employee director has with our company and all other facts and circumstances our board of directors deemed relevant in determining their independence, our board of directors has determined that each of our directors, other than Ms. Tucker, and if elected, Mr. Huffman, is an “independent director” as defined under the rules of the NASDAQ Stock Market. In addition, our board of directors determined that Messrs. Ryan, Smith, and Thompson, who are members of our audit committee, satisfy the enhanced independence standards for audit committee members established by applicable SEC rules and the rules of the NASDAQ Stock Market. Our board of directors has determined that Messrs. Brennan, Thompson and Unterman, and Ms. Yamamoto, who are members of our compensation committee, satisfy the enhanced independence standards for compensation committee members established by applicable SEC rules and the rules of the NASDAQ Stock Market. Our board of directors has determined that Messrs. Brennan, Ryan, Smith and Unterman, who are members of our nominating and corporate governance committee, satisfy the independence standards for nominating and corporate governance committee members established by applicable SEC rules and the rules of the NASDAQ Stock Market.</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140" w:firstLine="360"/>
        <w:spacing w:after="0" w:line="254" w:lineRule="auto"/>
        <w:rPr>
          <w:sz w:val="20"/>
          <w:szCs w:val="20"/>
          <w:color w:val="auto"/>
        </w:rPr>
      </w:pPr>
      <w:r>
        <w:rPr>
          <w:rFonts w:ascii="Arial" w:cs="Arial" w:eastAsia="Arial" w:hAnsi="Arial"/>
          <w:sz w:val="18"/>
          <w:szCs w:val="18"/>
          <w:color w:val="auto"/>
        </w:rPr>
        <w:t>Our board of directors has adopted corporate governance guidelines that provide that one of our independent directors will serve as our lead independent director at any time when our Chief Executive Officer serves as the Chairman of the Board or if the Chairman is not otherwise independent. The lead independent director will be responsible for calling separate meetings of the independent directors, determining the agenda and serving as chair of meetings of independent directors, reporting to the Chief Executive Officer and Chairman of our board of directors regarding feedback from executive sessions, serving as spokesperson for the company as requested, and performing such other responsibilities as may be designated by a majority of the independent directors from time to time.</w:t>
      </w:r>
    </w:p>
    <w:p>
      <w:pPr>
        <w:spacing w:after="0" w:line="87"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color w:val="auto"/>
        </w:rPr>
        <w:t>Currently, the roles of Chief Executive Officer and Chairman are separate and Mr. Brennan, an independent director, serves as the Chairman of the Board. Our board of directors believes that having an independent director serve as the non-executive Chairman of the Board is the appropriate leadership structure for our company at this time because it allows our Chief Executive Officer to focus on executing our company’s strategic plan and managing our company’s operations and performance, while allowing the Chairman of the Board to focus on the effectiveness of the board and independent oversight of our senior management team.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risk management. Our board of directors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Our audit committee assists our board of directors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nominating and corporate governance committee assists our board of directors in fulfilling its oversight responsibilities with respect to risks relating to our corporate governance practices, the independence of the board of directors and potential conflicts of interest. Our compensation committee assesses risks relating to our executive compensation plans and arrangements, and whether our compensation policies and programs have the potential to encourage excessive risk taking.</w:t>
      </w:r>
    </w:p>
    <w:p>
      <w:pPr>
        <w:spacing w:after="0" w:line="60"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color w:val="auto"/>
        </w:rPr>
        <w:t>Our board of directors believes its current leadership structure supports the risk oversight function of the board. In particular, our board believes that our non-executive Chairman and our majority of independent directors provide a well-functioning and effective balance to the members of executive management on our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During our fiscal year ended December 31, 2019, our board of directors held five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We do not have a formal policy regarding attendance by members of our board of directors at annual meetings of stockholders, but we strongly encourage our directors to attend. All directors attended the 2019 annual meeting of stockholders.</w:t>
      </w:r>
    </w:p>
    <w:p>
      <w:pPr>
        <w:spacing w:after="0" w:line="70"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Our board of directors has established a standing audit committee, a standing compensation committee, and a standing nominating and corporate governance committee. Each of the committees has the composition and the responsibilities described below.</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audit committee currently consists of Messrs. Ryan, Smith, and Thompson, with Mr. Ryan serving as chairperson. Each of Messrs. Ryan, Smith, and Thompson is considered an “audit committee financial expert” as defined in Item 407(d)(5) of Regulation S-K promulgated under the Securities Act and all members of the audit committee are financially literate.</w:t>
      </w:r>
    </w:p>
    <w:p>
      <w:pPr>
        <w:spacing w:after="0" w:line="5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and our legal and regulatory compliance. Our audit committee also:</w:t>
      </w:r>
    </w:p>
    <w:p>
      <w:pPr>
        <w:spacing w:after="0" w:line="62" w:lineRule="exact"/>
        <w:rPr>
          <w:sz w:val="20"/>
          <w:szCs w:val="20"/>
          <w:color w:val="auto"/>
        </w:rPr>
      </w:pPr>
    </w:p>
    <w:p>
      <w:pPr>
        <w:ind w:left="700" w:right="80" w:hanging="344"/>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oversees the work of our independent registered public accounting firm (“independent auditors”) and our internal control functions;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our independent auditors;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scope of the annual audit;</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financial statements and reviews our critical accounting policies and estimates;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117" w:lineRule="exact"/>
        <w:rPr>
          <w:rFonts w:ascii="Arial" w:cs="Arial" w:eastAsia="Arial" w:hAnsi="Arial"/>
          <w:sz w:val="18"/>
          <w:szCs w:val="18"/>
          <w:color w:val="auto"/>
        </w:rPr>
      </w:pPr>
    </w:p>
    <w:p>
      <w:pPr>
        <w:ind w:left="700" w:right="280" w:hanging="344"/>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and discusses with management and our independent auditors the results of our annual audit and our quarterly financial statements;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oversees our liquidity needs and borrowing requirements;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investment policy and performance;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our risk assessment and risk management processes;</w:t>
      </w:r>
    </w:p>
    <w:p>
      <w:pPr>
        <w:spacing w:after="0" w:line="117" w:lineRule="exact"/>
        <w:rPr>
          <w:rFonts w:ascii="Arial" w:cs="Arial" w:eastAsia="Arial" w:hAnsi="Arial"/>
          <w:sz w:val="18"/>
          <w:szCs w:val="18"/>
          <w:color w:val="auto"/>
        </w:rPr>
      </w:pPr>
    </w:p>
    <w:p>
      <w:pPr>
        <w:ind w:left="700" w:right="120" w:hanging="344"/>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procedures for receiving, retaining and investigating complaints received by us regarding accounting, internal accounting controls or audit matters; and</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approves related party transactions under Item 404 of Regulation S-K.</w:t>
      </w:r>
    </w:p>
    <w:p>
      <w:pPr>
        <w:spacing w:after="0" w:line="117" w:lineRule="exact"/>
        <w:rPr>
          <w:sz w:val="20"/>
          <w:szCs w:val="20"/>
          <w:color w:val="auto"/>
        </w:rPr>
      </w:pPr>
    </w:p>
    <w:p>
      <w:pPr>
        <w:jc w:val="both"/>
        <w:ind w:right="60" w:firstLine="360"/>
        <w:spacing w:after="0" w:line="263" w:lineRule="auto"/>
        <w:rPr>
          <w:sz w:val="20"/>
          <w:szCs w:val="20"/>
          <w:color w:val="auto"/>
        </w:rPr>
      </w:pPr>
      <w:r>
        <w:rPr>
          <w:rFonts w:ascii="Arial" w:cs="Arial" w:eastAsia="Arial" w:hAnsi="Arial"/>
          <w:sz w:val="18"/>
          <w:szCs w:val="18"/>
          <w:color w:val="auto"/>
        </w:rPr>
        <w:t>Our audit committee operates under a written charter approved by our board of directors and that satisfies the applicable rules and regulations of the SEC and the NASDAQ listing rules. The charter is available on our website at http://investors.blackline.com. Our audit committee held seven meetings during 2019.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right="100" w:firstLine="360"/>
        <w:spacing w:after="0" w:line="263" w:lineRule="auto"/>
        <w:rPr>
          <w:sz w:val="20"/>
          <w:szCs w:val="20"/>
          <w:color w:val="auto"/>
        </w:rPr>
      </w:pPr>
      <w:r>
        <w:rPr>
          <w:rFonts w:ascii="Arial" w:cs="Arial" w:eastAsia="Arial" w:hAnsi="Arial"/>
          <w:sz w:val="18"/>
          <w:szCs w:val="18"/>
          <w:color w:val="auto"/>
        </w:rPr>
        <w:t>Our compensation committee currently consists of Messrs. Brennan, Thompson, and Unterman, and Ms. Yamamoto, with Mr. Brennan serving as the chairperson. Ms. Yamamoto joined our compensation committee effective April 1, 2019, and Mr. Unterman joined our compensation committee effective May 8, 2019.</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oversees our corporate compensation programs. Our compensation committee also:</w:t>
      </w:r>
    </w:p>
    <w:p>
      <w:pPr>
        <w:spacing w:after="0" w:line="117" w:lineRule="exact"/>
        <w:rPr>
          <w:sz w:val="20"/>
          <w:szCs w:val="20"/>
          <w:color w:val="auto"/>
        </w:rPr>
      </w:pPr>
    </w:p>
    <w:p>
      <w:pPr>
        <w:ind w:left="700" w:hanging="34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recommends policies relating to compensation and benefits of our officers and employees;</w:t>
      </w:r>
    </w:p>
    <w:p>
      <w:pPr>
        <w:spacing w:after="0" w:line="117"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performance of our officers in light of established goals and objectives;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recommends compensation of our officers based on its evaluations;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administers our equity compensation plans;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recommendations regarding non-employee director compensation to the full board of directors.</w:t>
      </w:r>
    </w:p>
    <w:p>
      <w:pPr>
        <w:spacing w:after="0" w:line="117" w:lineRule="exact"/>
        <w:rPr>
          <w:sz w:val="20"/>
          <w:szCs w:val="20"/>
          <w:color w:val="auto"/>
        </w:rPr>
      </w:pPr>
    </w:p>
    <w:p>
      <w:pPr>
        <w:ind w:right="660" w:firstLine="360"/>
        <w:spacing w:after="0" w:line="263" w:lineRule="auto"/>
        <w:rPr>
          <w:sz w:val="20"/>
          <w:szCs w:val="20"/>
          <w:color w:val="auto"/>
        </w:rPr>
      </w:pPr>
      <w:r>
        <w:rPr>
          <w:rFonts w:ascii="Arial" w:cs="Arial" w:eastAsia="Arial" w:hAnsi="Arial"/>
          <w:sz w:val="18"/>
          <w:szCs w:val="18"/>
          <w:color w:val="auto"/>
        </w:rPr>
        <w:t>Our compensation committee operates under a written charter approved by our board of directors and that satisfies the applicable rules and regulations of the SEC and the NASDAQ listing rules. The charter is available on our website at http://investors.blackline.com. Our compensation committee held four meetings during 2019.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Our nominating and corporate governance committee currently consists of Messrs. Brennan, Ryan, Smith, and Unterman, with Mr. Unterman serving as the chairperson. Messrs. Ryan and Smith joined our nominating and corporate governance committee effective May 8, 2019.</w:t>
      </w:r>
    </w:p>
    <w:p>
      <w:pPr>
        <w:spacing w:after="0" w:line="76" w:lineRule="exact"/>
        <w:rPr>
          <w:sz w:val="20"/>
          <w:szCs w:val="20"/>
          <w:color w:val="auto"/>
        </w:rPr>
      </w:pPr>
    </w:p>
    <w:p>
      <w:pPr>
        <w:ind w:right="980" w:firstLine="360"/>
        <w:spacing w:after="0" w:line="342" w:lineRule="auto"/>
        <w:rPr>
          <w:sz w:val="20"/>
          <w:szCs w:val="20"/>
          <w:color w:val="auto"/>
        </w:rPr>
      </w:pPr>
      <w:r>
        <w:rPr>
          <w:rFonts w:ascii="Arial" w:cs="Arial" w:eastAsia="Arial" w:hAnsi="Arial"/>
          <w:sz w:val="16"/>
          <w:szCs w:val="16"/>
          <w:color w:val="auto"/>
        </w:rPr>
        <w:t>Our nominating and corporate governance committee oversees and assists our board of directors in reviewing and recommending nominees for election as directors. Our nominating and corporate governance committee also:</w:t>
      </w:r>
    </w:p>
    <w:p>
      <w:pPr>
        <w:spacing w:after="0" w:line="16" w:lineRule="exact"/>
        <w:rPr>
          <w:sz w:val="20"/>
          <w:szCs w:val="20"/>
          <w:color w:val="auto"/>
        </w:rPr>
      </w:pPr>
    </w:p>
    <w:p>
      <w:pPr>
        <w:ind w:left="700" w:right="600" w:hanging="344"/>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and makes recommendations regarding the organization and governance of the board of directors and its committees;</w:t>
      </w:r>
    </w:p>
    <w:p>
      <w:pPr>
        <w:spacing w:after="0" w:line="62" w:lineRule="exact"/>
        <w:rPr>
          <w:rFonts w:ascii="Arial" w:cs="Arial" w:eastAsia="Arial" w:hAnsi="Arial"/>
          <w:sz w:val="18"/>
          <w:szCs w:val="18"/>
          <w:color w:val="auto"/>
        </w:rPr>
      </w:pPr>
    </w:p>
    <w:p>
      <w:pPr>
        <w:ind w:left="700" w:right="360" w:hanging="344"/>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assesses the performance of members of the board of directors and makes recommendations regarding committee and chair assignments;</w:t>
      </w:r>
    </w:p>
    <w:p>
      <w:pPr>
        <w:spacing w:after="0" w:line="62" w:lineRule="exact"/>
        <w:rPr>
          <w:rFonts w:ascii="Arial" w:cs="Arial" w:eastAsia="Arial" w:hAnsi="Arial"/>
          <w:sz w:val="18"/>
          <w:szCs w:val="18"/>
          <w:color w:val="auto"/>
        </w:rPr>
      </w:pPr>
    </w:p>
    <w:p>
      <w:pPr>
        <w:ind w:left="700" w:right="80" w:hanging="344"/>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recommends desired qualifications for board of directors membership and conducts searches for potential members of the board of directors;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approves our committee charters;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compliance with our code of business conduct and ethics;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contributes to succession planning;</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actual and potential conflicts of interest of our directors and officers other than related party transactions reviewed by our audit committee; and</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the board self-evaluation process.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firstLine="360"/>
        <w:spacing w:after="0" w:line="311" w:lineRule="auto"/>
        <w:rPr>
          <w:sz w:val="20"/>
          <w:szCs w:val="20"/>
          <w:color w:val="auto"/>
        </w:rPr>
      </w:pPr>
      <w:r>
        <w:rPr>
          <w:rFonts w:ascii="Arial" w:cs="Arial" w:eastAsia="Arial" w:hAnsi="Arial"/>
          <w:sz w:val="16"/>
          <w:szCs w:val="16"/>
          <w:color w:val="auto"/>
        </w:rPr>
        <w:t>Our nominating and corporate governance committee operates under a written charter approved by our board of directors and that satisfies the applicable rules and regulations of the SEC and the NASDAQ listing rules. The charter is available on our website at http://investors.blackline.com. Our nominating and corporate governance committee held five meetings in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360"/>
        <w:spacing w:after="0" w:line="275" w:lineRule="auto"/>
        <w:rPr>
          <w:sz w:val="20"/>
          <w:szCs w:val="20"/>
          <w:color w:val="auto"/>
        </w:rPr>
      </w:pPr>
      <w:r>
        <w:rPr>
          <w:rFonts w:ascii="Arial" w:cs="Arial" w:eastAsia="Arial" w:hAnsi="Arial"/>
          <w:sz w:val="17"/>
          <w:szCs w:val="17"/>
          <w:color w:val="auto"/>
        </w:rPr>
        <w:t>During 2019, our compensation committee was comprised of Messrs. Brennan, Thompson, and Unterman, effective as of May 8, 2019, and Ms. Yamamoto, effective as of April 1, 2019. Mr. Brennan is the chairperson of our compensation committee. 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its evaluation of director candidates, including the members of the board of directors eligible for re-election, our nominating and corporate governance committee considers the current size and composition of the board, the needs of the board and its respective committees, the directors nominated or designated in accordance with the Stockholders’ Agreement, and the desired board qualifications, expertise and characteristics, including such factors as business experience and diversity. While we do not have a formal policy with respect to diversity, our nominating and corporate governance committee may consider such factors as differences in professional background, education, skill, race, ethnicity, gender, age and other individual characteristics, qualities and attributes that contribute to the total mix of viewpoints and experience represented on the board of directors. Our board of directors is committed to seeking out highly qualified women and individuals from minority groups and diverse backgrounds. Our nominating and corporate governance committee has, from time to time, engaged an executive search firm to assist in identifying and recruiting potential candidates for membership on our board of directors.</w:t>
      </w:r>
    </w:p>
    <w:p>
      <w:pPr>
        <w:spacing w:after="0" w:line="77"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Our nominating and corporate governance committee evaluates each individual in the context of the membership of the board of directors as a group, with the objective of having a group that can best perpetuate the success of the business and represent stockholder interests through the exercise of sound judgment using its diversity of background and experience in the various areas. Each director should be an individual of high character and integrity. The board of directors annually evaluates the performance of the board of directors and its committees. Our nominating and corporate governance committee reviews the self-assessment questionnaires to evaluate the performance of individual members. In determining whether to recommend a director for re-election, our nominating and corporate governance committee also considers the director’s past attendance at meetings, participation in and contributions to the activities of the board of directors and the company and other qualifications and characteristics determined by the board of directors. Each director must ensure that other existing and anticipated future commitments do not materially interfere with his or her service as a director.</w:t>
      </w:r>
    </w:p>
    <w:p>
      <w:pPr>
        <w:spacing w:after="0" w:line="77" w:lineRule="exact"/>
        <w:rPr>
          <w:sz w:val="20"/>
          <w:szCs w:val="20"/>
          <w:color w:val="auto"/>
        </w:rPr>
      </w:pPr>
    </w:p>
    <w:p>
      <w:pPr>
        <w:ind w:right="420" w:firstLine="360"/>
        <w:spacing w:after="0" w:line="311" w:lineRule="auto"/>
        <w:rPr>
          <w:sz w:val="20"/>
          <w:szCs w:val="20"/>
          <w:color w:val="auto"/>
        </w:rPr>
      </w:pPr>
      <w:r>
        <w:rPr>
          <w:rFonts w:ascii="Arial" w:cs="Arial" w:eastAsia="Arial" w:hAnsi="Arial"/>
          <w:sz w:val="16"/>
          <w:szCs w:val="16"/>
          <w:color w:val="auto"/>
        </w:rPr>
        <w:t>After completing their review and evaluation of director candidates, in accordance with the rules of the NASDAQ Stock Market, our nominating and corporate governance committee will recommend a director nominee for selection by our board of directors. Our board has the final authority in determining the selection of director candidates for nomination to our board.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Our Board</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 stockholder that wants to recommend a candidate for election to the board should direct the recommendation in writing by letter to the company, attention of our Chief Legal and Administrative Officer at BlackLine, Inc., 21300 Victory Boulevard, 12th Floor, Woodland Hills, California 91367. Such recommendation should include the candidate’s name, home and business contact information, detailed biographical data and relevant qualifications, a signed letter from the candidate confirming willingness to serve, information regarding any relationships between us and the candidate, and evidence of the recommending stockholder’s ownership of our stock. Such recommendation should also include a statement from the recommending stockholder in support of the candidate, particularly within the context of the criteria for board membership. We do not have a formal policy regarding the consideration of director candidates recommended by stockholders, but subject to the foregoing, our independent directors will consider candidates recommended by stockholders in the same manner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candidates recommended from other sources. Our independent directors have discretion to decide which individuals to recommend for nomination as directors. Our board has the final authority in determining the selection of director candidates for nomination to our board. A stockholder that wants to nominate a person directly for election to the board at an annual meeting of the stockholders must meet the deadlines and other requirements set forth in our amended and restated bylaws and the rules and regulations of the SEC. Any nomination should be sent in writing to BlackLine, Inc., 21300 Victory Boulevard, 12th Floor, Woodland Hills, California 91367, Attention: Corporate Secretary. To be timely for our 2021 annual meeting of stockholders, our corporate secretary must receive the nomination no earlier than January 8, 2021 and no later than February 7, 2021. Please see the section entitled “</w:t>
      </w:r>
      <w:r>
        <w:rPr>
          <w:rFonts w:ascii="Arial" w:cs="Arial" w:eastAsia="Arial" w:hAnsi="Arial"/>
          <w:sz w:val="16"/>
          <w:szCs w:val="16"/>
          <w:i w:val="1"/>
          <w:iCs w:val="1"/>
          <w:color w:val="auto"/>
        </w:rPr>
        <w:t>Stockholder Proposal Deadlines for 2021 Annual Meeting</w:t>
      </w:r>
      <w:r>
        <w:rPr>
          <w:rFonts w:ascii="Arial" w:cs="Arial" w:eastAsia="Arial" w:hAnsi="Arial"/>
          <w:sz w:val="16"/>
          <w:szCs w:val="16"/>
          <w:color w:val="auto"/>
        </w:rPr>
        <w:t>” in this proxy statement for more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right="40" w:firstLine="360"/>
        <w:spacing w:after="0" w:line="301" w:lineRule="auto"/>
        <w:rPr>
          <w:sz w:val="20"/>
          <w:szCs w:val="20"/>
          <w:color w:val="auto"/>
        </w:rPr>
      </w:pPr>
      <w:r>
        <w:rPr>
          <w:rFonts w:ascii="Arial" w:cs="Arial" w:eastAsia="Arial" w:hAnsi="Arial"/>
          <w:sz w:val="16"/>
          <w:szCs w:val="16"/>
          <w:color w:val="auto"/>
        </w:rPr>
        <w:t>In cases where stockholders wish to communicate directly with our non-management directors, messages can be sent to our Chief Legal and Administrative Officer at BlackLine, Inc., 21300 Victory Boulevard, 12th Floor, Woodland Hills, California 91367. Our Chief Legal and Administrative Officer will, in consultation with appropriate directors as necessary, review incoming stockholder communications and decide whether a response to any stockholder or interested party communication is necessary.</w:t>
      </w:r>
    </w:p>
    <w:p>
      <w:pPr>
        <w:spacing w:after="0" w:line="4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This procedure does not apply to (i) communications to non-management directors from our officers or directors who are stockholders or (ii) stockholder proposals submitted pursuant to Rule 14a-8 under the Securities Exchange Act of 1934, as amended, or the Exchange Act, which are discussed further in the section entitled “</w:t>
      </w:r>
      <w:r>
        <w:rPr>
          <w:rFonts w:ascii="Arial" w:cs="Arial" w:eastAsia="Arial" w:hAnsi="Arial"/>
          <w:sz w:val="18"/>
          <w:szCs w:val="18"/>
          <w:i w:val="1"/>
          <w:iCs w:val="1"/>
          <w:color w:val="auto"/>
        </w:rPr>
        <w:t>Stockholder Proposal Deadlines for 2021 Annual Meeting”</w:t>
      </w:r>
      <w:r>
        <w:rPr>
          <w:rFonts w:ascii="Arial" w:cs="Arial" w:eastAsia="Arial" w:hAnsi="Arial"/>
          <w:sz w:val="18"/>
          <w:szCs w:val="18"/>
          <w:color w:val="auto"/>
        </w:rPr>
        <w:t xml:space="preserve">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Our board of directors has adopted a written code of business conduct and ethics that applies to all of our employees, officers and directors, including our chief executive officer, chief financial officer, and other executive and senior financial officers. The full text of our code of business conduct and ethics is available on the corporate governance section of our website, which is located at http://investors.blackline.com. We intend to disclose any amendments to our code of business conduct and ethics, or waivers of its requirements, on our website or in filings under the Exchange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21"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In February 2020, the compensation committee and the nominating and corporate governance committee recommended, and our board of directors approved, stock ownership guidelines for our directors. Under these guidelines, each director is expected to attain minimum levels of stock ownership equal to 4x the director’s annual cash retainer for service on our board of directors (not including any additional fees received for committee service or serving as a chair of a committee). For purposes of this requirement, shares counted toward these guidelines include any shares outright and in-the-money value of vested but unexercised stock options. The value for purposes of satisfying this requirement is the 90-day trailing average of the closing price of our common stock as of the last trading day of the fiscal year prior to the compliance date. Directors have until the later of February 2025 or, if applicable, the fifth anniversary of the date they join our board of directors to attain the requisite level of ownership. If a director does not achieve the minimum level of ownership by the director’s compliance date, then 50% of the after-tax value of the director’s exercised options or vested RSUs will be retained until the minimum level of ownership for the director is met.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BlackLine recognizes the importance of a thoughtful approach to corporate citizenship and sustainability. As we continue to develop our strategies and practices in these areas, we are also committed to maintaining and improving our current programs, including:</w:t>
      </w:r>
    </w:p>
    <w:p>
      <w:pPr>
        <w:spacing w:after="0" w:line="12" w:lineRule="exact"/>
        <w:rPr>
          <w:sz w:val="20"/>
          <w:szCs w:val="20"/>
          <w:color w:val="auto"/>
        </w:rPr>
      </w:pPr>
    </w:p>
    <w:p>
      <w:pPr>
        <w:ind w:left="700" w:hanging="344"/>
        <w:spacing w:after="0" w:line="26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Community Responsibility. </w:t>
      </w:r>
      <w:r>
        <w:rPr>
          <w:rFonts w:ascii="Arial" w:cs="Arial" w:eastAsia="Arial" w:hAnsi="Arial"/>
          <w:sz w:val="18"/>
          <w:szCs w:val="18"/>
          <w:color w:val="auto"/>
        </w:rPr>
        <w:t>We drive social good through our commitment to responsible corporate citizenship across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communities where we operate. Through our annual Giving Back Day, our employees volunteer in support of causes that improve lives in our local communities.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344"/>
        <w:spacing w:after="0" w:line="282"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Responsibility. </w:t>
      </w:r>
      <w:r>
        <w:rPr>
          <w:rFonts w:ascii="Arial" w:cs="Arial" w:eastAsia="Arial" w:hAnsi="Arial"/>
          <w:sz w:val="18"/>
          <w:szCs w:val="18"/>
          <w:color w:val="auto"/>
        </w:rPr>
        <w:t>We work to reduce the environmental impact of our operations through our sustainability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including:</w:t>
      </w:r>
    </w:p>
    <w:p>
      <w:pPr>
        <w:sectPr>
          <w:pgSz w:w="11900" w:h="16838" w:orient="portrait"/>
          <w:cols w:equalWidth="0" w:num="1">
            <w:col w:w="9480"/>
          </w:cols>
          <w:pgMar w:left="1160" w:top="279" w:right="1259" w:bottom="1440" w:gutter="0" w:footer="0" w:header="0"/>
        </w:sectPr>
      </w:pPr>
    </w:p>
    <w:p>
      <w:pPr>
        <w:spacing w:after="0" w:line="62"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Reducing waste by providing reusable containers to our employees, and beverages on tap in select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Facilitating electric vehicle use by providing electric vehicle charging stations in select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Donating select used hardware to area schools, upon approval by our Information Security team.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Reducing air travel by encouraging teleconferencing.</w:t>
      </w:r>
    </w:p>
    <w:p>
      <w:pPr>
        <w:spacing w:after="0" w:line="117" w:lineRule="exact"/>
        <w:rPr>
          <w:sz w:val="20"/>
          <w:szCs w:val="20"/>
          <w:color w:val="auto"/>
        </w:rPr>
      </w:pPr>
    </w:p>
    <w:p>
      <w:pPr>
        <w:sectPr>
          <w:pgSz w:w="11900" w:h="16838" w:orient="portrait"/>
          <w:cols w:equalWidth="0" w:num="2">
            <w:col w:w="780" w:space="300"/>
            <w:col w:w="8400"/>
          </w:cols>
          <w:pgMar w:left="1160" w:top="279" w:right="1259" w:bottom="1440" w:gutter="0" w:footer="0" w:header="0"/>
          <w:type w:val="continuous"/>
        </w:sectPr>
      </w:pPr>
    </w:p>
    <w:p>
      <w:pPr>
        <w:ind w:left="720" w:right="340"/>
        <w:spacing w:after="0" w:line="277" w:lineRule="auto"/>
        <w:rPr>
          <w:sz w:val="20"/>
          <w:szCs w:val="20"/>
          <w:color w:val="auto"/>
        </w:rPr>
      </w:pPr>
      <w:r>
        <w:rPr>
          <w:rFonts w:ascii="Arial" w:cs="Arial" w:eastAsia="Arial" w:hAnsi="Arial"/>
          <w:sz w:val="18"/>
          <w:szCs w:val="18"/>
          <w:color w:val="auto"/>
        </w:rPr>
        <w:t>BlackLine’s products also have a positive environmental impact by allowing our clients to automate their accounting processes, thus potentially reducing the need for voluminous printed financial materials.</w:t>
      </w:r>
    </w:p>
    <w:p>
      <w:pPr>
        <w:spacing w:after="0" w:line="58" w:lineRule="exact"/>
        <w:rPr>
          <w:sz w:val="20"/>
          <w:szCs w:val="20"/>
          <w:color w:val="auto"/>
        </w:rPr>
      </w:pPr>
    </w:p>
    <w:p>
      <w:pPr>
        <w:ind w:left="700" w:right="20" w:hanging="344"/>
        <w:spacing w:after="0" w:line="274"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Social Responsibility. </w:t>
      </w:r>
      <w:r>
        <w:rPr>
          <w:rFonts w:ascii="Arial" w:cs="Arial" w:eastAsia="Arial" w:hAnsi="Arial"/>
          <w:sz w:val="17"/>
          <w:szCs w:val="17"/>
          <w:color w:val="auto"/>
        </w:rPr>
        <w:t>Inclusion and diversity are key to our success, and we seek employees who bring diverse</w:t>
      </w:r>
      <w:r>
        <w:rPr>
          <w:rFonts w:ascii="Arial" w:cs="Arial" w:eastAsia="Arial" w:hAnsi="Arial"/>
          <w:sz w:val="17"/>
          <w:szCs w:val="17"/>
          <w:b w:val="1"/>
          <w:bCs w:val="1"/>
          <w:color w:val="auto"/>
        </w:rPr>
        <w:t xml:space="preserve"> </w:t>
      </w:r>
      <w:r>
        <w:rPr>
          <w:rFonts w:ascii="Arial" w:cs="Arial" w:eastAsia="Arial" w:hAnsi="Arial"/>
          <w:sz w:val="17"/>
          <w:szCs w:val="17"/>
          <w:color w:val="auto"/>
        </w:rPr>
        <w:t>backgrounds, experiences, and perspectives to our “Think, Create, Serve” ethos. We prohibit discrimination and any form of harassment. We treat all of our employees with respect and dignity and require our employees to conduct themselves similarly. We also ensure that our workplaces are both safe and healthy, in compliance with all applicable local laws and regulations in each of our countries of operation. We continue to evaluate and refine our practices and policies to promote a culture that fosters diversity and equality.</w:t>
      </w:r>
    </w:p>
    <w:p>
      <w:pPr>
        <w:spacing w:after="0" w:line="65" w:lineRule="exact"/>
        <w:rPr>
          <w:rFonts w:ascii="Arial" w:cs="Arial" w:eastAsia="Arial" w:hAnsi="Arial"/>
          <w:sz w:val="17"/>
          <w:szCs w:val="17"/>
          <w:color w:val="auto"/>
        </w:rPr>
      </w:pPr>
    </w:p>
    <w:p>
      <w:pPr>
        <w:ind w:left="700" w:right="540" w:hanging="344"/>
        <w:spacing w:after="0" w:line="282"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Laws. </w:t>
      </w:r>
      <w:r>
        <w:rPr>
          <w:rFonts w:ascii="Arial" w:cs="Arial" w:eastAsia="Arial" w:hAnsi="Arial"/>
          <w:sz w:val="18"/>
          <w:szCs w:val="18"/>
          <w:color w:val="auto"/>
        </w:rPr>
        <w:t>BlackLine is committed to complying with all applicable employment, human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and regulations in all locations where it conducts business.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board of directors adopted our Outside Director Compensation Policy in connection with our initial public offering. Members of our board of directors who are not employees are eligible for compensation under our Outside Director Compensation Policy. Accordingly, neither Ms. Tucker nor, if elected, Mr. Huffman, each an executive officer of BlackLine, is eligible for awards under our Outside Director Compensation Policy.</w:t>
      </w:r>
    </w:p>
    <w:p>
      <w:pPr>
        <w:spacing w:after="0" w:line="7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 Outside Director Compensation Policy was developed in consultation with Compensia, Inc., an independent compensation consulting firm, or Compensia. Compensia provided recommendations and competitive non-employee director compensation data and analyses. Our board of directors considered and discussed these recommendations and data, and considered the specific duties and committee responsibilities of particular directors. Our board of directors adopted Compensia’s recommendations when it approved our Outside Director Compensation Policy, which we believe provides our non-employee directors with reasonable and appropriate compensation that is commensurate with the services they provide and competitive with compensation paid by our peer group companies to their non-employee directors.</w:t>
      </w:r>
    </w:p>
    <w:p>
      <w:pPr>
        <w:spacing w:after="0" w:line="6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compensation committee periodically reviews the type and form of compensation paid to our non-employee directors, which includes a market assessment and analysis by Compensia. As part of this analysis, Compensia reviews non-employee director compensation trends and data from companies comprising the same executive compensation peer group used by the compensation committee in connection with its review of executive compensation.</w:t>
      </w:r>
    </w:p>
    <w:p>
      <w:pPr>
        <w:spacing w:after="0" w:line="63" w:lineRule="exact"/>
        <w:rPr>
          <w:sz w:val="20"/>
          <w:szCs w:val="20"/>
          <w:color w:val="auto"/>
        </w:rPr>
      </w:pPr>
    </w:p>
    <w:p>
      <w:pPr>
        <w:ind w:right="880" w:firstLine="360"/>
        <w:spacing w:after="0" w:line="277" w:lineRule="auto"/>
        <w:rPr>
          <w:sz w:val="20"/>
          <w:szCs w:val="20"/>
          <w:color w:val="auto"/>
        </w:rPr>
      </w:pPr>
      <w:r>
        <w:rPr>
          <w:rFonts w:ascii="Arial" w:cs="Arial" w:eastAsia="Arial" w:hAnsi="Arial"/>
          <w:sz w:val="18"/>
          <w:szCs w:val="18"/>
          <w:color w:val="auto"/>
        </w:rPr>
        <w:t>Under our Outside Director Compensation Policy as in effect for fiscal year 2019, non-employee directors received compensation in the form of equity and cash, as described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During fiscal year 2019, each non-employee director was eligible to receive the following annual cash retainers for certain board and/or committee service according to our Outside Director Compensation Policy: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$40,000 per year for service as a board member;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$20,000 per year additionally for service as chair of the audit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$8,000 per year additionally for service on the audit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$12,000 per year additionally for service as chair of the compensation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$5,000 per year additionally for service on the compensation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$8,000 per year additionally for service as chair of the nominating and corporate governance committee; and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$4,000 per year additionally for service on the nominating and corporate governance committee.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cash payments to non-employee directors are paid quarterly in arrears on a prorated basis.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Non-employee directors are eligible to receive all types of equity awards (except incentive stock options) under our 2016 Equity Incentive Plan, or the 2016 Plan, (or the applicable equity plan in place at the time of grant) including discretionary awards not covered under our Outside Director Compensation Policy. All grants of awards under our Outside Director Compensation Policy will be automatic and nondiscretionary.</w:t>
      </w:r>
    </w:p>
    <w:p>
      <w:pPr>
        <w:spacing w:after="0" w:line="75"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b w:val="1"/>
          <w:bCs w:val="1"/>
          <w:color w:val="auto"/>
        </w:rPr>
        <w:t xml:space="preserve">Initial Award. </w:t>
      </w:r>
      <w:r>
        <w:rPr>
          <w:rFonts w:ascii="Arial" w:cs="Arial" w:eastAsia="Arial" w:hAnsi="Arial"/>
          <w:sz w:val="16"/>
          <w:szCs w:val="16"/>
          <w:color w:val="auto"/>
        </w:rPr>
        <w:t>During fiscal year 2019, upon joining our board, each newly-elected non-employee director received an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award having a grant date fair value equal to $185,000 multiplied by a fraction, (1) the numerator of which is (x) 12 minus</w:t>
      </w:r>
    </w:p>
    <w:p>
      <w:pPr>
        <w:spacing w:after="0" w:line="1" w:lineRule="exact"/>
        <w:rPr>
          <w:sz w:val="20"/>
          <w:szCs w:val="20"/>
          <w:color w:val="auto"/>
        </w:rPr>
      </w:pPr>
    </w:p>
    <w:p>
      <w:pPr>
        <w:ind w:right="20" w:firstLine="5"/>
        <w:spacing w:after="0" w:line="292"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full months between the date of the last annual meeting of stockholders and the date the individual becomes a member of the board and (2) the denominator of which is 12, (rounded to the nearest whole share), or the Initial Award. The Initial Award was comprised of stock options and restricted stock units, or RSUs, each having a value of 50% of the aggregate value of the Initial Award. The Outside Director Compensation Policy was subsequently amended to provide the Initial Award solely in the form of RSUs. The Initial Award is granted on the date on which such person first becomes a non-employee director.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terms of the policy, the Initial Award vests as to 100% of the shares subject thereto upon the earlier of the one-year anniversary of the grant date or the day prior to our next annual meeting of stockholders, subject to the individual’s continued service through the applicable vesting date. A director who is an employee who ceases to be an employee director but who remains a director will not receive an Initial Award.</w:t>
      </w:r>
    </w:p>
    <w:p>
      <w:pPr>
        <w:spacing w:after="0" w:line="75" w:lineRule="exact"/>
        <w:rPr>
          <w:sz w:val="20"/>
          <w:szCs w:val="20"/>
          <w:color w:val="auto"/>
        </w:rPr>
      </w:pPr>
    </w:p>
    <w:p>
      <w:pPr>
        <w:ind w:right="40" w:firstLine="360"/>
        <w:spacing w:after="0" w:line="298" w:lineRule="auto"/>
        <w:rPr>
          <w:sz w:val="20"/>
          <w:szCs w:val="20"/>
          <w:color w:val="auto"/>
        </w:rPr>
      </w:pPr>
      <w:r>
        <w:rPr>
          <w:rFonts w:ascii="Arial" w:cs="Arial" w:eastAsia="Arial" w:hAnsi="Arial"/>
          <w:sz w:val="16"/>
          <w:szCs w:val="16"/>
          <w:b w:val="1"/>
          <w:bCs w:val="1"/>
          <w:color w:val="auto"/>
        </w:rPr>
        <w:t xml:space="preserve">Annual Award. </w:t>
      </w:r>
      <w:r>
        <w:rPr>
          <w:rFonts w:ascii="Arial" w:cs="Arial" w:eastAsia="Arial" w:hAnsi="Arial"/>
          <w:sz w:val="16"/>
          <w:szCs w:val="16"/>
          <w:color w:val="auto"/>
        </w:rPr>
        <w:t>On the date of our annual meeting of our stockholders, each non-employee director automatically was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an equity award having a grant date value equal to $185,000, or the Annual Award subject to such individual continuing to be an outside director. The Annual Award was comprised of RSUs. Subject to the terms of the policy, each Annual Award vests as to 100% of the shares subject thereto upon the earlier of the one-year anniversary of the grant date or the day prior to our next annual meeting occurring after the grant date, subject to the individual’s continued service through the applicable vesting date.</w:t>
      </w:r>
    </w:p>
    <w:p>
      <w:pPr>
        <w:spacing w:after="0" w:line="5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grant date value of all equity awards granted under our Outside Director Compensation Policy is determined in accordance with accounting principles generally accepted in the United States of America.</w:t>
      </w:r>
    </w:p>
    <w:p>
      <w:pPr>
        <w:spacing w:after="0" w:line="62" w:lineRule="exact"/>
        <w:rPr>
          <w:sz w:val="20"/>
          <w:szCs w:val="20"/>
          <w:color w:val="auto"/>
        </w:rPr>
      </w:pPr>
    </w:p>
    <w:p>
      <w:pPr>
        <w:ind w:right="460" w:firstLine="360"/>
        <w:spacing w:after="0" w:line="308" w:lineRule="auto"/>
        <w:rPr>
          <w:sz w:val="20"/>
          <w:szCs w:val="20"/>
          <w:color w:val="auto"/>
        </w:rPr>
      </w:pPr>
      <w:r>
        <w:rPr>
          <w:rFonts w:ascii="Arial" w:cs="Arial" w:eastAsia="Arial" w:hAnsi="Arial"/>
          <w:sz w:val="17"/>
          <w:szCs w:val="17"/>
          <w:color w:val="auto"/>
        </w:rPr>
        <w:t>Any award granted under our Outside Director Compensation Policy will fully vest in the event of a change in control, as defined in our 2016 Plan, provided that the individual remains a director through such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21"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The following table provides information regarding compensation of our non-employee directors for service as directors, for the year ended December 31, 2019. In the fiscal year ended December 31, 2019, our non-employee director affiliated with Iconiq did not receive compensation for his service as a director, and our non-employee directors affiliated with Silver Lake Sumeru only received compensation for their service as directors in the fourth quarter of 2019. Each outside director’s reasonable, customary and properly documented travel expenses to attend board meetings is reimbursed by the company.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400"/>
              <w:spacing w:after="0" w:line="145" w:lineRule="exact"/>
              <w:rPr>
                <w:sz w:val="20"/>
                <w:szCs w:val="20"/>
                <w:color w:val="auto"/>
              </w:rPr>
            </w:pPr>
            <w:r>
              <w:rPr>
                <w:rFonts w:ascii="Arial" w:cs="Arial" w:eastAsia="Arial" w:hAnsi="Arial"/>
                <w:sz w:val="14"/>
                <w:szCs w:val="14"/>
                <w:b w:val="1"/>
                <w:bCs w:val="1"/>
                <w:color w:val="auto"/>
              </w:rPr>
              <w:t>Fees Earned or</w:t>
            </w:r>
          </w:p>
        </w:tc>
        <w:tc>
          <w:tcPr>
            <w:tcW w:w="8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tcPr>
          <w:p>
            <w:pPr>
              <w:jc w:val="right"/>
              <w:ind w:right="36"/>
              <w:spacing w:after="0" w:line="145" w:lineRule="exact"/>
              <w:rPr>
                <w:sz w:val="20"/>
                <w:szCs w:val="20"/>
                <w:color w:val="auto"/>
              </w:rPr>
            </w:pPr>
            <w:r>
              <w:rPr>
                <w:rFonts w:ascii="Arial" w:cs="Arial" w:eastAsia="Arial" w:hAnsi="Arial"/>
                <w:sz w:val="14"/>
                <w:szCs w:val="14"/>
                <w:b w:val="1"/>
                <w:bCs w:val="1"/>
                <w:color w:val="auto"/>
              </w:rPr>
              <w:t>Stock Awards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ind w:right="43"/>
              <w:spacing w:after="0" w:line="202" w:lineRule="exact"/>
              <w:rPr>
                <w:sz w:val="20"/>
                <w:szCs w:val="20"/>
                <w:color w:val="auto"/>
              </w:rPr>
            </w:pPr>
            <w:r>
              <w:rPr>
                <w:rFonts w:ascii="Arial" w:cs="Arial" w:eastAsia="Arial" w:hAnsi="Arial"/>
                <w:sz w:val="14"/>
                <w:szCs w:val="14"/>
                <w:b w:val="1"/>
                <w:bCs w:val="1"/>
                <w:color w:val="auto"/>
              </w:rPr>
              <w:t>Paid in Cash($)</w:t>
            </w:r>
            <w:r>
              <w:rPr>
                <w:rFonts w:ascii="Arial" w:cs="Arial" w:eastAsia="Arial" w:hAnsi="Arial"/>
                <w:sz w:val="23"/>
                <w:szCs w:val="23"/>
                <w:b w:val="1"/>
                <w:bCs w:val="1"/>
                <w:color w:val="auto"/>
                <w:vertAlign w:val="superscript"/>
              </w:rPr>
              <w:t>(1)</w:t>
            </w:r>
          </w:p>
        </w:tc>
        <w:tc>
          <w:tcPr>
            <w:tcW w:w="20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80" w:type="dxa"/>
            <w:vAlign w:val="bottom"/>
          </w:tcPr>
          <w:p>
            <w:pPr>
              <w:spacing w:after="0"/>
              <w:rPr>
                <w:sz w:val="17"/>
                <w:szCs w:val="17"/>
                <w:color w:val="auto"/>
              </w:rPr>
            </w:pPr>
          </w:p>
        </w:tc>
        <w:tc>
          <w:tcPr>
            <w:tcW w:w="1100" w:type="dxa"/>
            <w:vAlign w:val="bottom"/>
            <w:tcBorders>
              <w:bottom w:val="single" w:sz="8" w:color="auto"/>
            </w:tcBorders>
          </w:tcPr>
          <w:p>
            <w:pPr>
              <w:jc w:val="right"/>
              <w:ind w:right="316"/>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7"/>
                <w:szCs w:val="17"/>
                <w:color w:val="auto"/>
              </w:rPr>
            </w:pPr>
          </w:p>
        </w:tc>
      </w:tr>
      <w:tr>
        <w:trPr>
          <w:trHeight w:val="23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Jason Babcoke</w:t>
            </w:r>
          </w:p>
        </w:tc>
        <w:tc>
          <w:tcPr>
            <w:tcW w:w="15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5,326</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line="236" w:lineRule="exact"/>
              <w:rPr>
                <w:sz w:val="20"/>
                <w:szCs w:val="20"/>
                <w:color w:val="auto"/>
              </w:rPr>
            </w:pPr>
            <w:r>
              <w:rPr>
                <w:rFonts w:ascii="Arial" w:cs="Arial" w:eastAsia="Arial" w:hAnsi="Arial"/>
                <w:sz w:val="17"/>
                <w:szCs w:val="17"/>
                <w:color w:val="auto"/>
              </w:rPr>
              <w:t>92,512</w:t>
            </w:r>
            <w:r>
              <w:rPr>
                <w:rFonts w:ascii="Arial" w:cs="Arial" w:eastAsia="Arial" w:hAnsi="Arial"/>
                <w:sz w:val="27"/>
                <w:szCs w:val="27"/>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97,838</w:t>
            </w:r>
          </w:p>
        </w:tc>
        <w:tc>
          <w:tcPr>
            <w:tcW w:w="100" w:type="dxa"/>
            <w:vAlign w:val="bottom"/>
            <w:shd w:val="clear" w:color="auto" w:fill="CCEEFF"/>
          </w:tcPr>
          <w:p>
            <w:pPr>
              <w:spacing w:after="0"/>
              <w:rPr>
                <w:sz w:val="20"/>
                <w:szCs w:val="20"/>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John Brennan</w:t>
            </w:r>
          </w:p>
        </w:tc>
        <w:tc>
          <w:tcPr>
            <w:tcW w:w="1520" w:type="dxa"/>
            <w:vAlign w:val="bottom"/>
            <w:gridSpan w:val="2"/>
          </w:tcPr>
          <w:p>
            <w:pPr>
              <w:jc w:val="right"/>
              <w:ind w:right="123"/>
              <w:spacing w:after="0"/>
              <w:rPr>
                <w:sz w:val="20"/>
                <w:szCs w:val="20"/>
                <w:color w:val="auto"/>
              </w:rPr>
            </w:pPr>
            <w:r>
              <w:rPr>
                <w:rFonts w:ascii="Arial" w:cs="Arial" w:eastAsia="Arial" w:hAnsi="Arial"/>
                <w:sz w:val="18"/>
                <w:szCs w:val="18"/>
                <w:color w:val="auto"/>
              </w:rPr>
              <w:t>7,457</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6"/>
              <w:spacing w:after="0" w:line="243" w:lineRule="exact"/>
              <w:rPr>
                <w:sz w:val="20"/>
                <w:szCs w:val="20"/>
                <w:color w:val="auto"/>
              </w:rPr>
            </w:pPr>
            <w:r>
              <w:rPr>
                <w:rFonts w:ascii="Arial" w:cs="Arial" w:eastAsia="Arial" w:hAnsi="Arial"/>
                <w:sz w:val="17"/>
                <w:szCs w:val="17"/>
                <w:color w:val="auto"/>
              </w:rPr>
              <w:t>92,512</w:t>
            </w:r>
            <w:r>
              <w:rPr>
                <w:rFonts w:ascii="Arial" w:cs="Arial" w:eastAsia="Arial" w:hAnsi="Arial"/>
                <w:sz w:val="28"/>
                <w:szCs w:val="28"/>
                <w:color w:val="auto"/>
                <w:vertAlign w:val="superscript"/>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99,969</w:t>
            </w:r>
          </w:p>
        </w:tc>
        <w:tc>
          <w:tcPr>
            <w:tcW w:w="100" w:type="dxa"/>
            <w:vAlign w:val="bottom"/>
          </w:tcPr>
          <w:p>
            <w:pPr>
              <w:spacing w:after="0"/>
              <w:rPr>
                <w:sz w:val="21"/>
                <w:szCs w:val="21"/>
                <w:color w:val="auto"/>
              </w:rPr>
            </w:pPr>
          </w:p>
        </w:tc>
      </w:tr>
      <w:tr>
        <w:trPr>
          <w:trHeight w:val="243"/>
        </w:trPr>
        <w:tc>
          <w:tcPr>
            <w:tcW w:w="4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William Griffith</w:t>
            </w:r>
            <w:r>
              <w:rPr>
                <w:rFonts w:ascii="Arial" w:cs="Arial" w:eastAsia="Arial" w:hAnsi="Arial"/>
                <w:sz w:val="28"/>
                <w:szCs w:val="28"/>
                <w:color w:val="auto"/>
                <w:vertAlign w:val="superscript"/>
              </w:rPr>
              <w:t>(4)</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spacing w:after="0" w:line="243" w:lineRule="exact"/>
              <w:rPr>
                <w:sz w:val="20"/>
                <w:szCs w:val="20"/>
                <w:color w:val="auto"/>
              </w:rPr>
            </w:pPr>
            <w:r>
              <w:rPr>
                <w:rFonts w:ascii="Arial" w:cs="Arial" w:eastAsia="Arial" w:hAnsi="Arial"/>
                <w:sz w:val="17"/>
                <w:szCs w:val="17"/>
                <w:color w:val="auto"/>
              </w:rPr>
              <w:t>Owen Ryan</w:t>
            </w:r>
            <w:r>
              <w:rPr>
                <w:rFonts w:ascii="Arial" w:cs="Arial" w:eastAsia="Arial" w:hAnsi="Arial"/>
                <w:sz w:val="28"/>
                <w:szCs w:val="28"/>
                <w:color w:val="auto"/>
                <w:vertAlign w:val="superscript"/>
              </w:rPr>
              <w:t>(5)</w:t>
            </w:r>
          </w:p>
        </w:tc>
        <w:tc>
          <w:tcPr>
            <w:tcW w:w="1520" w:type="dxa"/>
            <w:vAlign w:val="bottom"/>
            <w:gridSpan w:val="2"/>
          </w:tcPr>
          <w:p>
            <w:pPr>
              <w:jc w:val="right"/>
              <w:ind w:right="123"/>
              <w:spacing w:after="0"/>
              <w:rPr>
                <w:sz w:val="20"/>
                <w:szCs w:val="20"/>
                <w:color w:val="auto"/>
              </w:rPr>
            </w:pPr>
            <w:r>
              <w:rPr>
                <w:rFonts w:ascii="Arial" w:cs="Arial" w:eastAsia="Arial" w:hAnsi="Arial"/>
                <w:sz w:val="18"/>
                <w:szCs w:val="18"/>
                <w:color w:val="auto"/>
              </w:rPr>
              <w:t>58,374</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6"/>
              <w:spacing w:after="0" w:line="243" w:lineRule="exact"/>
              <w:rPr>
                <w:sz w:val="20"/>
                <w:szCs w:val="20"/>
                <w:color w:val="auto"/>
              </w:rPr>
            </w:pPr>
            <w:r>
              <w:rPr>
                <w:rFonts w:ascii="Arial" w:cs="Arial" w:eastAsia="Arial" w:hAnsi="Arial"/>
                <w:sz w:val="17"/>
                <w:szCs w:val="17"/>
                <w:color w:val="auto"/>
              </w:rPr>
              <w:t>184,982</w:t>
            </w:r>
            <w:r>
              <w:rPr>
                <w:rFonts w:ascii="Arial" w:cs="Arial" w:eastAsia="Arial" w:hAnsi="Arial"/>
                <w:sz w:val="28"/>
                <w:szCs w:val="28"/>
                <w:color w:val="auto"/>
                <w:vertAlign w:val="superscript"/>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243,356</w:t>
            </w:r>
          </w:p>
        </w:tc>
        <w:tc>
          <w:tcPr>
            <w:tcW w:w="100" w:type="dxa"/>
            <w:vAlign w:val="bottom"/>
          </w:tcPr>
          <w:p>
            <w:pPr>
              <w:spacing w:after="0"/>
              <w:rPr>
                <w:sz w:val="21"/>
                <w:szCs w:val="21"/>
                <w:color w:val="auto"/>
              </w:rPr>
            </w:pPr>
          </w:p>
        </w:tc>
      </w:tr>
      <w:tr>
        <w:trPr>
          <w:trHeight w:val="243"/>
        </w:trPr>
        <w:tc>
          <w:tcPr>
            <w:tcW w:w="4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Graham Smith</w:t>
            </w:r>
            <w:r>
              <w:rPr>
                <w:rFonts w:ascii="Arial" w:cs="Arial" w:eastAsia="Arial" w:hAnsi="Arial"/>
                <w:sz w:val="28"/>
                <w:szCs w:val="28"/>
                <w:color w:val="auto"/>
                <w:vertAlign w:val="superscript"/>
              </w:rPr>
              <w:t>(6)</w:t>
            </w:r>
          </w:p>
        </w:tc>
        <w:tc>
          <w:tcPr>
            <w:tcW w:w="15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54,813</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line="243" w:lineRule="exact"/>
              <w:rPr>
                <w:sz w:val="20"/>
                <w:szCs w:val="20"/>
                <w:color w:val="auto"/>
              </w:rPr>
            </w:pPr>
            <w:r>
              <w:rPr>
                <w:rFonts w:ascii="Arial" w:cs="Arial" w:eastAsia="Arial" w:hAnsi="Arial"/>
                <w:sz w:val="17"/>
                <w:szCs w:val="17"/>
                <w:color w:val="auto"/>
              </w:rPr>
              <w:t>184,982</w:t>
            </w:r>
            <w:r>
              <w:rPr>
                <w:rFonts w:ascii="Arial" w:cs="Arial" w:eastAsia="Arial" w:hAnsi="Arial"/>
                <w:sz w:val="28"/>
                <w:szCs w:val="28"/>
                <w:color w:val="auto"/>
                <w:vertAlign w:val="superscript"/>
              </w:rPr>
              <w:t>(7)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239,795</w:t>
            </w:r>
          </w:p>
        </w:tc>
        <w:tc>
          <w:tcPr>
            <w:tcW w:w="100" w:type="dxa"/>
            <w:vAlign w:val="bottom"/>
            <w:shd w:val="clear" w:color="auto" w:fill="CCEE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17"/>
                <w:szCs w:val="17"/>
                <w:color w:val="auto"/>
              </w:rPr>
              <w:t>Kevin Thompson</w:t>
            </w:r>
            <w:r>
              <w:rPr>
                <w:rFonts w:ascii="Arial" w:cs="Arial" w:eastAsia="Arial" w:hAnsi="Arial"/>
                <w:sz w:val="28"/>
                <w:szCs w:val="28"/>
                <w:color w:val="auto"/>
                <w:vertAlign w:val="superscript"/>
              </w:rPr>
              <w:t>(9)</w:t>
            </w:r>
          </w:p>
        </w:tc>
        <w:tc>
          <w:tcPr>
            <w:tcW w:w="1520" w:type="dxa"/>
            <w:vAlign w:val="bottom"/>
            <w:gridSpan w:val="2"/>
          </w:tcPr>
          <w:p>
            <w:pPr>
              <w:jc w:val="right"/>
              <w:ind w:right="123"/>
              <w:spacing w:after="0"/>
              <w:rPr>
                <w:sz w:val="20"/>
                <w:szCs w:val="20"/>
                <w:color w:val="auto"/>
              </w:rPr>
            </w:pPr>
            <w:r>
              <w:rPr>
                <w:rFonts w:ascii="Arial" w:cs="Arial" w:eastAsia="Arial" w:hAnsi="Arial"/>
                <w:sz w:val="18"/>
                <w:szCs w:val="18"/>
                <w:color w:val="auto"/>
              </w:rPr>
              <w:t>53,000</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6"/>
              <w:spacing w:after="0" w:line="243" w:lineRule="exact"/>
              <w:rPr>
                <w:sz w:val="20"/>
                <w:szCs w:val="20"/>
                <w:color w:val="auto"/>
              </w:rPr>
            </w:pPr>
            <w:r>
              <w:rPr>
                <w:rFonts w:ascii="Arial" w:cs="Arial" w:eastAsia="Arial" w:hAnsi="Arial"/>
                <w:sz w:val="17"/>
                <w:szCs w:val="17"/>
                <w:color w:val="auto"/>
              </w:rPr>
              <w:t>184,982</w:t>
            </w:r>
            <w:r>
              <w:rPr>
                <w:rFonts w:ascii="Arial" w:cs="Arial" w:eastAsia="Arial" w:hAnsi="Arial"/>
                <w:sz w:val="28"/>
                <w:szCs w:val="28"/>
                <w:color w:val="auto"/>
                <w:vertAlign w:val="superscript"/>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237,982</w:t>
            </w:r>
          </w:p>
        </w:tc>
        <w:tc>
          <w:tcPr>
            <w:tcW w:w="100" w:type="dxa"/>
            <w:vAlign w:val="bottom"/>
          </w:tcPr>
          <w:p>
            <w:pPr>
              <w:spacing w:after="0"/>
              <w:rPr>
                <w:sz w:val="21"/>
                <w:szCs w:val="21"/>
                <w:color w:val="auto"/>
              </w:rPr>
            </w:pPr>
          </w:p>
        </w:tc>
      </w:tr>
      <w:tr>
        <w:trPr>
          <w:trHeight w:val="243"/>
        </w:trPr>
        <w:tc>
          <w:tcPr>
            <w:tcW w:w="4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Thomas Unterman</w:t>
            </w:r>
            <w:r>
              <w:rPr>
                <w:rFonts w:ascii="Arial" w:cs="Arial" w:eastAsia="Arial" w:hAnsi="Arial"/>
                <w:sz w:val="28"/>
                <w:szCs w:val="28"/>
                <w:color w:val="auto"/>
                <w:vertAlign w:val="superscript"/>
              </w:rPr>
              <w:t>(10)</w:t>
            </w:r>
          </w:p>
        </w:tc>
        <w:tc>
          <w:tcPr>
            <w:tcW w:w="15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54,055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line="243" w:lineRule="exact"/>
              <w:rPr>
                <w:sz w:val="20"/>
                <w:szCs w:val="20"/>
                <w:color w:val="auto"/>
              </w:rPr>
            </w:pPr>
            <w:r>
              <w:rPr>
                <w:rFonts w:ascii="Arial" w:cs="Arial" w:eastAsia="Arial" w:hAnsi="Arial"/>
                <w:sz w:val="17"/>
                <w:szCs w:val="17"/>
                <w:color w:val="auto"/>
              </w:rPr>
              <w:t>184,982</w:t>
            </w:r>
            <w:r>
              <w:rPr>
                <w:rFonts w:ascii="Arial" w:cs="Arial" w:eastAsia="Arial" w:hAnsi="Arial"/>
                <w:sz w:val="28"/>
                <w:szCs w:val="28"/>
                <w:color w:val="auto"/>
                <w:vertAlign w:val="superscript"/>
              </w:rPr>
              <w:t>(7)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239,037</w:t>
            </w:r>
          </w:p>
        </w:tc>
        <w:tc>
          <w:tcPr>
            <w:tcW w:w="100" w:type="dxa"/>
            <w:vAlign w:val="bottom"/>
            <w:shd w:val="clear" w:color="auto" w:fill="CCEEFF"/>
          </w:tcPr>
          <w:p>
            <w:pPr>
              <w:spacing w:after="0"/>
              <w:rPr>
                <w:sz w:val="21"/>
                <w:szCs w:val="21"/>
                <w:color w:val="auto"/>
              </w:rPr>
            </w:pPr>
          </w:p>
        </w:tc>
      </w:tr>
      <w:tr>
        <w:trPr>
          <w:trHeight w:val="390"/>
        </w:trPr>
        <w:tc>
          <w:tcPr>
            <w:tcW w:w="4840" w:type="dxa"/>
            <w:vAlign w:val="bottom"/>
          </w:tcPr>
          <w:p>
            <w:pPr>
              <w:spacing w:after="0"/>
              <w:rPr>
                <w:sz w:val="20"/>
                <w:szCs w:val="20"/>
                <w:color w:val="auto"/>
              </w:rPr>
            </w:pPr>
            <w:r>
              <w:rPr>
                <w:rFonts w:ascii="Arial" w:cs="Arial" w:eastAsia="Arial" w:hAnsi="Arial"/>
                <w:sz w:val="18"/>
                <w:szCs w:val="18"/>
                <w:color w:val="auto"/>
              </w:rPr>
              <w:t>Mika Yamamoto</w:t>
            </w:r>
            <w:r>
              <w:rPr>
                <w:rFonts w:ascii="Arial" w:cs="Arial" w:eastAsia="Arial" w:hAnsi="Arial"/>
                <w:sz w:val="29"/>
                <w:szCs w:val="29"/>
                <w:color w:val="auto"/>
                <w:vertAlign w:val="superscript"/>
              </w:rPr>
              <w:t>(11)</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33,750</w:t>
            </w:r>
            <w:r>
              <w:rPr>
                <w:rFonts w:ascii="Arial" w:cs="Arial" w:eastAsia="Arial" w:hAnsi="Arial"/>
                <w:sz w:val="29"/>
                <w:szCs w:val="29"/>
                <w:color w:val="auto"/>
                <w:vertAlign w:val="superscript"/>
              </w:rPr>
              <w:t>(12)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15,431</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200,379</w:t>
            </w:r>
            <w:r>
              <w:rPr>
                <w:rFonts w:ascii="Arial" w:cs="Arial" w:eastAsia="Arial" w:hAnsi="Arial"/>
                <w:sz w:val="29"/>
                <w:szCs w:val="29"/>
                <w:color w:val="auto"/>
                <w:w w:val="92"/>
                <w:vertAlign w:val="superscript"/>
              </w:rPr>
              <w:t>(7)(8)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249,560</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38" w:lineRule="exact"/>
        <w:rPr>
          <w:sz w:val="20"/>
          <w:szCs w:val="20"/>
          <w:color w:val="auto"/>
        </w:rPr>
      </w:pPr>
    </w:p>
    <w:p>
      <w:pPr>
        <w:ind w:left="360" w:right="60" w:hanging="355"/>
        <w:spacing w:after="0" w:line="257"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 shown reflects an annual cash retainer for such director’s service as a member of our board of directors and, if applicable, chair of our audit committee, compensation committee or nominating and corporate governance committee, or membership on our audit committee, compensation committee, or nominating and corporate governance committee.</w:t>
      </w:r>
    </w:p>
    <w:p>
      <w:pPr>
        <w:spacing w:after="0" w:line="76" w:lineRule="exact"/>
        <w:rPr>
          <w:rFonts w:ascii="Arial" w:cs="Arial" w:eastAsia="Arial" w:hAnsi="Arial"/>
          <w:sz w:val="14"/>
          <w:szCs w:val="14"/>
          <w:color w:val="auto"/>
        </w:rPr>
      </w:pPr>
    </w:p>
    <w:p>
      <w:pPr>
        <w:ind w:left="360" w:right="20" w:hanging="355"/>
        <w:spacing w:after="0" w:line="249"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Stock option awards and RSUs are shown at their aggregate grant date fair value in accordance with authoritative accounting guidance on stock compensation. The fair value of each stock option grant is estimated based on the fair market value on the date of grant using the Black-Scholes option pricing model. The fair value of each RSU is measured based on the closing price of our common stock on the date of grant. For more detailed discussion on the valuation model and assumptions used to calculate the fair value of our options, refer to Note 2 of the “Notes to Financial Statements” included in our Annual Report on Form 10-K for the year ended December 31, 2019.</w:t>
      </w:r>
    </w:p>
    <w:p>
      <w:pPr>
        <w:spacing w:after="0" w:line="82" w:lineRule="exact"/>
        <w:rPr>
          <w:rFonts w:ascii="Arial" w:cs="Arial" w:eastAsia="Arial" w:hAnsi="Arial"/>
          <w:sz w:val="14"/>
          <w:szCs w:val="14"/>
          <w:color w:val="auto"/>
        </w:rPr>
      </w:pPr>
    </w:p>
    <w:p>
      <w:pPr>
        <w:ind w:left="360" w:right="60" w:hanging="355"/>
        <w:spacing w:after="0" w:line="257"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Messrs. Babcoke and Brennan were each awarded RSUs covering 1,833 shares of our common stock on November 13, 2019. 100% of the shares subject to the RSUs will vest upon the earlier of November 13, 2020 or the day prior to our next annual meeting of stockholders, subject to each of their continued services with us through such date.</w:t>
      </w:r>
    </w:p>
    <w:p>
      <w:pPr>
        <w:spacing w:after="0" w:line="76" w:lineRule="exact"/>
        <w:rPr>
          <w:rFonts w:ascii="Arial" w:cs="Arial" w:eastAsia="Arial" w:hAnsi="Arial"/>
          <w:sz w:val="14"/>
          <w:szCs w:val="14"/>
          <w:color w:val="auto"/>
        </w:rPr>
      </w:pPr>
    </w:p>
    <w:p>
      <w:pPr>
        <w:ind w:left="360" w:hanging="355"/>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Griffith served as a member of our board of directors until February 29,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2019, Mr. Ryan held 3,857 RSUs, and stock options to purchase a total of 2,874 shares of our common stock.</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2019, Mr. Smith held 3,857 RSUs, and stock options to purchase a total of 79,396 shares of our common stock.</w:t>
      </w:r>
    </w:p>
    <w:p>
      <w:pPr>
        <w:spacing w:after="0" w:line="109" w:lineRule="exact"/>
        <w:rPr>
          <w:rFonts w:ascii="Arial" w:cs="Arial" w:eastAsia="Arial" w:hAnsi="Arial"/>
          <w:sz w:val="14"/>
          <w:szCs w:val="14"/>
          <w:color w:val="auto"/>
        </w:rPr>
      </w:pPr>
    </w:p>
    <w:p>
      <w:pPr>
        <w:ind w:left="360" w:right="40" w:hanging="355"/>
        <w:spacing w:after="0" w:line="257"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Messrs. Ryan, Smith, Thompson and Unterman and Ms. Yamamoto were each awarded RSUs covering 3,857 shares of our common stock on May 8, 2019. 100% of the shares subject to the RSUs will vest upon the earlier of May 8, 2020 or the day prior to our next annual meeting of stockholders, subject to each of their continued service with us through such date.</w:t>
      </w:r>
    </w:p>
    <w:p>
      <w:pPr>
        <w:spacing w:after="0" w:line="76" w:lineRule="exact"/>
        <w:rPr>
          <w:rFonts w:ascii="Arial" w:cs="Arial" w:eastAsia="Arial" w:hAnsi="Arial"/>
          <w:sz w:val="14"/>
          <w:szCs w:val="14"/>
          <w:color w:val="auto"/>
        </w:rPr>
      </w:pPr>
    </w:p>
    <w:p>
      <w:pPr>
        <w:ind w:left="360" w:right="320" w:hanging="355"/>
        <w:spacing w:after="0" w:line="273"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Ms. Yamamoto was awarded RSUs covering 334 shares of common stock and stock options to purchase a total of 766 shares of common stock on April 1, 2019. 100% of the RSUs vested on May 7, 2019.</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2019, Mr. Thompson held 3,857 RSUs, and stock options to purchase a total of 8,029 shares of our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2019, Mr. Unterman held 3,857 RSUs, and stock options to purchase a total of 16,896 shares of our common stock.</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2019, Ms. Yamamoto held 3,857 RSUs, and stock options to purchase a total of 766 shares of our common stock.</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Yamamoto became a member of our board of directors in April 2019. The amount shown reflects an annual cash retainer for Ms. Yamamoto’s service as a member of our board of directors, prorated for the portion of 2019 in which she was a member of our board of directors.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 DIRECTORS</w:t>
      </w:r>
    </w:p>
    <w:p>
      <w:pPr>
        <w:spacing w:after="0" w:line="121" w:lineRule="exact"/>
        <w:rPr>
          <w:sz w:val="20"/>
          <w:szCs w:val="20"/>
          <w:color w:val="auto"/>
        </w:rPr>
      </w:pPr>
    </w:p>
    <w:p>
      <w:pPr>
        <w:ind w:right="120" w:firstLine="360"/>
        <w:spacing w:after="0" w:line="301" w:lineRule="auto"/>
        <w:rPr>
          <w:sz w:val="20"/>
          <w:szCs w:val="20"/>
          <w:color w:val="auto"/>
        </w:rPr>
      </w:pPr>
      <w:r>
        <w:rPr>
          <w:rFonts w:ascii="Arial" w:cs="Arial" w:eastAsia="Arial" w:hAnsi="Arial"/>
          <w:sz w:val="16"/>
          <w:szCs w:val="16"/>
          <w:color w:val="auto"/>
        </w:rPr>
        <w:t>Our board of directors is currently comprised of ten directors and is divided into three staggered classes of directors. At the annual meeting, three Class I directors will be elected to our board of directors by the holders of our common stock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nominating and corporate governance committee has recommended director nominees for selection by our board of directors, and our board of directors has nominated, Marc Huffman as a nominee for election as a Class I director, and Therese Tucker and Thomas Unterman each a Class I director, as nominees for re-election as Class I directors at the 2020 annual meeting of stockholders. If elected, Ms. Tucker and Messrs. Huffman and Unterman will serve as Class I directors until the 2023 annual meeting and until their respective successors are duly elected and qualified or until their earlier death, resignation or removal. For more information concerning the nominees, please see the section entitled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5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Ms. Tucker and Messrs. Huffman and Unterman have agreed to serve as directors if elected, and management has no reason to believe that they will be unavailable to serve. In the event a nominee is unable or declines to serve as a director at the time of the annual meeting, proxies will be voted for any nominee who may be proposed by our nominating and corporate governance committee and designated by the present board of directors to fill the vacancy.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Class I directors will be elected by a plurality of the voting power of the shares present virtually or represented by proxy at the annual meeting and entitled to vote on the election of directors. In other words, the three nominees receiving the highest number of “FOR” votes will be elected as Class I directors. You may vote (i) “FOR” for each director nominee or (ii) “WITHHOLD” for each director nominee. Shares represented by executed proxies will be voted, if authority to do so is not expressly withheld, for the election of Ms. Tucker and Messrs. Huffman and Unterman. “WITHHOLD” votes and broker non-votes will have no effect on the outcome of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right="360" w:firstLine="360"/>
        <w:spacing w:after="0" w:line="282"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Marc Huffman, Therese Tucker and Thomas Unterman as Class I directors.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88"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Our audit committee has appointed PricewaterhouseCoopers LLP, or PwC, as our independent registered public accounting firm for the year ending December 31, 2020. During 2019, PwC served as our independent registered public accounting firm.</w:t>
      </w:r>
    </w:p>
    <w:p>
      <w:pPr>
        <w:spacing w:after="0" w:line="16"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Notwithstanding its appointment and even if our stockholders ratify the appointment, our audit committee, in its discretion, may appoint another independent registered public accounting firm at any time during the year if the audit committee believes that such a change would be in the best interests of our company and its stockholders. Our audit committee is submitting the appointment of PwC to our stockholders because we value our stockholders’ views on our independent registered public accounting firm and as a matter of good corporate governance. If the appointment is not ratified by our stockholders, our audit committee may consider whether it should appoint another independent registered public accounting firm. A representative of PwC is expected to be telephonically present at the virtual annual meeting, where he or she will be available to respond to appropriate questions and, if he or she desires, to make a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following table presents the aggregate fees billed for professional audit services and other services rendered to us by PwC for our fiscal years ended December 31, 2019 and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Fiscal Year Ended</w:t>
            </w:r>
          </w:p>
        </w:tc>
      </w:tr>
      <w:tr>
        <w:trPr>
          <w:trHeight w:val="190"/>
        </w:trPr>
        <w:tc>
          <w:tcPr>
            <w:tcW w:w="1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43"/>
        </w:trPr>
        <w:tc>
          <w:tcPr>
            <w:tcW w:w="69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2,824,950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2,475,000</w:t>
            </w:r>
          </w:p>
        </w:tc>
      </w:tr>
      <w:tr>
        <w:trPr>
          <w:trHeight w:val="243"/>
        </w:trPr>
        <w:tc>
          <w:tcPr>
            <w:tcW w:w="6980" w:type="dxa"/>
            <w:vAlign w:val="bottom"/>
            <w:gridSpan w:val="2"/>
          </w:tcPr>
          <w:p>
            <w:pPr>
              <w:spacing w:after="0" w:line="243" w:lineRule="exact"/>
              <w:rPr>
                <w:sz w:val="20"/>
                <w:szCs w:val="20"/>
                <w:color w:val="auto"/>
              </w:rPr>
            </w:pPr>
            <w:r>
              <w:rPr>
                <w:rFonts w:ascii="Arial" w:cs="Arial" w:eastAsia="Arial" w:hAnsi="Arial"/>
                <w:sz w:val="17"/>
                <w:szCs w:val="17"/>
                <w:color w:val="auto"/>
              </w:rPr>
              <w:t>Audit-related Fees</w:t>
            </w:r>
            <w:r>
              <w:rPr>
                <w:rFonts w:ascii="Arial" w:cs="Arial" w:eastAsia="Arial" w:hAnsi="Arial"/>
                <w:sz w:val="28"/>
                <w:szCs w:val="28"/>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r>
      <w:tr>
        <w:trPr>
          <w:trHeight w:val="243"/>
        </w:trPr>
        <w:tc>
          <w:tcPr>
            <w:tcW w:w="69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8,640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r>
        <w:trPr>
          <w:trHeight w:val="27"/>
        </w:trPr>
        <w:tc>
          <w:tcPr>
            <w:tcW w:w="1440" w:type="dxa"/>
            <w:vAlign w:val="bottom"/>
          </w:tcPr>
          <w:p>
            <w:pPr>
              <w:spacing w:after="0"/>
              <w:rPr>
                <w:sz w:val="2"/>
                <w:szCs w:val="2"/>
                <w:color w:val="auto"/>
              </w:rPr>
            </w:pPr>
          </w:p>
        </w:tc>
        <w:tc>
          <w:tcPr>
            <w:tcW w:w="55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2,883,590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2,582,000</w:t>
            </w:r>
          </w:p>
        </w:tc>
      </w:tr>
      <w:tr>
        <w:trPr>
          <w:trHeight w:val="175"/>
        </w:trPr>
        <w:tc>
          <w:tcPr>
            <w:tcW w:w="1440" w:type="dxa"/>
            <w:vAlign w:val="bottom"/>
            <w:tcBorders>
              <w:top w:val="single" w:sz="8" w:color="CCEEFF"/>
              <w:bottom w:val="single" w:sz="8" w:color="auto"/>
            </w:tcBorders>
          </w:tcPr>
          <w:p>
            <w:pPr>
              <w:spacing w:after="0"/>
              <w:rPr>
                <w:sz w:val="15"/>
                <w:szCs w:val="15"/>
                <w:color w:val="auto"/>
              </w:rPr>
            </w:pPr>
          </w:p>
        </w:tc>
        <w:tc>
          <w:tcPr>
            <w:tcW w:w="55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60" w:right="20" w:hanging="355"/>
        <w:spacing w:after="0" w:line="277" w:lineRule="auto"/>
        <w:tabs>
          <w:tab w:leader="none" w:pos="3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“Audit Fees” consist of professional services rendered in connection with the audit of our consolidated financial statements and review of our quarterly consolidated financial statements and services that are normally provided by the independent registered public accounting firm in connection with statutory and regulatory filings or engagements for those fiscal years. Fees for 2018 and 2019 also included fees billed for professional services rendered in connection with our follow-on offerings and our Form S-8 registration statements filed in March 2018, August 2018, and February 2019.</w:t>
      </w:r>
    </w:p>
    <w:p>
      <w:pPr>
        <w:spacing w:after="0" w:line="65" w:lineRule="exact"/>
        <w:rPr>
          <w:rFonts w:ascii="Arial" w:cs="Arial" w:eastAsia="Arial" w:hAnsi="Arial"/>
          <w:sz w:val="13"/>
          <w:szCs w:val="13"/>
          <w:color w:val="auto"/>
        </w:rPr>
      </w:pPr>
    </w:p>
    <w:p>
      <w:pPr>
        <w:ind w:left="360" w:hanging="355"/>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For 2018, “Audit-related Fees” include time incurred to assess the impact of ASC 842, </w:t>
      </w:r>
      <w:r>
        <w:rPr>
          <w:rFonts w:ascii="Arial" w:cs="Arial" w:eastAsia="Arial" w:hAnsi="Arial"/>
          <w:sz w:val="14"/>
          <w:szCs w:val="14"/>
          <w:i w:val="1"/>
          <w:iCs w:val="1"/>
          <w:color w:val="auto"/>
        </w:rPr>
        <w:t>Leases</w:t>
      </w:r>
      <w:r>
        <w:rPr>
          <w:rFonts w:ascii="Arial" w:cs="Arial" w:eastAsia="Arial" w:hAnsi="Arial"/>
          <w:sz w:val="14"/>
          <w:szCs w:val="14"/>
          <w:color w:val="auto"/>
        </w:rPr>
        <w:t>, in the period prior to the year of adoption.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for tax compliance, tax advice and tax planning.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In 2019, there were no other professional services provided by PwC that would have required our audit committee to consider their compatibility with maintaining the independence of PwC.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Services Pre-Approval Policy</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(or its delegate) may pre-approve services to be performed by our independent registered public accounting firm without consideration of specific case-by-case services or may require the specific pre-approval of the committee, in either case, in order to ensure that the provision of such services does not impair the public accountants’ independence. All fees paid to PwC for our fiscal years ended December 31, 2019 and 2018 were pre-approved by our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Ratification of the appointment of PwC as our independent registered public accounting firm for the year ending December 31, 2020 requires the affirmative “FOR” vote of a majority of the voting power of the shares present virtually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Our board of directors recommends a vote “FOR” the ratification of the appointment of PricewaterhouseCoopers LLP as our independent registered public accounting firm for the year ending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BlackLine’s management is responsible for (i) establishing and maintaining internal controls and (ii) preparing BlackLine’s consolidated financial statements. BlackLine’s independent registered public accounting firm, PwC, is responsible for performing an independent audit of BlackLine’s consolidated financial statements and BlackLine’s internal control over financial reporting in accordance with the auditing standards of the Public Company Accounting Oversight Board (United States), or the PCAOB, and to issue a report thereon. It is the responsibility of the audit committee to oversee these activities. It is not the responsibility of the audit committee to prepare BlackLine’s financial statements. These are the fundamental responsibilities of management. In the performance of its oversight function, the audit committee has:</w:t>
      </w:r>
    </w:p>
    <w:p>
      <w:pPr>
        <w:spacing w:after="0" w:line="69" w:lineRule="exact"/>
        <w:rPr>
          <w:sz w:val="20"/>
          <w:szCs w:val="20"/>
          <w:color w:val="auto"/>
        </w:rPr>
      </w:pPr>
    </w:p>
    <w:p>
      <w:pPr>
        <w:ind w:left="700" w:hanging="344"/>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fiscal year 2019 with the management of BlackLine and PwC;</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PwC the matters required to be discussed by the applicable requirements of the PCAOB; and</w:t>
      </w:r>
    </w:p>
    <w:p>
      <w:pPr>
        <w:spacing w:after="0" w:line="117" w:lineRule="exact"/>
        <w:rPr>
          <w:rFonts w:ascii="Arial" w:cs="Arial" w:eastAsia="Arial" w:hAnsi="Arial"/>
          <w:sz w:val="18"/>
          <w:szCs w:val="18"/>
          <w:color w:val="auto"/>
        </w:rPr>
      </w:pPr>
    </w:p>
    <w:p>
      <w:pPr>
        <w:jc w:val="both"/>
        <w:ind w:left="700" w:right="140" w:hanging="344"/>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as required by applicable requirements of the PCAOB regarding the independent registered public accounting firm’s communications with the audit committee concerning independence, and has discussed with PwC that firm’s independence.</w:t>
      </w:r>
    </w:p>
    <w:p>
      <w:pPr>
        <w:spacing w:after="0" w:line="76" w:lineRule="exact"/>
        <w:rPr>
          <w:sz w:val="20"/>
          <w:szCs w:val="20"/>
          <w:color w:val="auto"/>
        </w:rPr>
      </w:pPr>
    </w:p>
    <w:p>
      <w:pPr>
        <w:ind w:right="160" w:firstLine="360"/>
        <w:spacing w:after="0" w:line="301" w:lineRule="auto"/>
        <w:rPr>
          <w:sz w:val="20"/>
          <w:szCs w:val="20"/>
          <w:color w:val="auto"/>
        </w:rPr>
      </w:pPr>
      <w:r>
        <w:rPr>
          <w:rFonts w:ascii="Arial" w:cs="Arial" w:eastAsia="Arial" w:hAnsi="Arial"/>
          <w:sz w:val="16"/>
          <w:szCs w:val="16"/>
          <w:color w:val="auto"/>
        </w:rPr>
        <w:t>Based on the audit committee’s review of the audited financial statements and the various discussions with management and PwC, the audit committee recommended to the board of directors that the audited financial statements be included in our annual report on Form 10-K for the fiscal year ended December 31, 2019 for filing with the SEC. The audit committee has also appointed PwC as the company’s independent registered public accounting firm for the year ending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Owen Ryan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Graham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Thompson</w:t>
      </w:r>
    </w:p>
    <w:p>
      <w:pPr>
        <w:spacing w:after="0" w:line="103" w:lineRule="exact"/>
        <w:rPr>
          <w:sz w:val="20"/>
          <w:szCs w:val="20"/>
          <w:color w:val="auto"/>
        </w:rPr>
      </w:pPr>
    </w:p>
    <w:p>
      <w:pPr>
        <w:ind w:right="360" w:firstLine="360"/>
        <w:spacing w:after="0" w:line="257"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BlackLine under the Securities Act of 1933, as amended, or the Securities Act, or the Exchange Act, except to the extent BlackLine specifically requests that the information be treated as “soliciting material” or specifically incorporates it by reference.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VOTE TO APPROVE THE COMPENSATION OF</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NAMED EXECUTIVE OFFICERS</w:t>
      </w:r>
    </w:p>
    <w:p>
      <w:pPr>
        <w:spacing w:after="0" w:line="8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is asking company stockholders to cast an advisory, non-binding vote to approve the compensation of our named executive officers during 2019 as disclosed in this Proxy Statement in accordance with the requirements of Section 14A of the Exchange Act. This Proposal gives our stockholders the opportunity to express their views on the design and effectiveness of our executive compensation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Compensation of Named Executive Officers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believe that BlackLine’s compensation philosophy and program, as described below in the “Compensation Discussion and Analysis” section of this proxy statement, are effective in achieving our goals, and that the executive compensation reported in this proxy statement is appropriate, competitive, and aligned with our 2019 results. The compensation program for our named executive officers is focused on pay-for-performance principles. The program is designed to attract, motivate, and retain executive officers in a competitive market for executive talent, reward them with more than base salary if and to the extent BlackLine achieves challenging financial performance goals, and align the officers’ interests with the interests of our stockholders to create long-term shareholder value, while at the same time avoiding the encouragement of excessive risk-taking.</w:t>
      </w:r>
    </w:p>
    <w:p>
      <w:pPr>
        <w:spacing w:after="0" w:line="58"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a more detailed discussion of our compensation philosophy, objectives, principles, and programs, we strongly encourage our stockholders to review this proxy statement, and in particular the information contained in the “Compensation Discussion and Analysis” section below and in the compensation tables and narrative that follow it in the “Executive Compensation” section of this proxy statement.</w:t>
      </w:r>
    </w:p>
    <w:p>
      <w:pPr>
        <w:spacing w:after="0" w:line="7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vote on executive compensation is not intended to address any specific element of compensation; rather, the vote relates to the compensation of our named executive officers described in this proxy statement.</w:t>
      </w:r>
    </w:p>
    <w:p>
      <w:pPr>
        <w:spacing w:after="0" w:line="62" w:lineRule="exact"/>
        <w:rPr>
          <w:sz w:val="20"/>
          <w:szCs w:val="20"/>
          <w:color w:val="auto"/>
        </w:rPr>
      </w:pPr>
    </w:p>
    <w:p>
      <w:pPr>
        <w:ind w:right="400" w:firstLine="360"/>
        <w:spacing w:after="0" w:line="263" w:lineRule="auto"/>
        <w:rPr>
          <w:sz w:val="20"/>
          <w:szCs w:val="20"/>
          <w:color w:val="auto"/>
        </w:rPr>
      </w:pPr>
      <w:r>
        <w:rPr>
          <w:rFonts w:ascii="Arial" w:cs="Arial" w:eastAsia="Arial" w:hAnsi="Arial"/>
          <w:sz w:val="18"/>
          <w:szCs w:val="18"/>
          <w:color w:val="auto"/>
        </w:rPr>
        <w:t>Our board of directors believes that it is in the best interests of the company and our stockholders to approve the 2019 compensation of our named executive officers, thereby encouraging them to remain in the company’s employ and more closely align their interests with those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340" w:firstLine="360"/>
        <w:spacing w:after="0" w:line="301" w:lineRule="auto"/>
        <w:rPr>
          <w:sz w:val="20"/>
          <w:szCs w:val="20"/>
          <w:color w:val="auto"/>
        </w:rPr>
      </w:pPr>
      <w:r>
        <w:rPr>
          <w:rFonts w:ascii="Arial" w:cs="Arial" w:eastAsia="Arial" w:hAnsi="Arial"/>
          <w:sz w:val="16"/>
          <w:szCs w:val="16"/>
          <w:color w:val="auto"/>
        </w:rPr>
        <w:t>The vote is advisory, which means that the vote is not binding on BlackLine, our compensation committee, or our board. Abstentions are considered votes cast, and thus, will have the same effect as votes “against” the proposal. Broker non-votes will have no effect on the outcome of this proposal. Although the vote is non-binding, our compensation committee and board value your opinion and will consider the outcome of the vote in making future compensation decisions.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right="980" w:firstLine="360"/>
        <w:spacing w:after="0" w:line="282" w:lineRule="auto"/>
        <w:rPr>
          <w:sz w:val="20"/>
          <w:szCs w:val="20"/>
          <w:color w:val="auto"/>
        </w:rPr>
      </w:pPr>
      <w:r>
        <w:rPr>
          <w:rFonts w:ascii="Arial" w:cs="Arial" w:eastAsia="Arial" w:hAnsi="Arial"/>
          <w:sz w:val="18"/>
          <w:szCs w:val="18"/>
          <w:b w:val="1"/>
          <w:bCs w:val="1"/>
          <w:color w:val="auto"/>
        </w:rPr>
        <w:t>Our board of directors recommends an advisory non-binding vote “FOR” the proposal to approve the 2019 compensation of our named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executive officers as of March 9,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4"/>
                <w:szCs w:val="14"/>
                <w:color w:val="auto"/>
              </w:rPr>
            </w:pPr>
          </w:p>
        </w:tc>
        <w:tc>
          <w:tcPr>
            <w:tcW w:w="52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34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Therese Tucker</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Marc Huffman</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President and Chief Operating Officer</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Mark Partin</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Karole Morgan-Prager</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Chief Legal and Administrative Officer</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Pete Hirsch</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Chief Technology Officer</w:t>
            </w: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Mr. Huffman’s and Ms. Tucker’s biographies, see “</w:t>
      </w:r>
      <w:r>
        <w:rPr>
          <w:rFonts w:ascii="Arial" w:cs="Arial" w:eastAsia="Arial" w:hAnsi="Arial"/>
          <w:sz w:val="18"/>
          <w:szCs w:val="18"/>
          <w:i w:val="1"/>
          <w:iCs w:val="1"/>
          <w:color w:val="auto"/>
        </w:rPr>
        <w:t>Nominees for Director</w:t>
      </w:r>
      <w:r>
        <w:rPr>
          <w:rFonts w:ascii="Arial" w:cs="Arial" w:eastAsia="Arial" w:hAnsi="Arial"/>
          <w:sz w:val="18"/>
          <w:szCs w:val="18"/>
          <w:color w:val="auto"/>
        </w:rPr>
        <w:t>.”</w:t>
      </w:r>
    </w:p>
    <w:p>
      <w:pPr>
        <w:spacing w:after="0" w:line="11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b w:val="1"/>
          <w:bCs w:val="1"/>
          <w:i w:val="1"/>
          <w:iCs w:val="1"/>
          <w:color w:val="auto"/>
        </w:rPr>
        <w:t xml:space="preserve">Mark Partin </w:t>
      </w:r>
      <w:r>
        <w:rPr>
          <w:rFonts w:ascii="Arial" w:cs="Arial" w:eastAsia="Arial" w:hAnsi="Arial"/>
          <w:sz w:val="17"/>
          <w:szCs w:val="17"/>
          <w:color w:val="auto"/>
        </w:rPr>
        <w:t>has served as our Chief Financial Officer since January 2015 and as our Treasurer since February 2015.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Partin served as the Chief Financial Officer for Fiberlink Communications Corporation (now MaaS360, an IBM Company), an Enterprise Mobility Management company from 2005 to 2014. From 1995 to 2005, Mr. Partin served in various senior financial roles for companies such as Headhunter.net, Inc. (now Careerbuilder.com), Contour Medical, Inc. (acquired by Sun Healthcare Group, Inc.), American Health Imaging, and Williams Group International. From 1991 to 1995, Mr. Partin was a CPA and auditor with Arthur Andersen &amp; Co. in Atlanta, Ga. Mr. Partin holds an M.B.A. from Harvard Business School and a B.S. in business administration from the University of Tennessee.</w:t>
      </w:r>
    </w:p>
    <w:p>
      <w:pPr>
        <w:spacing w:after="0" w:line="69"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 xml:space="preserve">Karole Morgan-Prager </w:t>
      </w:r>
      <w:r>
        <w:rPr>
          <w:rFonts w:ascii="Arial" w:cs="Arial" w:eastAsia="Arial" w:hAnsi="Arial"/>
          <w:sz w:val="16"/>
          <w:szCs w:val="16"/>
          <w:color w:val="auto"/>
        </w:rPr>
        <w:t>has served as our Chief Legal and Administrative Officer since May 2015 and as our Secretary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2015 and was named Chief Legal and Administrative Officer in October 2016. Prior to joining us, Ms. Morgan-Prager served as General Counsel and Corporate Secretary of McClatchy Company, a newspaper and internet publisher, from July 1995 to May 2015. She was named Vice President of The McClatchy Company in May 1998 and Vice President, Corporate Development in May 2012. From November 1992 to June 1995, Ms. Morgan-Prager served as Associate General Counsel for The Times Mirror Company, a newspaper publishing company that was acquired by Tribune Co. From October 1987 to October 1992, Ms. Morgan-Prager was an Associate with the law firm Morrison &amp; Foerster, working on corporate securities matters. Ms. Morgan-Prager holds a J.D. from the University of California, Los Angeles and a B.A. in Journalism and Political Science from University of Nevada.</w:t>
      </w:r>
    </w:p>
    <w:p>
      <w:pPr>
        <w:spacing w:after="0" w:line="5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b w:val="1"/>
          <w:bCs w:val="1"/>
          <w:i w:val="1"/>
          <w:iCs w:val="1"/>
          <w:color w:val="auto"/>
        </w:rPr>
        <w:t xml:space="preserve">Pete Hirsch </w:t>
      </w:r>
      <w:r>
        <w:rPr>
          <w:rFonts w:ascii="Arial" w:cs="Arial" w:eastAsia="Arial" w:hAnsi="Arial"/>
          <w:sz w:val="16"/>
          <w:szCs w:val="16"/>
          <w:color w:val="auto"/>
        </w:rPr>
        <w:t>has served as our Chief Technology Officer since February 2019. Prior to joining us, he served as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Technology &amp; Operations at Ellie Mae, a cloud-based mortgage application platform provider, from June 2015 to January 2019. From April 2014 to June 2015, Mr. Hirsch served as Senior Vice President, Ariba Cloud Engineering &amp; Technology, at SAP. From 1994 to 2014, Mr. Hirsch served in various senior engineering roles for companies such as IBM, Valchemy, Inc., Alphablox Corp., and Informix Software, Inc. From 1989 to 1994, Mr. Hirsch was Founder &amp; CEO of 3-D Visions Corp. Mr. Hirsch holds an M.S. in communication systems and a B.S. in electrical engineering from the University of Southern California.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following Compensation Discussion and Analysis describes our executive compensation program and the material elements of our 2019 compensation program applicable to our named executive officers, or NEOs.</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purpose of this section is to provide a detailed discussion of our executive compensation program, policies, practices, and related corporate governance. This section is designed to assist our stockholders in understanding the approach we take to executive compensation, including how our program is designed and linked to our financial performance, and how our executive compensation practices align with the evolution of our business and organizational culture.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NEOs for 2019 are: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Therese Tucker</w:t>
      </w:r>
      <w:r>
        <w:rPr>
          <w:rFonts w:ascii="Arial" w:cs="Arial" w:eastAsia="Arial" w:hAnsi="Arial"/>
          <w:sz w:val="18"/>
          <w:szCs w:val="18"/>
          <w:color w:val="auto"/>
        </w:rPr>
        <w:t>, Chief Executive Officer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Mark Partin</w:t>
      </w:r>
      <w:r>
        <w:rPr>
          <w:rFonts w:ascii="Arial" w:cs="Arial" w:eastAsia="Arial" w:hAnsi="Arial"/>
          <w:sz w:val="18"/>
          <w:szCs w:val="18"/>
          <w:color w:val="auto"/>
        </w:rPr>
        <w:t>, Chief Financial Officer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Marc Huffman</w:t>
      </w:r>
      <w:r>
        <w:rPr>
          <w:rFonts w:ascii="Arial" w:cs="Arial" w:eastAsia="Arial" w:hAnsi="Arial"/>
          <w:sz w:val="18"/>
          <w:szCs w:val="18"/>
          <w:color w:val="auto"/>
        </w:rPr>
        <w:t>, President and Chief Operating Officer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Karole Morgan-Prager</w:t>
      </w:r>
      <w:r>
        <w:rPr>
          <w:rFonts w:ascii="Arial" w:cs="Arial" w:eastAsia="Arial" w:hAnsi="Arial"/>
          <w:sz w:val="18"/>
          <w:szCs w:val="18"/>
          <w:color w:val="auto"/>
        </w:rPr>
        <w:t>, Chief Legal and Administrative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Business Highlights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fiscal year 2019, we delivered strong results from a financial and operational standpoint, as highlighted by the following:</w:t>
      </w:r>
    </w:p>
    <w:p>
      <w:pPr>
        <w:spacing w:after="0" w:line="129" w:lineRule="exact"/>
        <w:rPr>
          <w:sz w:val="20"/>
          <w:szCs w:val="20"/>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GAAP Revenue grew to $289 million, representing an increase of $61.2 million or 27% year-over-year.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Non-GAAP net income grew to $22 million, an increase of $16.5 million or 299% over the prior year.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cash flow grew to $29.7 million, an increase of $13.6 million or 84% over the prior year.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cash flow grew to $19.6 million, an increase of $15.4 million or 369% over the prior year.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see Appendix A to this Proxy Statement for a reconciliation of GAAP and non-GAAP net income and free cash flow.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mission is to transform how finance and accounting departments operate by modernizing accounting through unifying data and processes, automating repetitive work, and driving accountability through visibility. We have created a comprehensive cloud-based software platform designed to automate, centralize, and streamline financial close operations and other key Finance &amp; Accounting processes for large and midsize organizations.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are committed to developing a compensation program that rewards our executives in direct alignment with the achievement of both near- and long-term business and strategic objectives (i.e., pay-for-performance). In furtherance of this objective, our compensation committee routinely considers appropriate adjustments to the design of our compensation program to reflect our strategic direction and evolving needs of our business. Additionally, our compensation committee seeks to set compensation levels for our executive officers at competitive levels so that we can attract, retain, and motivate highly qualified executives to contribute to our success. In assessing the overall compensation for executive officers, the compensation committee generally considers our financial performance, stockholder returns and position vs. selected peers, market compensation data, executive’s performance, awards given in previous years, and recommendations of our independent consultant.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When making executive compensation decisions, the compensation committee is guided by the following principles:</w:t>
      </w:r>
    </w:p>
    <w:p>
      <w:pPr>
        <w:spacing w:after="0" w:line="125" w:lineRule="exact"/>
        <w:rPr>
          <w:sz w:val="20"/>
          <w:szCs w:val="20"/>
          <w:color w:val="auto"/>
        </w:rPr>
      </w:pPr>
    </w:p>
    <w:p>
      <w:pPr>
        <w:ind w:left="700" w:hanging="344"/>
        <w:spacing w:after="0" w:line="282"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Attracting and retaining </w:t>
      </w:r>
      <w:r>
        <w:rPr>
          <w:rFonts w:ascii="Arial" w:cs="Arial" w:eastAsia="Arial" w:hAnsi="Arial"/>
          <w:sz w:val="18"/>
          <w:szCs w:val="18"/>
          <w:color w:val="auto"/>
        </w:rPr>
        <w:t>senior executives with the right expertise necessary to achieve our strategic objectives and grow</w:t>
      </w:r>
      <w:r>
        <w:rPr>
          <w:rFonts w:ascii="Arial" w:cs="Arial" w:eastAsia="Arial" w:hAnsi="Arial"/>
          <w:sz w:val="18"/>
          <w:szCs w:val="18"/>
          <w:b w:val="1"/>
          <w:bCs w:val="1"/>
          <w:color w:val="auto"/>
        </w:rPr>
        <w:t xml:space="preserve"> </w:t>
      </w:r>
      <w:r>
        <w:rPr>
          <w:rFonts w:ascii="Arial" w:cs="Arial" w:eastAsia="Arial" w:hAnsi="Arial"/>
          <w:sz w:val="18"/>
          <w:szCs w:val="18"/>
          <w:color w:val="auto"/>
        </w:rPr>
        <w:t>our organization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right="920" w:hanging="344"/>
        <w:spacing w:after="0" w:line="282"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Paying for performance </w:t>
      </w:r>
      <w:r>
        <w:rPr>
          <w:rFonts w:ascii="Arial" w:cs="Arial" w:eastAsia="Arial" w:hAnsi="Arial"/>
          <w:sz w:val="18"/>
          <w:szCs w:val="18"/>
          <w:color w:val="auto"/>
        </w:rPr>
        <w:t>to ensure that a significant portion of executives’ compensation is realized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meets its financial results</w:t>
      </w:r>
    </w:p>
    <w:p>
      <w:pPr>
        <w:spacing w:after="0" w:line="53" w:lineRule="exact"/>
        <w:rPr>
          <w:rFonts w:ascii="Arial" w:cs="Arial" w:eastAsia="Arial" w:hAnsi="Arial"/>
          <w:sz w:val="18"/>
          <w:szCs w:val="18"/>
          <w:color w:val="auto"/>
        </w:rPr>
      </w:pPr>
    </w:p>
    <w:p>
      <w:pPr>
        <w:ind w:left="700" w:right="200" w:hanging="344"/>
        <w:spacing w:after="0" w:line="282"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Aligning interests of our executives with stockholders </w:t>
      </w:r>
      <w:r>
        <w:rPr>
          <w:rFonts w:ascii="Arial" w:cs="Arial" w:eastAsia="Arial" w:hAnsi="Arial"/>
          <w:sz w:val="18"/>
          <w:szCs w:val="18"/>
          <w:color w:val="auto"/>
        </w:rPr>
        <w:t>to ensure that executives’ compensation payouts align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results that are correlated with long-term value and stock price appreciation</w:t>
      </w:r>
    </w:p>
    <w:p>
      <w:pPr>
        <w:spacing w:after="0" w:line="53" w:lineRule="exact"/>
        <w:rPr>
          <w:rFonts w:ascii="Arial" w:cs="Arial" w:eastAsia="Arial" w:hAnsi="Arial"/>
          <w:sz w:val="18"/>
          <w:szCs w:val="18"/>
          <w:color w:val="auto"/>
        </w:rPr>
      </w:pPr>
    </w:p>
    <w:p>
      <w:pPr>
        <w:ind w:left="700" w:right="120" w:hanging="344"/>
        <w:spacing w:after="0" w:line="282"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Rewarding achievement </w:t>
      </w:r>
      <w:r>
        <w:rPr>
          <w:rFonts w:ascii="Arial" w:cs="Arial" w:eastAsia="Arial" w:hAnsi="Arial"/>
          <w:sz w:val="18"/>
          <w:szCs w:val="18"/>
          <w:color w:val="auto"/>
        </w:rPr>
        <w:t>by providing appropriate levels of awards for attaining both short-term and long-term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 and Mix</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2019 executive compensation program consisted of the following core elements:</w:t>
      </w:r>
    </w:p>
    <w:p>
      <w:pPr>
        <w:spacing w:after="0" w:line="117" w:lineRule="exact"/>
        <w:rPr>
          <w:sz w:val="20"/>
          <w:szCs w:val="20"/>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equity compensation (RSUs and stock options);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Retirement and health benefits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2019 Executive Compensation Highlights</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5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 HIGHLIGHT</w:t>
            </w:r>
          </w:p>
        </w:tc>
        <w:tc>
          <w:tcPr>
            <w:tcW w:w="320" w:type="dxa"/>
            <w:vAlign w:val="bottom"/>
            <w:tcBorders>
              <w:top w:val="single" w:sz="8" w:color="auto"/>
              <w:bottom w:val="single" w:sz="8" w:color="auto"/>
            </w:tcBorders>
          </w:tcPr>
          <w:p>
            <w:pPr>
              <w:spacing w:after="0"/>
              <w:rPr>
                <w:sz w:val="17"/>
                <w:szCs w:val="17"/>
                <w:color w:val="auto"/>
              </w:rPr>
            </w:pPr>
          </w:p>
        </w:tc>
        <w:tc>
          <w:tcPr>
            <w:tcW w:w="568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UNDERLYING PHILOSOPHY/CONSIDERATIONS</w:t>
            </w:r>
          </w:p>
        </w:tc>
      </w:tr>
      <w:tr>
        <w:trPr>
          <w:trHeight w:val="209"/>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Pay for performance alignment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We strive to maintain a pay for performance alignment by allocating a</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meaningful portion of the overall compensation opportunity for our NEOs</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in the form of performance-based compensation that is at risk and directly</w:t>
            </w: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tied to specific financial objectives.</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performance-based compensation philosophy seeks to align the</w:t>
            </w: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interests of our NEOs to the interests of our stockholders.</w:t>
            </w:r>
          </w:p>
        </w:tc>
      </w:tr>
      <w:tr>
        <w:trPr>
          <w:trHeight w:val="211"/>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3"/>
              </w:rPr>
              <w:t>Alignment of performance metrics with key</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Identifying and selecting the right performance metrics for our</w:t>
            </w:r>
          </w:p>
        </w:tc>
      </w:tr>
      <w:tr>
        <w:trPr>
          <w:trHeight w:val="220"/>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strategic objectives</w:t>
            </w:r>
          </w:p>
        </w:tc>
        <w:tc>
          <w:tcPr>
            <w:tcW w:w="320" w:type="dxa"/>
            <w:vAlign w:val="bottom"/>
          </w:tcPr>
          <w:p>
            <w:pPr>
              <w:spacing w:after="0"/>
              <w:rPr>
                <w:sz w:val="19"/>
                <w:szCs w:val="19"/>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performance-based compensation is key to incentivizing our executives to</w:t>
            </w: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achieve our strategic plan, which promotes the interest of our stockholders.</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In 2019, our strategic focus was to grow our top-line toward profitability.</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With this in mind, we selected three key performance metrics for the 2019</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annual cash bonus plan to drive top-line performance: free cash flow,</w:t>
            </w: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revenue, and net income.</w:t>
            </w:r>
          </w:p>
        </w:tc>
      </w:tr>
      <w:tr>
        <w:trPr>
          <w:trHeight w:val="215"/>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Limited base salary increases</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No changes were made to the base salaries for our NEOs in 2019 apart</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from Ms. Morgan-Prager, who received a 2.9% increase to better align her</w:t>
            </w: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3"/>
              </w:rPr>
              <w:t>base salary with current market practices and to reflect her expanded role.</w:t>
            </w:r>
          </w:p>
        </w:tc>
      </w:tr>
      <w:tr>
        <w:trPr>
          <w:trHeight w:val="211"/>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5"/>
              </w:rPr>
              <w:t>Continued focus on executive recruitment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While we seek to develop our executive compensation program so that it</w:t>
            </w:r>
          </w:p>
        </w:tc>
      </w:tr>
      <w:tr>
        <w:trPr>
          <w:trHeight w:val="220"/>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and retention</w:t>
            </w:r>
          </w:p>
        </w:tc>
        <w:tc>
          <w:tcPr>
            <w:tcW w:w="320" w:type="dxa"/>
            <w:vAlign w:val="bottom"/>
          </w:tcPr>
          <w:p>
            <w:pPr>
              <w:spacing w:after="0"/>
              <w:rPr>
                <w:sz w:val="19"/>
                <w:szCs w:val="19"/>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closely aligns with our pay-for-performance philosophy and rewards</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achievement of performance goals, this objective must complement other</w:t>
            </w: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important objectives, including the hiring and retention of executives.</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 order to improve recruitment and strengthen retention in 2019, we</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granted equity awards that vest solely over a time-based schedule and are</w:t>
            </w: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not tied to company performance.</w:t>
            </w:r>
          </w:p>
        </w:tc>
      </w:tr>
      <w:tr>
        <w:trPr>
          <w:trHeight w:val="211"/>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Strong Stockholder Support for our</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At the 2019 annual meeting, our stockholders overwhelmingly voted, on an</w:t>
            </w:r>
          </w:p>
        </w:tc>
      </w:tr>
      <w:tr>
        <w:trPr>
          <w:trHeight w:val="220"/>
        </w:trPr>
        <w:tc>
          <w:tcPr>
            <w:tcW w:w="3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Executive Compensation Programs</w:t>
            </w:r>
          </w:p>
        </w:tc>
        <w:tc>
          <w:tcPr>
            <w:tcW w:w="320" w:type="dxa"/>
            <w:vAlign w:val="bottom"/>
          </w:tcPr>
          <w:p>
            <w:pPr>
              <w:spacing w:after="0"/>
              <w:rPr>
                <w:sz w:val="19"/>
                <w:szCs w:val="19"/>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advisory basis, in favor of our NEOs’ compensation with 99% approval.</w:t>
            </w: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We believe that the results of this vote affirm our stockholders’ support of</w:t>
            </w: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our approach to executive compensation.</w:t>
            </w:r>
          </w:p>
        </w:tc>
      </w:tr>
      <w:tr>
        <w:trPr>
          <w:trHeight w:val="432"/>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ind w:left="820"/>
              <w:spacing w:after="0"/>
              <w:rPr>
                <w:sz w:val="20"/>
                <w:szCs w:val="20"/>
                <w:color w:val="auto"/>
              </w:rPr>
            </w:pPr>
            <w:r>
              <w:rPr>
                <w:rFonts w:ascii="Arial" w:cs="Arial" w:eastAsia="Arial" w:hAnsi="Arial"/>
                <w:sz w:val="18"/>
                <w:szCs w:val="18"/>
                <w:color w:val="auto"/>
              </w:rPr>
              <w:t>27</w:t>
            </w:r>
          </w:p>
        </w:tc>
      </w:tr>
      <w:tr>
        <w:trPr>
          <w:trHeight w:val="459"/>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67"/>
        </w:trPr>
        <w:tc>
          <w:tcPr>
            <w:tcW w:w="3560" w:type="dxa"/>
            <w:vAlign w:val="bottom"/>
            <w:tcBorders>
              <w:left w:val="single" w:sz="8" w:color="auto"/>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56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Pay-for-Performance Discussion</w:t>
      </w:r>
    </w:p>
    <w:p>
      <w:pPr>
        <w:spacing w:after="0" w:line="117"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Our executive compensation program is reasonable, competitive, and appropriately balances the goals of attracting, motivating, rewarding, and retaining our NEOs. To ensure our NEOs’ interests are aligned with those of our stockholders and to motivate and reward individual initiative and effort, a substantial portion of their annual target total direct compensation opportunity is “at-risk” and the actual amounts payable to our NEOs will vary above or below target levels commensurate with our performance.</w:t>
      </w:r>
    </w:p>
    <w:p>
      <w:pPr>
        <w:spacing w:after="0" w:line="49"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We emphasize performance-based compensation that appropriately rewards our NEOs for delivering financial, operational, and strategic results that meet or exceed pre-established goals through our cash bonus plan and equity awards.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illustrates at-risk pay versus fixed and time-based pay for our NEOs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83185</wp:posOffset>
            </wp:positionV>
            <wp:extent cx="5306060" cy="1680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0606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maintain sound governance standards consistent with our executive compensation policies and practices. The compensation committee evaluates our executive compensation program regularly to ensure that it supports our short-term and long-term goals given the dynamic nature of our business and the market in which we compete for executive talent. These policies and practices were in effect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6099175" cy="5250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9175" cy="5250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p>
      <w:pPr>
        <w:spacing w:after="0" w:line="18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What we do</w:t>
      </w:r>
    </w:p>
    <w:p>
      <w:pPr>
        <w:spacing w:after="0" w:line="117" w:lineRule="exact"/>
        <w:rPr>
          <w:sz w:val="20"/>
          <w:szCs w:val="20"/>
          <w:color w:val="auto"/>
        </w:rPr>
      </w:pPr>
    </w:p>
    <w:p>
      <w:pPr>
        <w:ind w:left="360" w:right="462" w:hanging="310"/>
        <w:spacing w:after="0" w:line="258" w:lineRule="auto"/>
        <w:tabs>
          <w:tab w:leader="none" w:pos="360" w:val="left"/>
        </w:tabs>
        <w:numPr>
          <w:ilvl w:val="0"/>
          <w:numId w:val="26"/>
        </w:numPr>
        <w:rPr>
          <w:rFonts w:ascii="MS PGothic" w:cs="MS PGothic" w:eastAsia="MS PGothic" w:hAnsi="MS PGothic"/>
          <w:sz w:val="18"/>
          <w:szCs w:val="18"/>
          <w:color w:val="auto"/>
        </w:rPr>
      </w:pPr>
      <w:r>
        <w:rPr>
          <w:rFonts w:ascii="Arial" w:cs="Arial" w:eastAsia="Arial" w:hAnsi="Arial"/>
          <w:sz w:val="18"/>
          <w:szCs w:val="18"/>
          <w:b w:val="1"/>
          <w:bCs w:val="1"/>
          <w:color w:val="auto"/>
        </w:rPr>
        <w:t>Independent Compensation Committee Advisor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engaged its own independent compensation consultant to assist with the design of the 2019 executive compensation program.</w:t>
      </w:r>
    </w:p>
    <w:p>
      <w:pPr>
        <w:spacing w:after="0" w:line="75" w:lineRule="exact"/>
        <w:rPr>
          <w:rFonts w:ascii="MS PGothic" w:cs="MS PGothic" w:eastAsia="MS PGothic" w:hAnsi="MS PGothic"/>
          <w:sz w:val="18"/>
          <w:szCs w:val="18"/>
          <w:color w:val="auto"/>
        </w:rPr>
      </w:pPr>
    </w:p>
    <w:p>
      <w:pPr>
        <w:ind w:left="360" w:right="422" w:hanging="310"/>
        <w:spacing w:after="0" w:line="261" w:lineRule="auto"/>
        <w:tabs>
          <w:tab w:leader="none" w:pos="360" w:val="left"/>
        </w:tabs>
        <w:numPr>
          <w:ilvl w:val="0"/>
          <w:numId w:val="2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Executive Compensation Review.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conducts an annual review of compensation for our NEOs and a review of compensation-related risks.</w:t>
      </w:r>
    </w:p>
    <w:p>
      <w:pPr>
        <w:spacing w:after="0" w:line="71" w:lineRule="exact"/>
        <w:rPr>
          <w:rFonts w:ascii="MS PGothic" w:cs="MS PGothic" w:eastAsia="MS PGothic" w:hAnsi="MS PGothic"/>
          <w:sz w:val="18"/>
          <w:szCs w:val="18"/>
          <w:color w:val="auto"/>
        </w:rPr>
      </w:pPr>
    </w:p>
    <w:p>
      <w:pPr>
        <w:ind w:left="360" w:right="262" w:hanging="310"/>
        <w:spacing w:after="0" w:line="291" w:lineRule="auto"/>
        <w:tabs>
          <w:tab w:leader="none" w:pos="360" w:val="left"/>
        </w:tabs>
        <w:numPr>
          <w:ilvl w:val="0"/>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Compensation At-Risk</w:t>
      </w:r>
      <w:r>
        <w:rPr>
          <w:rFonts w:ascii="Arial" w:cs="Arial" w:eastAsia="Arial" w:hAnsi="Arial"/>
          <w:sz w:val="16"/>
          <w:szCs w:val="16"/>
          <w:color w:val="auto"/>
        </w:rPr>
        <w:t>. The executive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is designed so that a significant portion of executive annual compensation is “at risk” to align the interests of our NEOs and our stockholders. The 2019 Bonus Plan achievement for our NEOs was 111.27% of target based on the challenging goals set by the compensation committee and its review of our performance.</w:t>
      </w:r>
    </w:p>
    <w:p>
      <w:pPr>
        <w:spacing w:after="0" w:line="51" w:lineRule="exact"/>
        <w:rPr>
          <w:rFonts w:ascii="MS PGothic" w:cs="MS PGothic" w:eastAsia="MS PGothic" w:hAnsi="MS PGothic"/>
          <w:sz w:val="16"/>
          <w:szCs w:val="16"/>
          <w:color w:val="auto"/>
        </w:rPr>
      </w:pPr>
    </w:p>
    <w:p>
      <w:pPr>
        <w:ind w:left="360" w:right="362" w:hanging="310"/>
        <w:spacing w:after="0" w:line="298" w:lineRule="auto"/>
        <w:tabs>
          <w:tab w:leader="none" w:pos="360" w:val="left"/>
        </w:tabs>
        <w:numPr>
          <w:ilvl w:val="0"/>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Multi-Year Vesting Requirements</w:t>
      </w:r>
      <w:r>
        <w:rPr>
          <w:rFonts w:ascii="Arial" w:cs="Arial" w:eastAsia="Arial" w:hAnsi="Arial"/>
          <w:sz w:val="16"/>
          <w:szCs w:val="16"/>
          <w:color w:val="auto"/>
        </w:rPr>
        <w:t>.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awards granted to our NEOs vest over four years and no portion of the award vests until approximately 12 months after the grant date, consistent with current market practice and our retention objectives.</w:t>
      </w:r>
    </w:p>
    <w:p>
      <w:pPr>
        <w:spacing w:after="0" w:line="45" w:lineRule="exact"/>
        <w:rPr>
          <w:rFonts w:ascii="MS PGothic" w:cs="MS PGothic" w:eastAsia="MS PGothic" w:hAnsi="MS PGothic"/>
          <w:sz w:val="16"/>
          <w:szCs w:val="16"/>
          <w:color w:val="auto"/>
        </w:rPr>
      </w:pPr>
    </w:p>
    <w:p>
      <w:pPr>
        <w:jc w:val="both"/>
        <w:ind w:left="360" w:right="242" w:hanging="310"/>
        <w:spacing w:after="0" w:line="314" w:lineRule="auto"/>
        <w:tabs>
          <w:tab w:leader="none" w:pos="360" w:val="left"/>
        </w:tabs>
        <w:numPr>
          <w:ilvl w:val="0"/>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Limited Perquisites</w:t>
      </w:r>
      <w:r>
        <w:rPr>
          <w:rFonts w:ascii="Arial" w:cs="Arial" w:eastAsia="Arial" w:hAnsi="Arial"/>
          <w:sz w:val="16"/>
          <w:szCs w:val="16"/>
          <w:color w:val="auto"/>
        </w:rPr>
        <w:t>. We provide minimal perquisites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personal benefits to our NEOs, except where they serve a legitimate business purpose.</w:t>
      </w:r>
    </w:p>
    <w:p>
      <w:pPr>
        <w:spacing w:after="0" w:line="33" w:lineRule="exact"/>
        <w:rPr>
          <w:rFonts w:ascii="MS PGothic" w:cs="MS PGothic" w:eastAsia="MS PGothic" w:hAnsi="MS PGothic"/>
          <w:sz w:val="16"/>
          <w:szCs w:val="16"/>
          <w:color w:val="auto"/>
        </w:rPr>
      </w:pPr>
    </w:p>
    <w:p>
      <w:pPr>
        <w:ind w:left="360" w:right="262" w:hanging="310"/>
        <w:spacing w:after="0" w:line="314" w:lineRule="auto"/>
        <w:tabs>
          <w:tab w:leader="none" w:pos="360" w:val="left"/>
        </w:tabs>
        <w:numPr>
          <w:ilvl w:val="0"/>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Stock Ownership Guidelines</w:t>
      </w:r>
      <w:r>
        <w:rPr>
          <w:rFonts w:ascii="Arial" w:cs="Arial" w:eastAsia="Arial" w:hAnsi="Arial"/>
          <w:sz w:val="16"/>
          <w:szCs w:val="16"/>
          <w:color w:val="auto"/>
        </w:rPr>
        <w:t>. We have robust stock</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guidelines in order to encourage stock ownership among our directors and executive officers.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458"/>
        <w:spacing w:after="0"/>
        <w:rPr>
          <w:sz w:val="20"/>
          <w:szCs w:val="20"/>
          <w:color w:val="auto"/>
        </w:rPr>
      </w:pPr>
      <w:r>
        <w:rPr>
          <w:rFonts w:ascii="Arial" w:cs="Arial" w:eastAsia="Arial" w:hAnsi="Arial"/>
          <w:sz w:val="18"/>
          <w:szCs w:val="18"/>
          <w:b w:val="1"/>
          <w:bCs w:val="1"/>
          <w:color w:val="auto"/>
        </w:rPr>
        <w:t>What we don’t do</w:t>
      </w:r>
    </w:p>
    <w:p>
      <w:pPr>
        <w:spacing w:after="0" w:line="117" w:lineRule="exact"/>
        <w:rPr>
          <w:sz w:val="20"/>
          <w:szCs w:val="20"/>
          <w:color w:val="auto"/>
        </w:rPr>
      </w:pPr>
    </w:p>
    <w:p>
      <w:pPr>
        <w:ind w:left="358" w:right="80" w:hanging="358"/>
        <w:spacing w:after="0" w:line="274" w:lineRule="auto"/>
        <w:tabs>
          <w:tab w:leader="none" w:pos="358" w:val="left"/>
        </w:tabs>
        <w:numPr>
          <w:ilvl w:val="0"/>
          <w:numId w:val="27"/>
        </w:numPr>
        <w:rPr>
          <w:rFonts w:ascii="MS PGothic" w:cs="MS PGothic" w:eastAsia="MS PGothic" w:hAnsi="MS PGothic"/>
          <w:sz w:val="17"/>
          <w:szCs w:val="17"/>
          <w:color w:val="auto"/>
        </w:rPr>
      </w:pPr>
      <w:r>
        <w:rPr>
          <w:rFonts w:ascii="Arial" w:cs="Arial" w:eastAsia="Arial" w:hAnsi="Arial"/>
          <w:sz w:val="17"/>
          <w:szCs w:val="17"/>
          <w:b w:val="1"/>
          <w:bCs w:val="1"/>
          <w:color w:val="auto"/>
        </w:rPr>
        <w:t>No “Golden Parachute” Tax Reimbursements</w:t>
      </w:r>
      <w:r>
        <w:rPr>
          <w:rFonts w:ascii="Arial" w:cs="Arial" w:eastAsia="Arial" w:hAnsi="Arial"/>
          <w:sz w:val="17"/>
          <w:szCs w:val="17"/>
          <w:color w:val="auto"/>
        </w:rPr>
        <w:t>. We</w:t>
      </w:r>
      <w:r>
        <w:rPr>
          <w:rFonts w:ascii="Arial" w:cs="Arial" w:eastAsia="Arial" w:hAnsi="Arial"/>
          <w:sz w:val="17"/>
          <w:szCs w:val="17"/>
          <w:b w:val="1"/>
          <w:bCs w:val="1"/>
          <w:color w:val="auto"/>
        </w:rPr>
        <w:t xml:space="preserve"> </w:t>
      </w:r>
      <w:r>
        <w:rPr>
          <w:rFonts w:ascii="Arial" w:cs="Arial" w:eastAsia="Arial" w:hAnsi="Arial"/>
          <w:sz w:val="17"/>
          <w:szCs w:val="17"/>
          <w:color w:val="auto"/>
        </w:rPr>
        <w:t>do not provide any tax reimbursement payments (including “gross-ups”) on any tax liability that our NEOs might owe as a result of the application of Sections 280G or 4999 of the Internal Revenue Code (the “Code”).</w:t>
      </w:r>
    </w:p>
    <w:p>
      <w:pPr>
        <w:spacing w:after="0" w:line="65" w:lineRule="exact"/>
        <w:rPr>
          <w:rFonts w:ascii="MS PGothic" w:cs="MS PGothic" w:eastAsia="MS PGothic" w:hAnsi="MS PGothic"/>
          <w:sz w:val="17"/>
          <w:szCs w:val="17"/>
          <w:color w:val="auto"/>
        </w:rPr>
      </w:pPr>
    </w:p>
    <w:p>
      <w:pPr>
        <w:ind w:left="358" w:right="80" w:hanging="358"/>
        <w:spacing w:after="0" w:line="261" w:lineRule="auto"/>
        <w:tabs>
          <w:tab w:leader="none" w:pos="358" w:val="left"/>
        </w:tabs>
        <w:numPr>
          <w:ilvl w:val="0"/>
          <w:numId w:val="27"/>
        </w:numPr>
        <w:rPr>
          <w:rFonts w:ascii="MS PGothic" w:cs="MS PGothic" w:eastAsia="MS PGothic" w:hAnsi="MS PGothic"/>
          <w:sz w:val="18"/>
          <w:szCs w:val="18"/>
          <w:color w:val="auto"/>
        </w:rPr>
      </w:pPr>
      <w:r>
        <w:rPr>
          <w:rFonts w:ascii="Arial" w:cs="Arial" w:eastAsia="Arial" w:hAnsi="Arial"/>
          <w:sz w:val="18"/>
          <w:szCs w:val="18"/>
          <w:b w:val="1"/>
          <w:bCs w:val="1"/>
          <w:color w:val="auto"/>
        </w:rPr>
        <w:t>No Stock Options Granted with an Exercise Price Less Than Fair Market Value</w:t>
      </w:r>
      <w:r>
        <w:rPr>
          <w:rFonts w:ascii="Arial" w:cs="Arial" w:eastAsia="Arial" w:hAnsi="Arial"/>
          <w:sz w:val="18"/>
          <w:szCs w:val="18"/>
          <w:color w:val="auto"/>
        </w:rPr>
        <w:t>. All stock options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with an exercise price at the closing market price on the grant date.</w:t>
      </w:r>
    </w:p>
    <w:p>
      <w:pPr>
        <w:spacing w:after="0" w:line="71" w:lineRule="exact"/>
        <w:rPr>
          <w:rFonts w:ascii="MS PGothic" w:cs="MS PGothic" w:eastAsia="MS PGothic" w:hAnsi="MS PGothic"/>
          <w:sz w:val="18"/>
          <w:szCs w:val="18"/>
          <w:color w:val="auto"/>
        </w:rPr>
      </w:pPr>
    </w:p>
    <w:p>
      <w:pPr>
        <w:ind w:left="358" w:right="200" w:hanging="358"/>
        <w:spacing w:after="0" w:line="258" w:lineRule="auto"/>
        <w:tabs>
          <w:tab w:leader="none" w:pos="358" w:val="left"/>
        </w:tabs>
        <w:numPr>
          <w:ilvl w:val="0"/>
          <w:numId w:val="27"/>
        </w:numPr>
        <w:rPr>
          <w:rFonts w:ascii="MS PGothic" w:cs="MS PGothic" w:eastAsia="MS PGothic" w:hAnsi="MS PGothic"/>
          <w:sz w:val="18"/>
          <w:szCs w:val="18"/>
          <w:color w:val="auto"/>
        </w:rPr>
      </w:pPr>
      <w:r>
        <w:rPr>
          <w:rFonts w:ascii="Arial" w:cs="Arial" w:eastAsia="Arial" w:hAnsi="Arial"/>
          <w:sz w:val="18"/>
          <w:szCs w:val="18"/>
          <w:b w:val="1"/>
          <w:bCs w:val="1"/>
          <w:color w:val="auto"/>
        </w:rPr>
        <w:t>No Special Retirement Plans</w:t>
      </w:r>
      <w:r>
        <w:rPr>
          <w:rFonts w:ascii="Arial" w:cs="Arial" w:eastAsia="Arial" w:hAnsi="Arial"/>
          <w:sz w:val="18"/>
          <w:szCs w:val="18"/>
          <w:color w:val="auto"/>
        </w:rPr>
        <w:t>. We do not offer, nor</w:t>
      </w:r>
      <w:r>
        <w:rPr>
          <w:rFonts w:ascii="Arial" w:cs="Arial" w:eastAsia="Arial" w:hAnsi="Arial"/>
          <w:sz w:val="18"/>
          <w:szCs w:val="18"/>
          <w:b w:val="1"/>
          <w:bCs w:val="1"/>
          <w:color w:val="auto"/>
        </w:rPr>
        <w:t xml:space="preserve"> </w:t>
      </w:r>
      <w:r>
        <w:rPr>
          <w:rFonts w:ascii="Arial" w:cs="Arial" w:eastAsia="Arial" w:hAnsi="Arial"/>
          <w:sz w:val="18"/>
          <w:szCs w:val="18"/>
          <w:color w:val="auto"/>
        </w:rPr>
        <w:t>do we have plans to provide, pension arrangements, retirement plans or nonqualified deferred compensation plans or arrangements exclusively to our NEOs.</w:t>
      </w:r>
    </w:p>
    <w:p>
      <w:pPr>
        <w:spacing w:after="0" w:line="75" w:lineRule="exact"/>
        <w:rPr>
          <w:rFonts w:ascii="MS PGothic" w:cs="MS PGothic" w:eastAsia="MS PGothic" w:hAnsi="MS PGothic"/>
          <w:sz w:val="18"/>
          <w:szCs w:val="18"/>
          <w:color w:val="auto"/>
        </w:rPr>
      </w:pPr>
    </w:p>
    <w:p>
      <w:pPr>
        <w:ind w:left="358" w:right="20" w:hanging="358"/>
        <w:spacing w:after="0" w:line="261" w:lineRule="auto"/>
        <w:tabs>
          <w:tab w:leader="none" w:pos="358" w:val="left"/>
        </w:tabs>
        <w:numPr>
          <w:ilvl w:val="0"/>
          <w:numId w:val="27"/>
        </w:numPr>
        <w:rPr>
          <w:rFonts w:ascii="MS PGothic" w:cs="MS PGothic" w:eastAsia="MS PGothic" w:hAnsi="MS PGothic"/>
          <w:sz w:val="18"/>
          <w:szCs w:val="18"/>
          <w:color w:val="auto"/>
        </w:rPr>
      </w:pPr>
      <w:r>
        <w:rPr>
          <w:rFonts w:ascii="Arial" w:cs="Arial" w:eastAsia="Arial" w:hAnsi="Arial"/>
          <w:sz w:val="18"/>
          <w:szCs w:val="18"/>
          <w:b w:val="1"/>
          <w:bCs w:val="1"/>
          <w:color w:val="auto"/>
        </w:rPr>
        <w:t>No Special Health and Welfare Benefits</w:t>
      </w:r>
      <w:r>
        <w:rPr>
          <w:rFonts w:ascii="Arial" w:cs="Arial" w:eastAsia="Arial" w:hAnsi="Arial"/>
          <w:sz w:val="18"/>
          <w:szCs w:val="18"/>
          <w:color w:val="auto"/>
        </w:rPr>
        <w:t>. Our NEOs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same company-sponsored health and welfare benefits programs as our other full-time, salaried employees.</w:t>
      </w:r>
    </w:p>
    <w:p>
      <w:pPr>
        <w:spacing w:after="0" w:line="71" w:lineRule="exact"/>
        <w:rPr>
          <w:rFonts w:ascii="MS PGothic" w:cs="MS PGothic" w:eastAsia="MS PGothic" w:hAnsi="MS PGothic"/>
          <w:sz w:val="18"/>
          <w:szCs w:val="18"/>
          <w:color w:val="auto"/>
        </w:rPr>
      </w:pPr>
    </w:p>
    <w:p>
      <w:pPr>
        <w:ind w:left="358" w:right="20" w:hanging="358"/>
        <w:spacing w:after="0" w:line="288" w:lineRule="auto"/>
        <w:tabs>
          <w:tab w:leader="none" w:pos="358" w:val="left"/>
        </w:tabs>
        <w:numPr>
          <w:ilvl w:val="0"/>
          <w:numId w:val="27"/>
        </w:numPr>
        <w:rPr>
          <w:rFonts w:ascii="MS PGothic" w:cs="MS PGothic" w:eastAsia="MS PGothic" w:hAnsi="MS PGothic"/>
          <w:sz w:val="16"/>
          <w:szCs w:val="16"/>
          <w:color w:val="auto"/>
        </w:rPr>
      </w:pPr>
      <w:r>
        <w:rPr>
          <w:rFonts w:ascii="Arial" w:cs="Arial" w:eastAsia="Arial" w:hAnsi="Arial"/>
          <w:sz w:val="16"/>
          <w:szCs w:val="16"/>
          <w:b w:val="1"/>
          <w:bCs w:val="1"/>
          <w:color w:val="auto"/>
        </w:rPr>
        <w:t>No “Single Trigger” Change of Control Arrangements</w:t>
      </w:r>
      <w:r>
        <w:rPr>
          <w:rFonts w:ascii="Arial" w:cs="Arial" w:eastAsia="Arial" w:hAnsi="Arial"/>
          <w:sz w:val="16"/>
          <w:szCs w:val="16"/>
          <w:color w:val="auto"/>
        </w:rPr>
        <w:t>. No change of control payments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are triggered simply by the occurrence of a change of control. All change-of-control payments and benefits are based on a “double-trigger” arrangement (that is, they either require both a change of control of the company plus a qualifying termination of employment before payments and benefits are paid or, in the case of certain performance awards, require a change of control of the company and the award is not assumed in the acquisition).</w:t>
      </w:r>
    </w:p>
    <w:p>
      <w:pPr>
        <w:spacing w:after="0" w:line="55" w:lineRule="exact"/>
        <w:rPr>
          <w:rFonts w:ascii="MS PGothic" w:cs="MS PGothic" w:eastAsia="MS PGothic" w:hAnsi="MS PGothic"/>
          <w:sz w:val="16"/>
          <w:szCs w:val="16"/>
          <w:color w:val="auto"/>
        </w:rPr>
      </w:pPr>
    </w:p>
    <w:p>
      <w:pPr>
        <w:ind w:left="358" w:right="320" w:hanging="358"/>
        <w:spacing w:after="0" w:line="314" w:lineRule="auto"/>
        <w:tabs>
          <w:tab w:leader="none" w:pos="358" w:val="left"/>
        </w:tabs>
        <w:numPr>
          <w:ilvl w:val="0"/>
          <w:numId w:val="27"/>
        </w:numPr>
        <w:rPr>
          <w:rFonts w:ascii="MS PGothic" w:cs="MS PGothic" w:eastAsia="MS PGothic" w:hAnsi="MS PGothic"/>
          <w:sz w:val="16"/>
          <w:szCs w:val="16"/>
          <w:color w:val="auto"/>
        </w:rPr>
      </w:pPr>
      <w:r>
        <w:rPr>
          <w:rFonts w:ascii="Arial" w:cs="Arial" w:eastAsia="Arial" w:hAnsi="Arial"/>
          <w:sz w:val="16"/>
          <w:szCs w:val="16"/>
          <w:b w:val="1"/>
          <w:bCs w:val="1"/>
          <w:color w:val="auto"/>
        </w:rPr>
        <w:t>No Hedging or Pledging</w:t>
      </w:r>
      <w:r>
        <w:rPr>
          <w:rFonts w:ascii="Arial" w:cs="Arial" w:eastAsia="Arial" w:hAnsi="Arial"/>
          <w:sz w:val="16"/>
          <w:szCs w:val="16"/>
          <w:color w:val="auto"/>
        </w:rPr>
        <w:t>. We have a policy that</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restricts employees from hedging our securities or pledging our securities as collateral.</w:t>
      </w:r>
    </w:p>
    <w:p>
      <w:pPr>
        <w:spacing w:after="0" w:line="200" w:lineRule="exact"/>
        <w:rPr>
          <w:sz w:val="20"/>
          <w:szCs w:val="20"/>
          <w:color w:val="auto"/>
        </w:rPr>
      </w:pPr>
    </w:p>
    <w:p>
      <w:pPr>
        <w:sectPr>
          <w:pgSz w:w="11900" w:h="16838" w:orient="portrait"/>
          <w:cols w:equalWidth="0" w:num="2">
            <w:col w:w="4542" w:space="720"/>
            <w:col w:w="4278"/>
          </w:cols>
          <w:pgMar w:left="1160" w:top="279" w:right="1199" w:bottom="1440" w:gutter="0" w:footer="0" w:header="0"/>
          <w:type w:val="continuous"/>
        </w:sect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Executive Compensation Program</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compensation committee discharges the responsibilities of our board of directors relating to the compensation of our NEOs. With respect to our NEOs, the compensation committee reviews and approves at the beginning of the year, or more frequently as warranted, their annual base salaries; cash bonus opportunities and cash bonus payments; long-term equity incentive compensation; employment offers (including post-employment compensation arrangements); and other compensation, perquisites, and other personal benefits, if any.</w:t>
      </w:r>
    </w:p>
    <w:p>
      <w:pPr>
        <w:spacing w:after="0" w:line="80"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compensation committee’s practice of developing and maintaining compensation arrangements that are competitive includes a balance between hiring and retaining the best possible talent and maintaining a reasonable and responsible cost structure.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117"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We do not establish a specific target for setting the target total direct compensation opportunity of our NEOs. When determining and setting the amount of each compensation element, the compensation committee considers the following factors:</w:t>
      </w:r>
    </w:p>
    <w:p>
      <w:pPr>
        <w:spacing w:after="0" w:line="16" w:lineRule="exact"/>
        <w:rPr>
          <w:sz w:val="20"/>
          <w:szCs w:val="20"/>
          <w:color w:val="auto"/>
        </w:rPr>
      </w:pPr>
    </w:p>
    <w:p>
      <w:pPr>
        <w:ind w:left="700" w:hanging="344"/>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objectives established by the compensation committee and our board of directors;</w:t>
      </w:r>
    </w:p>
    <w:p>
      <w:pPr>
        <w:spacing w:after="0" w:line="62" w:lineRule="exact"/>
        <w:rPr>
          <w:rFonts w:ascii="Arial" w:cs="Arial" w:eastAsia="Arial" w:hAnsi="Arial"/>
          <w:sz w:val="18"/>
          <w:szCs w:val="18"/>
          <w:color w:val="auto"/>
        </w:rPr>
      </w:pPr>
    </w:p>
    <w:p>
      <w:pPr>
        <w:ind w:left="700" w:right="20" w:hanging="344"/>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individual NEO’s skills, experience, and qualifications relative to other similarly situated executives at the companies in our compensation peer group;</w:t>
      </w:r>
    </w:p>
    <w:p>
      <w:pPr>
        <w:spacing w:after="0" w:line="62" w:lineRule="exact"/>
        <w:rPr>
          <w:rFonts w:ascii="Arial" w:cs="Arial" w:eastAsia="Arial" w:hAnsi="Arial"/>
          <w:sz w:val="18"/>
          <w:szCs w:val="18"/>
          <w:color w:val="auto"/>
        </w:rPr>
      </w:pPr>
    </w:p>
    <w:p>
      <w:pPr>
        <w:ind w:left="700" w:right="180" w:hanging="344"/>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of each NEO’s role compared to other similarly situated executives at the companies in our compensation peer group;</w:t>
      </w:r>
    </w:p>
    <w:p>
      <w:pPr>
        <w:spacing w:after="0" w:line="62" w:lineRule="exact"/>
        <w:rPr>
          <w:rFonts w:ascii="Arial" w:cs="Arial" w:eastAsia="Arial" w:hAnsi="Arial"/>
          <w:sz w:val="18"/>
          <w:szCs w:val="18"/>
          <w:color w:val="auto"/>
        </w:rPr>
      </w:pPr>
    </w:p>
    <w:p>
      <w:pPr>
        <w:ind w:left="700" w:right="220" w:hanging="344"/>
        <w:spacing w:after="0" w:line="26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each individual NEO, based on a subjective assessment of his or her contributions to our overall performance, ability to lead his or her business unit or function, and work as part of a team, all of which reflect our core values;</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parity among our NEOs;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NEOs other than our CEO, the recommendations of our CEO; and</w:t>
      </w:r>
    </w:p>
    <w:p>
      <w:pPr>
        <w:spacing w:after="0" w:line="117" w:lineRule="exact"/>
        <w:rPr>
          <w:rFonts w:ascii="Arial" w:cs="Arial" w:eastAsia="Arial" w:hAnsi="Arial"/>
          <w:sz w:val="18"/>
          <w:szCs w:val="18"/>
          <w:color w:val="auto"/>
        </w:rPr>
      </w:pPr>
    </w:p>
    <w:p>
      <w:pPr>
        <w:ind w:left="700" w:right="80" w:hanging="344"/>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positioning of each NEO’s compensation in a ranking of peer company compensation levels.</w:t>
      </w:r>
    </w:p>
    <w:p>
      <w:pPr>
        <w:spacing w:after="0" w:line="6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opportunities for each NEO.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compensation committee believes each of our CEO, CFO, and CLAO has valuable insight into the day-to-day contributions of our NEOs, and solicits the advice and input from each with respect to performance objectives under our annual bonus plan. Our CEO also provides input with respect to adjustments to annual base salaries, annual cash bonus opportunities, long-term equity incentive compensation opportunities, program structures, and other compensation-related matters for our NEOs (other than with respect to her own compensation). The compensation committee reviews and discusses these recommendations and proposals with our CEO and uses them as one factor in determining and approving the compensation for our NEOs. Our CEO recuses herself from all discussions and recommendations regarding her own compensation.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For 2019, the compensation committee retained Compensia to serve as its compensation advisor. This compensation consultant serves at the discretion of the compensation committee.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2019, Compensia regularly attended the meetings of the compensation committee and provided the following services:</w:t>
      </w:r>
    </w:p>
    <w:p>
      <w:pPr>
        <w:spacing w:after="0" w:line="140" w:lineRule="exact"/>
        <w:rPr>
          <w:sz w:val="20"/>
          <w:szCs w:val="20"/>
          <w:color w:val="auto"/>
        </w:rPr>
      </w:pPr>
    </w:p>
    <w:p>
      <w:pPr>
        <w:ind w:left="700" w:hanging="344"/>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consulting with the compensation committee chair and other members between compensation committee meetings;</w:t>
      </w:r>
    </w:p>
    <w:p>
      <w:pPr>
        <w:spacing w:after="0" w:line="128" w:lineRule="exact"/>
        <w:rPr>
          <w:rFonts w:ascii="Arial" w:cs="Arial" w:eastAsia="Arial" w:hAnsi="Arial"/>
          <w:sz w:val="17"/>
          <w:szCs w:val="17"/>
          <w:color w:val="auto"/>
        </w:rPr>
      </w:pPr>
    </w:p>
    <w:p>
      <w:pPr>
        <w:ind w:left="700" w:right="300" w:hanging="344"/>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competitive market data based in part on the compensation peer group for our NEO positions and evaluating how the compensation we pay our NEOs compares both to our performance and to how the companies in our compensation peer group compensate their executives;</w:t>
      </w:r>
    </w:p>
    <w:p>
      <w:pPr>
        <w:spacing w:after="0" w:line="75" w:lineRule="exact"/>
        <w:rPr>
          <w:rFonts w:ascii="Arial" w:cs="Arial" w:eastAsia="Arial" w:hAnsi="Arial"/>
          <w:sz w:val="18"/>
          <w:szCs w:val="18"/>
          <w:color w:val="auto"/>
        </w:rPr>
      </w:pPr>
    </w:p>
    <w:p>
      <w:pPr>
        <w:ind w:left="700" w:right="100" w:hanging="344"/>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assessing executive compensation trends within our industry, and updating on corporate governance and regulatory issues and developments;</w:t>
      </w:r>
    </w:p>
    <w:p>
      <w:pPr>
        <w:spacing w:after="0" w:line="62" w:lineRule="exact"/>
        <w:rPr>
          <w:rFonts w:ascii="Arial" w:cs="Arial" w:eastAsia="Arial" w:hAnsi="Arial"/>
          <w:sz w:val="18"/>
          <w:szCs w:val="18"/>
          <w:color w:val="auto"/>
        </w:rPr>
      </w:pPr>
    </w:p>
    <w:p>
      <w:pPr>
        <w:ind w:left="700" w:right="240" w:hanging="344"/>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competitive market data based on the compensation peer group for our board of directors and evaluating how the compensation we pay the non-employee members of our board of directors compares to how the companies in our compensation peer group compensate their boards of directors; and</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market equity compensation practices, including “burn rate” and “overhang.”</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2019, Compensia did not provide any services to us other than the consulting services provided to the compensation committee. The compensation committee regularly reviews the objectivity and independence of the advice provided by its compensation consultant on executive compensation. The compensation committee has considered the six specific independence factors adopted by the SEC and reflected in the listing standards of Nasdaq and determined that the work of Compensia did not raise any conflicts of interest.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color w:val="auto"/>
        </w:rPr>
        <w:t>To compare our executive compensation against the competitive market, the compensation committee reviews and considers the compensation levels and practices of a group of comparable technology companies. The companies in this compensation peer group were selected on the basis of their similarity to us in size, industry focus, and geographic location. For 2019 pay decisions, the compensation committee used compensation data derived from the most recent update of the compensation peer group. The companies in this compensation peer group were selected on the basis of their similarity to us, based on these criteria:</w:t>
      </w:r>
    </w:p>
    <w:p>
      <w:pPr>
        <w:spacing w:after="0" w:line="53" w:lineRule="exact"/>
        <w:rPr>
          <w:sz w:val="20"/>
          <w:szCs w:val="20"/>
          <w:color w:val="auto"/>
        </w:rPr>
      </w:pPr>
    </w:p>
    <w:p>
      <w:pPr>
        <w:ind w:left="700" w:right="100" w:hanging="344"/>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similar revenue size - ~0.5x to ~2.0x our last four fiscal quarter revenue of approximately $224 million (at the time of the peer group review in August 2018);</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similar market capitalization - ~0.3x to ~3.0x our market capitalization of $2.4 billion (at the time of the peer group review in August 2018);</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similar revenue growth and market-capitalization to revenue ratio;</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 application software, internet software and services companies, and systems software;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After consultation with Compensia, the compensation committee approved the following compensation peer group for 2019 executive compensation decisions:</w:t>
      </w:r>
    </w:p>
    <w:p>
      <w:pPr>
        <w:spacing w:after="0" w:line="2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600" w:type="dxa"/>
            <w:vAlign w:val="bottom"/>
          </w:tcPr>
          <w:p>
            <w:pPr>
              <w:jc w:val="center"/>
              <w:ind w:right="750"/>
              <w:spacing w:after="0"/>
              <w:rPr>
                <w:sz w:val="20"/>
                <w:szCs w:val="20"/>
                <w:color w:val="auto"/>
              </w:rPr>
            </w:pPr>
            <w:r>
              <w:rPr>
                <w:rFonts w:ascii="Arial" w:cs="Arial" w:eastAsia="Arial" w:hAnsi="Arial"/>
                <w:sz w:val="18"/>
                <w:szCs w:val="18"/>
                <w:color w:val="auto"/>
                <w:w w:val="94"/>
              </w:rPr>
              <w:t>Alarm.com Holdings</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1"/>
              </w:rPr>
              <w:t>HubSpot</w:t>
            </w:r>
          </w:p>
        </w:tc>
        <w:tc>
          <w:tcPr>
            <w:tcW w:w="2220" w:type="dxa"/>
            <w:vAlign w:val="bottom"/>
          </w:tcPr>
          <w:p>
            <w:pPr>
              <w:jc w:val="center"/>
              <w:ind w:left="930"/>
              <w:spacing w:after="0"/>
              <w:rPr>
                <w:sz w:val="20"/>
                <w:szCs w:val="20"/>
                <w:color w:val="auto"/>
              </w:rPr>
            </w:pPr>
            <w:r>
              <w:rPr>
                <w:rFonts w:ascii="Arial" w:cs="Arial" w:eastAsia="Arial" w:hAnsi="Arial"/>
                <w:sz w:val="18"/>
                <w:szCs w:val="18"/>
                <w:color w:val="auto"/>
                <w:w w:val="92"/>
              </w:rPr>
              <w:t>Qualys</w:t>
            </w:r>
          </w:p>
        </w:tc>
      </w:tr>
      <w:tr>
        <w:trPr>
          <w:trHeight w:val="243"/>
        </w:trPr>
        <w:tc>
          <w:tcPr>
            <w:tcW w:w="2600" w:type="dxa"/>
            <w:vAlign w:val="bottom"/>
          </w:tcPr>
          <w:p>
            <w:pPr>
              <w:jc w:val="center"/>
              <w:ind w:right="750"/>
              <w:spacing w:after="0"/>
              <w:rPr>
                <w:sz w:val="20"/>
                <w:szCs w:val="20"/>
                <w:color w:val="auto"/>
              </w:rPr>
            </w:pPr>
            <w:r>
              <w:rPr>
                <w:rFonts w:ascii="Arial" w:cs="Arial" w:eastAsia="Arial" w:hAnsi="Arial"/>
                <w:sz w:val="18"/>
                <w:szCs w:val="18"/>
                <w:color w:val="auto"/>
              </w:rPr>
              <w:t>Alteryx</w:t>
            </w:r>
          </w:p>
        </w:tc>
        <w:tc>
          <w:tcPr>
            <w:tcW w:w="3180" w:type="dxa"/>
            <w:vAlign w:val="bottom"/>
          </w:tcPr>
          <w:p>
            <w:pPr>
              <w:jc w:val="center"/>
              <w:ind w:right="110"/>
              <w:spacing w:after="0"/>
              <w:rPr>
                <w:sz w:val="20"/>
                <w:szCs w:val="20"/>
                <w:color w:val="auto"/>
              </w:rPr>
            </w:pPr>
            <w:r>
              <w:rPr>
                <w:rFonts w:ascii="Arial" w:cs="Arial" w:eastAsia="Arial" w:hAnsi="Arial"/>
                <w:sz w:val="18"/>
                <w:szCs w:val="18"/>
                <w:color w:val="auto"/>
                <w:w w:val="91"/>
              </w:rPr>
              <w:t>Instructure</w:t>
            </w:r>
          </w:p>
        </w:tc>
        <w:tc>
          <w:tcPr>
            <w:tcW w:w="2220" w:type="dxa"/>
            <w:vAlign w:val="bottom"/>
          </w:tcPr>
          <w:p>
            <w:pPr>
              <w:jc w:val="center"/>
              <w:ind w:left="930"/>
              <w:spacing w:after="0"/>
              <w:rPr>
                <w:sz w:val="20"/>
                <w:szCs w:val="20"/>
                <w:color w:val="auto"/>
              </w:rPr>
            </w:pPr>
            <w:r>
              <w:rPr>
                <w:rFonts w:ascii="Arial" w:cs="Arial" w:eastAsia="Arial" w:hAnsi="Arial"/>
                <w:sz w:val="18"/>
                <w:szCs w:val="18"/>
                <w:color w:val="auto"/>
                <w:w w:val="91"/>
              </w:rPr>
              <w:t>Rapid7</w:t>
            </w:r>
          </w:p>
        </w:tc>
      </w:tr>
      <w:tr>
        <w:trPr>
          <w:trHeight w:val="243"/>
        </w:trPr>
        <w:tc>
          <w:tcPr>
            <w:tcW w:w="2600" w:type="dxa"/>
            <w:vAlign w:val="bottom"/>
          </w:tcPr>
          <w:p>
            <w:pPr>
              <w:jc w:val="center"/>
              <w:ind w:right="750"/>
              <w:spacing w:after="0"/>
              <w:rPr>
                <w:sz w:val="20"/>
                <w:szCs w:val="20"/>
                <w:color w:val="auto"/>
              </w:rPr>
            </w:pPr>
            <w:r>
              <w:rPr>
                <w:rFonts w:ascii="Arial" w:cs="Arial" w:eastAsia="Arial" w:hAnsi="Arial"/>
                <w:sz w:val="18"/>
                <w:szCs w:val="18"/>
                <w:color w:val="auto"/>
                <w:w w:val="98"/>
              </w:rPr>
              <w:t>Appfolio</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rPr>
              <w:t>MINDBODY</w:t>
            </w:r>
          </w:p>
        </w:tc>
        <w:tc>
          <w:tcPr>
            <w:tcW w:w="2220" w:type="dxa"/>
            <w:vAlign w:val="bottom"/>
          </w:tcPr>
          <w:p>
            <w:pPr>
              <w:jc w:val="center"/>
              <w:ind w:left="930"/>
              <w:spacing w:after="0"/>
              <w:rPr>
                <w:sz w:val="20"/>
                <w:szCs w:val="20"/>
                <w:color w:val="auto"/>
              </w:rPr>
            </w:pPr>
            <w:r>
              <w:rPr>
                <w:rFonts w:ascii="Arial" w:cs="Arial" w:eastAsia="Arial" w:hAnsi="Arial"/>
                <w:sz w:val="18"/>
                <w:szCs w:val="18"/>
                <w:color w:val="auto"/>
                <w:w w:val="89"/>
              </w:rPr>
              <w:t>The Trade Desk</w:t>
            </w:r>
          </w:p>
        </w:tc>
      </w:tr>
      <w:tr>
        <w:trPr>
          <w:trHeight w:val="243"/>
        </w:trPr>
        <w:tc>
          <w:tcPr>
            <w:tcW w:w="2600" w:type="dxa"/>
            <w:vAlign w:val="bottom"/>
          </w:tcPr>
          <w:p>
            <w:pPr>
              <w:jc w:val="center"/>
              <w:ind w:right="730"/>
              <w:spacing w:after="0"/>
              <w:rPr>
                <w:sz w:val="20"/>
                <w:szCs w:val="20"/>
                <w:color w:val="auto"/>
              </w:rPr>
            </w:pPr>
            <w:r>
              <w:rPr>
                <w:rFonts w:ascii="Arial" w:cs="Arial" w:eastAsia="Arial" w:hAnsi="Arial"/>
                <w:sz w:val="18"/>
                <w:szCs w:val="18"/>
                <w:color w:val="auto"/>
                <w:w w:val="96"/>
              </w:rPr>
              <w:t>Box</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3"/>
              </w:rPr>
              <w:t>New Relic</w:t>
            </w:r>
          </w:p>
        </w:tc>
        <w:tc>
          <w:tcPr>
            <w:tcW w:w="2220" w:type="dxa"/>
            <w:vAlign w:val="bottom"/>
          </w:tcPr>
          <w:p>
            <w:pPr>
              <w:jc w:val="center"/>
              <w:ind w:left="930"/>
              <w:spacing w:after="0"/>
              <w:rPr>
                <w:sz w:val="20"/>
                <w:szCs w:val="20"/>
                <w:color w:val="auto"/>
              </w:rPr>
            </w:pPr>
            <w:r>
              <w:rPr>
                <w:rFonts w:ascii="Arial" w:cs="Arial" w:eastAsia="Arial" w:hAnsi="Arial"/>
                <w:sz w:val="18"/>
                <w:szCs w:val="18"/>
                <w:color w:val="auto"/>
                <w:w w:val="88"/>
              </w:rPr>
              <w:t>Varonis Systems</w:t>
            </w:r>
          </w:p>
        </w:tc>
      </w:tr>
      <w:tr>
        <w:trPr>
          <w:trHeight w:val="243"/>
        </w:trPr>
        <w:tc>
          <w:tcPr>
            <w:tcW w:w="2600" w:type="dxa"/>
            <w:vAlign w:val="bottom"/>
          </w:tcPr>
          <w:p>
            <w:pPr>
              <w:jc w:val="center"/>
              <w:ind w:right="750"/>
              <w:spacing w:after="0"/>
              <w:rPr>
                <w:sz w:val="20"/>
                <w:szCs w:val="20"/>
                <w:color w:val="auto"/>
              </w:rPr>
            </w:pPr>
            <w:r>
              <w:rPr>
                <w:rFonts w:ascii="Arial" w:cs="Arial" w:eastAsia="Arial" w:hAnsi="Arial"/>
                <w:sz w:val="18"/>
                <w:szCs w:val="18"/>
                <w:color w:val="auto"/>
                <w:w w:val="89"/>
              </w:rPr>
              <w:t>Cornerstone OnDemand</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4"/>
              </w:rPr>
              <w:t>Okta</w:t>
            </w:r>
          </w:p>
        </w:tc>
        <w:tc>
          <w:tcPr>
            <w:tcW w:w="2220" w:type="dxa"/>
            <w:vAlign w:val="bottom"/>
          </w:tcPr>
          <w:p>
            <w:pPr>
              <w:jc w:val="center"/>
              <w:ind w:left="910"/>
              <w:spacing w:after="0"/>
              <w:rPr>
                <w:sz w:val="20"/>
                <w:szCs w:val="20"/>
                <w:color w:val="auto"/>
              </w:rPr>
            </w:pPr>
            <w:r>
              <w:rPr>
                <w:rFonts w:ascii="Arial" w:cs="Arial" w:eastAsia="Arial" w:hAnsi="Arial"/>
                <w:sz w:val="18"/>
                <w:szCs w:val="18"/>
                <w:color w:val="auto"/>
                <w:w w:val="95"/>
              </w:rPr>
              <w:t>Workiva</w:t>
            </w:r>
          </w:p>
        </w:tc>
      </w:tr>
      <w:tr>
        <w:trPr>
          <w:trHeight w:val="243"/>
        </w:trPr>
        <w:tc>
          <w:tcPr>
            <w:tcW w:w="2600" w:type="dxa"/>
            <w:vAlign w:val="bottom"/>
          </w:tcPr>
          <w:p>
            <w:pPr>
              <w:jc w:val="center"/>
              <w:ind w:right="750"/>
              <w:spacing w:after="0"/>
              <w:rPr>
                <w:sz w:val="20"/>
                <w:szCs w:val="20"/>
                <w:color w:val="auto"/>
              </w:rPr>
            </w:pPr>
            <w:r>
              <w:rPr>
                <w:rFonts w:ascii="Arial" w:cs="Arial" w:eastAsia="Arial" w:hAnsi="Arial"/>
                <w:sz w:val="18"/>
                <w:szCs w:val="18"/>
                <w:color w:val="auto"/>
                <w:w w:val="89"/>
              </w:rPr>
              <w:t>Coupa Software</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0"/>
              </w:rPr>
              <w:t>Paycom Software</w:t>
            </w:r>
          </w:p>
        </w:tc>
        <w:tc>
          <w:tcPr>
            <w:tcW w:w="2220" w:type="dxa"/>
            <w:vAlign w:val="bottom"/>
          </w:tcPr>
          <w:p>
            <w:pPr>
              <w:jc w:val="center"/>
              <w:ind w:left="930"/>
              <w:spacing w:after="0"/>
              <w:rPr>
                <w:sz w:val="20"/>
                <w:szCs w:val="20"/>
                <w:color w:val="auto"/>
              </w:rPr>
            </w:pPr>
            <w:r>
              <w:rPr>
                <w:rFonts w:ascii="Arial" w:cs="Arial" w:eastAsia="Arial" w:hAnsi="Arial"/>
                <w:sz w:val="18"/>
                <w:szCs w:val="18"/>
                <w:color w:val="auto"/>
                <w:w w:val="86"/>
              </w:rPr>
              <w:t>Zendesk</w:t>
            </w:r>
          </w:p>
        </w:tc>
      </w:tr>
      <w:tr>
        <w:trPr>
          <w:trHeight w:val="243"/>
        </w:trPr>
        <w:tc>
          <w:tcPr>
            <w:tcW w:w="2600" w:type="dxa"/>
            <w:vAlign w:val="bottom"/>
          </w:tcPr>
          <w:p>
            <w:pPr>
              <w:jc w:val="center"/>
              <w:ind w:right="750"/>
              <w:spacing w:after="0"/>
              <w:rPr>
                <w:sz w:val="20"/>
                <w:szCs w:val="20"/>
                <w:color w:val="auto"/>
              </w:rPr>
            </w:pPr>
            <w:r>
              <w:rPr>
                <w:rFonts w:ascii="Arial" w:cs="Arial" w:eastAsia="Arial" w:hAnsi="Arial"/>
                <w:sz w:val="18"/>
                <w:szCs w:val="18"/>
                <w:color w:val="auto"/>
                <w:w w:val="94"/>
              </w:rPr>
              <w:t>Hortonworks</w:t>
            </w: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5"/>
              </w:rPr>
              <w:t>Paylocity Holding</w:t>
            </w:r>
          </w:p>
        </w:tc>
        <w:tc>
          <w:tcPr>
            <w:tcW w:w="2220" w:type="dxa"/>
            <w:vAlign w:val="bottom"/>
          </w:tcPr>
          <w:p>
            <w:pPr>
              <w:spacing w:after="0"/>
              <w:rPr>
                <w:sz w:val="21"/>
                <w:szCs w:val="21"/>
                <w:color w:val="auto"/>
              </w:rPr>
            </w:pPr>
          </w:p>
        </w:tc>
      </w:tr>
    </w:tbl>
    <w:p>
      <w:pPr>
        <w:spacing w:after="0" w:line="107" w:lineRule="exact"/>
        <w:rPr>
          <w:sz w:val="20"/>
          <w:szCs w:val="20"/>
          <w:color w:val="auto"/>
        </w:rPr>
      </w:pPr>
    </w:p>
    <w:p>
      <w:pPr>
        <w:ind w:right="160" w:firstLine="360"/>
        <w:spacing w:after="0" w:line="263" w:lineRule="auto"/>
        <w:rPr>
          <w:sz w:val="20"/>
          <w:szCs w:val="20"/>
          <w:color w:val="auto"/>
        </w:rPr>
      </w:pPr>
      <w:r>
        <w:rPr>
          <w:rFonts w:ascii="Arial" w:cs="Arial" w:eastAsia="Arial" w:hAnsi="Arial"/>
          <w:sz w:val="18"/>
          <w:szCs w:val="18"/>
          <w:color w:val="auto"/>
        </w:rPr>
        <w:t>To analyze the executive compensation practices of the companies in our compensation peer group, Compensia gathered data from public filings. This information is supplemented with survey data from the Radford Global Technology Survey database of companies that are similar to us in revenue, market capitalization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and industry for purposes of providing additional perspective in the case of executive positions where the compensation peer group offered a limited number of relevant data points. This market data was then used as a reference point for the compensation committee to assess our current executive compensation levels in its deliberations on compensation forms and amounts.</w:t>
      </w:r>
    </w:p>
    <w:p>
      <w:pPr>
        <w:spacing w:after="0" w:line="41"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The compensation committee reviews our compensation peer group at least annually and adjusts its composition, taking into account changes in both our business and the businesses of the companies in the peer group.</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Stockholder Advisory Votes on Named Executive Officer Compensation</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Our stockholders have an opportunity to cast an advisory vote to approve (1) our NEOs’ compensation and (2) the frequency of the vote to approve the NEOs’ compensation.</w:t>
      </w:r>
    </w:p>
    <w:p>
      <w:pPr>
        <w:spacing w:after="0" w:line="62"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At the 2019 annual meeting, our stockholders voted in favor of annual advisory votes on the NEOs’ compensation and approximately 99% of the votes cast voted to approve our NEOs’ compensation. We believe that the results of this vote affirm our stockholders’ support of our approach to executive compensation, and therefore we have not made any significant changes to our executive compensation program. We will consider the results from this year’s and future years’ stockholder advisory votes on NEO compensation when making decisions about our executive compensation program.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Compensation Elements</w:t>
      </w:r>
    </w:p>
    <w:p>
      <w:pPr>
        <w:spacing w:after="0" w:line="121" w:lineRule="exact"/>
        <w:rPr>
          <w:sz w:val="20"/>
          <w:szCs w:val="20"/>
          <w:color w:val="auto"/>
        </w:rPr>
      </w:pPr>
    </w:p>
    <w:p>
      <w:pPr>
        <w:ind w:right="760" w:firstLine="360"/>
        <w:spacing w:after="0" w:line="308" w:lineRule="auto"/>
        <w:rPr>
          <w:sz w:val="20"/>
          <w:szCs w:val="20"/>
          <w:color w:val="auto"/>
        </w:rPr>
      </w:pPr>
      <w:r>
        <w:rPr>
          <w:rFonts w:ascii="Arial" w:cs="Arial" w:eastAsia="Arial" w:hAnsi="Arial"/>
          <w:sz w:val="17"/>
          <w:szCs w:val="17"/>
          <w:color w:val="auto"/>
        </w:rPr>
        <w:t>In 2019, the primary elements of our executive compensation program consisted of base salary, an annual cash bonus opportunity, and long-term equity incentive compensation in the form of time-based RSU and option awards.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Base salary represents the fixed portion of the compensation of our NEOs and is an important element of compensation intended to attract and retain highly talented individuals. Generally, we establish the initial base salaries of our NEOs through arm’s-length negotiation at the time we hire the individual NEO, taking into account his or her position, qualifications, experience, prior salary level, and the base salaries of our other NEOs. Thereafter, the compensation committee reviews the base salaries of our NEOs annually and makes adjustments to base salaries as it determines to be necessary or appropriate.</w:t>
      </w:r>
    </w:p>
    <w:p>
      <w:pPr>
        <w:spacing w:after="0" w:line="68" w:lineRule="exact"/>
        <w:rPr>
          <w:sz w:val="20"/>
          <w:szCs w:val="20"/>
          <w:color w:val="auto"/>
        </w:rPr>
      </w:pPr>
    </w:p>
    <w:p>
      <w:pPr>
        <w:ind w:right="60" w:firstLine="360"/>
        <w:spacing w:after="0" w:line="296" w:lineRule="auto"/>
        <w:rPr>
          <w:sz w:val="20"/>
          <w:szCs w:val="20"/>
          <w:color w:val="auto"/>
        </w:rPr>
      </w:pPr>
      <w:r>
        <w:rPr>
          <w:rFonts w:ascii="Arial" w:cs="Arial" w:eastAsia="Arial" w:hAnsi="Arial"/>
          <w:sz w:val="16"/>
          <w:szCs w:val="16"/>
          <w:color w:val="auto"/>
        </w:rPr>
        <w:t>In February 2019, the compensation committee reviewed the base salaries of our NEOs taking into consideration a competitive market analysis prepared by Compensia, the recommendations of our CEO (except with respect to her own base salary), and the other factors described above. Following this review, the compensation committee approved an increase of approximately 2.9% to Ms. Morgan-Prager’s base salary in recognition of her contributions related to our Europe expansion, and did not make any changes to the base salaries of our other NEOs. The 2019 annualized base salaries for our NEOs are set forth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 Base Salary</w:t>
            </w:r>
          </w:p>
        </w:tc>
        <w:tc>
          <w:tcPr>
            <w:tcW w:w="100" w:type="dxa"/>
            <w:vAlign w:val="bottom"/>
          </w:tcPr>
          <w:p>
            <w:pPr>
              <w:spacing w:after="0"/>
              <w:rPr>
                <w:sz w:val="16"/>
                <w:szCs w:val="16"/>
                <w:color w:val="auto"/>
              </w:rPr>
            </w:pPr>
          </w:p>
        </w:tc>
      </w:tr>
      <w:tr>
        <w:trPr>
          <w:trHeight w:val="23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380,000</w:t>
            </w:r>
          </w:p>
        </w:tc>
      </w:tr>
      <w:tr>
        <w:trPr>
          <w:trHeight w:val="237"/>
        </w:trPr>
        <w:tc>
          <w:tcPr>
            <w:tcW w:w="7760" w:type="dxa"/>
            <w:vAlign w:val="bottom"/>
          </w:tcPr>
          <w:p>
            <w:pPr>
              <w:spacing w:after="0"/>
              <w:rPr>
                <w:sz w:val="20"/>
                <w:szCs w:val="20"/>
                <w:color w:val="auto"/>
              </w:rPr>
            </w:pPr>
            <w:r>
              <w:rPr>
                <w:rFonts w:ascii="Arial" w:cs="Arial" w:eastAsia="Arial" w:hAnsi="Arial"/>
                <w:sz w:val="18"/>
                <w:szCs w:val="18"/>
                <w:color w:val="auto"/>
              </w:rPr>
              <w:t>Mark Partin</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365,000</w:t>
            </w:r>
          </w:p>
        </w:tc>
      </w:tr>
      <w:tr>
        <w:trPr>
          <w:trHeight w:val="24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Marc Huffman</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Karole Morgan-Prager</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Each NEO participated in the 2019 Bonus Plan, which was designed to motivate our NEOs to drive “top line” growth (using a revenue goal) as well as “bottom line” profitability (using a FCF and net income goals). If the FCF goal was achieved, the 2019 Bonus Plan would fund based on our actual achievement against a financial component (weighted 80%) and a discretionary component (weighted 20%), as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Each NEO was assigned a target annual cash bonus opportunity, the amount of which was calculated as a percentage of his or her 2019 annual base salary. In February 2019, the compensation committee reviewed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target annual cash bonus opportunities of our NEOs, taking into consideration a competitive market analysis prepared by Compensia, the recommendations of our CEO (except with respect to her own target annual cash bonus opportunity), and the other factors described above.</w:t>
      </w:r>
    </w:p>
    <w:p>
      <w:pPr>
        <w:spacing w:after="0" w:line="7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Following this review, the compensation committee approved changes to Ms. Morgan-Prager’s bonus target from 40% to 50%, and to Mr. Partin’s bonus target from 50% to 60%, in each case, in recognition of their outstanding contributions and to bring each executive’s target total cash compensation opportunity to market competitive levels. The compensation committee did not make any changes to the target annual cash bonus percentages of our other NEOs. The 2019 target annual cash bonus opportunities of the NEOs were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2019 Target Annual</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Cash Bonus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Opportunity (as a</w:t>
            </w:r>
          </w:p>
        </w:tc>
        <w:tc>
          <w:tcPr>
            <w:tcW w:w="10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2019 Target Annual</w:t>
            </w:r>
          </w:p>
        </w:tc>
      </w:tr>
      <w:tr>
        <w:trPr>
          <w:trHeight w:val="162"/>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 of base</w:t>
            </w:r>
          </w:p>
        </w:tc>
        <w:tc>
          <w:tcPr>
            <w:tcW w:w="10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Cash Bonus</w:t>
            </w:r>
          </w:p>
        </w:tc>
      </w:tr>
      <w:tr>
        <w:trPr>
          <w:trHeight w:val="185"/>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2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salary)</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Opportunity ($)</w:t>
            </w:r>
          </w:p>
        </w:tc>
        <w:tc>
          <w:tcPr>
            <w:tcW w:w="100" w:type="dxa"/>
            <w:vAlign w:val="bottom"/>
          </w:tcPr>
          <w:p>
            <w:pPr>
              <w:spacing w:after="0"/>
              <w:rPr>
                <w:sz w:val="16"/>
                <w:szCs w:val="16"/>
                <w:color w:val="auto"/>
              </w:rPr>
            </w:pPr>
          </w:p>
        </w:tc>
      </w:tr>
      <w:tr>
        <w:trPr>
          <w:trHeight w:val="23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380,000</w:t>
            </w: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Mark Partin</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219,000</w:t>
            </w:r>
          </w:p>
        </w:tc>
      </w:tr>
      <w:tr>
        <w:trPr>
          <w:trHeight w:val="24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Marc Huffman</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Karole Morgan-Prager</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175,000</w:t>
            </w:r>
          </w:p>
        </w:tc>
      </w:tr>
    </w:tbl>
    <w:p>
      <w:pPr>
        <w:spacing w:after="0" w:line="106" w:lineRule="exact"/>
        <w:rPr>
          <w:sz w:val="20"/>
          <w:szCs w:val="20"/>
          <w:color w:val="auto"/>
        </w:rPr>
      </w:pPr>
    </w:p>
    <w:p>
      <w:pPr>
        <w:ind w:right="120" w:firstLine="360"/>
        <w:spacing w:after="0" w:line="311" w:lineRule="auto"/>
        <w:rPr>
          <w:sz w:val="20"/>
          <w:szCs w:val="20"/>
          <w:color w:val="auto"/>
        </w:rPr>
      </w:pPr>
      <w:r>
        <w:rPr>
          <w:rFonts w:ascii="Arial" w:cs="Arial" w:eastAsia="Arial" w:hAnsi="Arial"/>
          <w:sz w:val="16"/>
          <w:szCs w:val="16"/>
          <w:color w:val="auto"/>
        </w:rPr>
        <w:t>Each participant in the 2019 Bonus Plan was eligible to earn from 0% to up to 125% with respect to the financial portion applicable to his or her target annual cash bonus opportunity depending on our actual performance for the year as measured against the financial performance components, and additional amounts under the discretionary component of the 2019 Bonus Plan.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Bonus Plan Performance Matrix</w:t>
      </w:r>
    </w:p>
    <w:p>
      <w:pPr>
        <w:spacing w:after="0" w:line="11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In February 2019, the compensation committee, with input from management, approved FCF as the threshold “performance measure” and revenue and net income as the performance measures for the financial component under the 2019 Bonus Plan. The compensation committee selected these performance measures because it believed that they were appropriate drivers for our business as they provided a balance between growing our business, and managing our expenses, which enhance stockholder value over the short term.</w:t>
      </w:r>
    </w:p>
    <w:p>
      <w:pPr>
        <w:spacing w:after="0" w:line="8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Under the 2019 Bonus Plan, if we failed to at least achieve the FCF target of $12.0 million in 2019, then the 2019 Bonus Plan would not fund.</w:t>
      </w:r>
    </w:p>
    <w:p>
      <w:pPr>
        <w:spacing w:after="0" w:line="62"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If we achieved FCF of at least $12 million in 2019, the 2019 Bonus Plan was to fund based on (1) the extent of our achievement against the target level of each of the financial metrics and (2) the discretion exercised by the compensation committee under the discretionary component, all as set forth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Weighting</w:t>
            </w:r>
          </w:p>
        </w:tc>
      </w:tr>
      <w:tr>
        <w:trPr>
          <w:trHeight w:val="18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 Bonus Plan Performance Measure</w:t>
            </w:r>
          </w:p>
        </w:tc>
        <w:tc>
          <w:tcPr>
            <w:tcW w:w="18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Target Level</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3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Financial Component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$286.4 million</w:t>
            </w:r>
          </w:p>
        </w:tc>
        <w:tc>
          <w:tcPr>
            <w:tcW w:w="1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0"/>
                <w:szCs w:val="20"/>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Financial Component</w:t>
            </w: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$13.0 million</w:t>
            </w: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0"/>
                <w:szCs w:val="20"/>
                <w:color w:val="auto"/>
              </w:rPr>
            </w:pP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Discretionary</w:t>
            </w: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Discretionary Component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revenue measure funded with respect to that performance measure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Payment Percentage of</w:t>
            </w:r>
          </w:p>
        </w:tc>
      </w:tr>
      <w:tr>
        <w:trPr>
          <w:trHeight w:val="162"/>
        </w:trPr>
        <w:tc>
          <w:tcPr>
            <w:tcW w:w="3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Revenue</w:t>
            </w:r>
          </w:p>
        </w:tc>
      </w:tr>
      <w:tr>
        <w:trPr>
          <w:trHeight w:val="185"/>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Achievement of 2019 Revenue target*</w:t>
            </w:r>
          </w:p>
        </w:tc>
        <w:tc>
          <w:tcPr>
            <w:tcW w:w="3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Measure*</w:t>
            </w:r>
          </w:p>
        </w:tc>
        <w:tc>
          <w:tcPr>
            <w:tcW w:w="100" w:type="dxa"/>
            <w:vAlign w:val="bottom"/>
          </w:tcPr>
          <w:p>
            <w:pPr>
              <w:spacing w:after="0"/>
              <w:rPr>
                <w:sz w:val="16"/>
                <w:szCs w:val="16"/>
                <w:color w:val="auto"/>
              </w:rPr>
            </w:pPr>
          </w:p>
        </w:tc>
      </w:tr>
      <w:tr>
        <w:trPr>
          <w:trHeight w:val="23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97%</w:t>
            </w:r>
          </w:p>
        </w:tc>
        <w:tc>
          <w:tcPr>
            <w:tcW w:w="5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99%</w:t>
            </w:r>
          </w:p>
        </w:tc>
        <w:tc>
          <w:tcPr>
            <w:tcW w:w="5700" w:type="dxa"/>
            <w:vAlign w:val="bottom"/>
            <w:gridSpan w:val="4"/>
          </w:tcPr>
          <w:p>
            <w:pPr>
              <w:jc w:val="right"/>
              <w:spacing w:after="0"/>
              <w:rPr>
                <w:sz w:val="20"/>
                <w:szCs w:val="20"/>
                <w:color w:val="auto"/>
              </w:rPr>
            </w:pPr>
            <w:r>
              <w:rPr>
                <w:rFonts w:ascii="Arial" w:cs="Arial" w:eastAsia="Arial" w:hAnsi="Arial"/>
                <w:sz w:val="18"/>
                <w:szCs w:val="18"/>
                <w:color w:val="auto"/>
              </w:rPr>
              <w:t>99.0%</w:t>
            </w: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5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101%</w:t>
            </w:r>
          </w:p>
        </w:tc>
        <w:tc>
          <w:tcPr>
            <w:tcW w:w="5700" w:type="dxa"/>
            <w:vAlign w:val="bottom"/>
            <w:gridSpan w:val="4"/>
          </w:tcPr>
          <w:p>
            <w:pPr>
              <w:jc w:val="right"/>
              <w:spacing w:after="0"/>
              <w:rPr>
                <w:sz w:val="20"/>
                <w:szCs w:val="20"/>
                <w:color w:val="auto"/>
              </w:rPr>
            </w:pPr>
            <w:r>
              <w:rPr>
                <w:rFonts w:ascii="Arial" w:cs="Arial" w:eastAsia="Arial" w:hAnsi="Arial"/>
                <w:sz w:val="18"/>
                <w:szCs w:val="18"/>
                <w:color w:val="auto"/>
              </w:rPr>
              <w:t>128.0%</w:t>
            </w: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5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432"/>
        </w:trPr>
        <w:tc>
          <w:tcPr>
            <w:tcW w:w="3860" w:type="dxa"/>
            <w:vAlign w:val="bottom"/>
          </w:tcPr>
          <w:p>
            <w:pPr>
              <w:spacing w:after="0"/>
              <w:rPr>
                <w:sz w:val="24"/>
                <w:szCs w:val="24"/>
                <w:color w:val="auto"/>
              </w:rPr>
            </w:pPr>
          </w:p>
        </w:tc>
        <w:tc>
          <w:tcPr>
            <w:tcW w:w="3540" w:type="dxa"/>
            <w:vAlign w:val="bottom"/>
          </w:tcPr>
          <w:p>
            <w:pPr>
              <w:jc w:val="right"/>
              <w:ind w:right="243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86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income measure funded with respect to that performance measure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Payment Percentage of</w:t>
            </w:r>
          </w:p>
        </w:tc>
      </w:t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Net Income</w:t>
            </w:r>
          </w:p>
        </w:tc>
      </w:tr>
      <w:tr>
        <w:trPr>
          <w:trHeight w:val="185"/>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Achievement of 2019 Net Income target*</w:t>
            </w:r>
          </w:p>
        </w:tc>
        <w:tc>
          <w:tcPr>
            <w:tcW w:w="2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Measure*</w:t>
            </w:r>
          </w:p>
        </w:tc>
        <w:tc>
          <w:tcPr>
            <w:tcW w:w="100" w:type="dxa"/>
            <w:vAlign w:val="bottom"/>
          </w:tcPr>
          <w:p>
            <w:pPr>
              <w:spacing w:after="0"/>
              <w:rPr>
                <w:sz w:val="16"/>
                <w:szCs w:val="16"/>
                <w:color w:val="auto"/>
              </w:rPr>
            </w:pPr>
          </w:p>
        </w:tc>
      </w:tr>
      <w:tr>
        <w:trPr>
          <w:trHeight w:val="237"/>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80%</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100%</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086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98" w:lineRule="exact"/>
        <w:rPr>
          <w:sz w:val="20"/>
          <w:szCs w:val="20"/>
          <w:color w:val="auto"/>
        </w:rPr>
      </w:pPr>
    </w:p>
    <w:p>
      <w:pPr>
        <w:ind w:left="360" w:right="440" w:hanging="355"/>
        <w:spacing w:after="0" w:line="273"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Revenue and Net Income achievement during 2019 is between the percentage levels identified above, then the payment percentage with respect to the applicable performance metric is calculated based on a linear interpolation between those levels (rounded to one decimal).</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2019 Bonus Plan, the financial performance measures had the following meanings:</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Performance</w:t>
            </w:r>
          </w:p>
        </w:tc>
        <w:tc>
          <w:tcPr>
            <w:tcW w:w="8000" w:type="dxa"/>
            <w:vAlign w:val="bottom"/>
            <w:tcBorders>
              <w:top w:val="single" w:sz="8" w:color="auto"/>
              <w:right w:val="single" w:sz="8" w:color="auto"/>
            </w:tcBorders>
          </w:tcPr>
          <w:p>
            <w:pPr>
              <w:spacing w:after="0"/>
              <w:rPr>
                <w:sz w:val="15"/>
                <w:szCs w:val="15"/>
                <w:color w:val="auto"/>
              </w:rPr>
            </w:pPr>
          </w:p>
        </w:tc>
      </w:tr>
      <w:tr>
        <w:trPr>
          <w:trHeight w:val="185"/>
        </w:trPr>
        <w:tc>
          <w:tcPr>
            <w:tcW w:w="1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Measure</w:t>
            </w:r>
          </w:p>
        </w:tc>
        <w:tc>
          <w:tcPr>
            <w:tcW w:w="8000" w:type="dxa"/>
            <w:vAlign w:val="bottom"/>
            <w:tcBorders>
              <w:bottom w:val="single" w:sz="8" w:color="auto"/>
              <w:right w:val="single" w:sz="8" w:color="auto"/>
            </w:tcBorders>
          </w:tcPr>
          <w:p>
            <w:pPr>
              <w:ind w:left="3740"/>
              <w:spacing w:after="0"/>
              <w:rPr>
                <w:sz w:val="20"/>
                <w:szCs w:val="20"/>
                <w:color w:val="auto"/>
              </w:rPr>
            </w:pPr>
            <w:r>
              <w:rPr>
                <w:rFonts w:ascii="Arial" w:cs="Arial" w:eastAsia="Arial" w:hAnsi="Arial"/>
                <w:sz w:val="14"/>
                <w:szCs w:val="14"/>
                <w:b w:val="1"/>
                <w:bCs w:val="1"/>
                <w:color w:val="auto"/>
              </w:rPr>
              <w:t>Meaning</w:t>
            </w:r>
          </w:p>
        </w:tc>
      </w:tr>
      <w:tr>
        <w:trPr>
          <w:trHeight w:val="230"/>
        </w:trPr>
        <w:tc>
          <w:tcPr>
            <w:tcW w:w="1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FCF</w:t>
            </w:r>
          </w:p>
        </w:tc>
        <w:tc>
          <w:tcPr>
            <w:tcW w:w="8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measure of financial performance calculated as operating cash flow minus capital expenditures.</w:t>
            </w:r>
          </w:p>
        </w:tc>
      </w:tr>
      <w:tr>
        <w:trPr>
          <w:trHeight w:val="237"/>
        </w:trPr>
        <w:tc>
          <w:tcPr>
            <w:tcW w:w="1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Revenue</w:t>
            </w:r>
          </w:p>
        </w:tc>
        <w:tc>
          <w:tcPr>
            <w:tcW w:w="8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company’s revenue for the 2019 fiscal year as determinded in accordance with GAAP.</w:t>
            </w:r>
          </w:p>
        </w:tc>
      </w:tr>
      <w:tr>
        <w:trPr>
          <w:trHeight w:val="215"/>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Net Income</w:t>
            </w:r>
          </w:p>
        </w:tc>
        <w:tc>
          <w:tcPr>
            <w:tcW w:w="8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“non-GAAP net income (loss)” for the company’s 2019 fiscal year as determined in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8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accordance with how such term is defined in the company’s annual report filed on its Form 10-K on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8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February 28, 2019, including any adjustments for acquisition-related expenses, similar to expense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8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adjustments in connection with the Runbook Acquisition, related to any acquisition occurring during the</w:t>
            </w: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2019 fiscal year.</w:t>
            </w:r>
          </w:p>
        </w:tc>
      </w:tr>
    </w:tbl>
    <w:p>
      <w:pPr>
        <w:spacing w:after="0" w:line="9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discretionary component was included to provide the compensation committee with flexibility to incent achievement of business goals and objectives that may evolve after the beginning of the year. The compensation committee believed that retaining discretion to fund a portion of the 2019 Bonus Plan irrespective of achievement of the financial component was important to reward our NEOs for achievement of these goals.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Bonus Plan Decisions</w:t>
      </w:r>
    </w:p>
    <w:p>
      <w:pPr>
        <w:spacing w:after="0" w:line="117" w:lineRule="exact"/>
        <w:rPr>
          <w:sz w:val="20"/>
          <w:szCs w:val="20"/>
          <w:color w:val="auto"/>
        </w:rPr>
      </w:pPr>
    </w:p>
    <w:p>
      <w:pPr>
        <w:jc w:val="both"/>
        <w:ind w:right="100" w:firstLine="360"/>
        <w:spacing w:after="0" w:line="311" w:lineRule="auto"/>
        <w:rPr>
          <w:sz w:val="20"/>
          <w:szCs w:val="20"/>
          <w:color w:val="auto"/>
        </w:rPr>
      </w:pPr>
      <w:r>
        <w:rPr>
          <w:rFonts w:ascii="Arial" w:cs="Arial" w:eastAsia="Arial" w:hAnsi="Arial"/>
          <w:sz w:val="16"/>
          <w:szCs w:val="16"/>
          <w:color w:val="auto"/>
        </w:rPr>
        <w:t>In February 2020, the compensation committee reviewed our overall performance for 2019, including performance against the performance measures established under the 2019 Bonus Plan. Using the 2019 Bonus Plan performance measures, the discretion it reserved under the discretionary component, the target performance, actual performance and relative weighting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Performance</w:t>
            </w: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Payment</w:t>
            </w:r>
          </w:p>
        </w:tc>
      </w:tr>
      <w:tr>
        <w:trPr>
          <w:trHeight w:val="178"/>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Measure</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5"/>
                <w:szCs w:val="15"/>
                <w:color w:val="auto"/>
              </w:rPr>
            </w:pPr>
          </w:p>
        </w:tc>
      </w:tr>
      <w:tr>
        <w:trPr>
          <w:trHeight w:val="24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FCF</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$12.0 million</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$19.6 million</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Achieved</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$286.4 million</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$289.0 million</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122.5%</w:t>
            </w:r>
          </w:p>
        </w:tc>
        <w:tc>
          <w:tcPr>
            <w:tcW w:w="100" w:type="dxa"/>
            <w:vAlign w:val="bottom"/>
          </w:tcPr>
          <w:p>
            <w:pPr>
              <w:spacing w:after="0"/>
              <w:rPr>
                <w:sz w:val="20"/>
                <w:szCs w:val="20"/>
                <w:color w:val="auto"/>
              </w:rPr>
            </w:pPr>
          </w:p>
        </w:tc>
      </w:tr>
      <w:tr>
        <w:trPr>
          <w:trHeight w:val="24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$13.0 million</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$22.0 million</w:t>
            </w:r>
          </w:p>
        </w:tc>
        <w:tc>
          <w:tcPr>
            <w:tcW w:w="9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1"/>
                <w:szCs w:val="2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Discretionary</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compensation committee determined the payment percentage under the discretionary component after assessing the outstanding contributions of our NEOs in 2019 toward our execution on key initiatives that we expect to have long-term benefits on our business and to drive stockholder value over the long-term, including strong achievements in bookings, and execution on key sales and marketing initiatives.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this level of achievement, the 2019 Bonus Plan funded at 111.27% of the target amount.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target annual cash bonus opportunities and the actual cash bonus payments made to the NEOs for 2019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Total Actual</w:t>
            </w:r>
          </w:p>
        </w:tc>
      </w:t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2019 Cash</w:t>
            </w:r>
          </w:p>
        </w:tc>
      </w:tr>
      <w:tr>
        <w:trPr>
          <w:trHeight w:val="162"/>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Target Annual Cash</w:t>
            </w:r>
          </w:p>
        </w:tc>
        <w:tc>
          <w:tcPr>
            <w:tcW w:w="1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Bonus</w:t>
            </w:r>
          </w:p>
        </w:tc>
      </w:tr>
      <w:tr>
        <w:trPr>
          <w:trHeight w:val="185"/>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Bonus Opportunity</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00" w:type="dxa"/>
            <w:vAlign w:val="bottom"/>
          </w:tcPr>
          <w:p>
            <w:pPr>
              <w:spacing w:after="0"/>
              <w:rPr>
                <w:sz w:val="16"/>
                <w:szCs w:val="16"/>
                <w:color w:val="auto"/>
              </w:rPr>
            </w:pPr>
          </w:p>
        </w:tc>
      </w:tr>
      <w:tr>
        <w:trPr>
          <w:trHeight w:val="23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422,826</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Mark Partin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219,000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243,681</w:t>
            </w:r>
          </w:p>
        </w:tc>
      </w:tr>
      <w:tr>
        <w:trPr>
          <w:trHeight w:val="24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Marc Huffman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389,445</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Karole Morgan-Prager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194,723</w:t>
            </w: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Equity Compensation</w:t>
      </w:r>
    </w:p>
    <w:p>
      <w:pPr>
        <w:spacing w:after="0" w:line="117"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The compensation committee believes long-term equity compensation is an effective means for focusing our NEOs on driving increased stockholder value over a multi-year period, providing a meaningful reward for appreciation in our stock price and long-term value creation, and motivating them to remain employed with us.</w:t>
      </w:r>
    </w:p>
    <w:p>
      <w:pPr>
        <w:spacing w:after="0" w:line="76"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In 2019, the compensation committee granted equity awards to our NEOs in the form of 50% time-based RSU awards that are settled in shares of our common stock and 50% stock options that are exercisable for shares of our common stock. The compensation committee believed that providing a mix of options and RSUs was important to remain competitive with our compensation peer companies, many of whom use a similar mix. RSUs provide retention incentives for our NEOs and reward them for long-term stock price appreciation while at the same time providing some value even if the market price of our common stock declines. Stock options provide incentives for our NEOs to grow our business and drive value for our stockholders.</w:t>
      </w:r>
    </w:p>
    <w:p>
      <w:pPr>
        <w:spacing w:after="0" w:line="56"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As with their other elements of compensation, the compensation committee determined the amount of long-term incentive compensation for our NEOs as part of its annual compensation review and after taking into consideration a competitive market analysis, the recommendations of our CEO (except with respect to her own long-term equity compensation), the outstanding equity holdings of each NEO, the proportion of our total shares outstanding used for annual employee long-term equity compensation awards (our “burn rate”) in relation to the companies in our compensation peer group, the potential voting power dilution to our stockholders (our “overhang”) in relation to the companies in our compensation peer group, and the other factors described above.</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2019, the compensation committee granted equity awards to our NEOs, the material terms of which are described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Equity Awards</w:t>
            </w:r>
          </w:p>
        </w:tc>
      </w:t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RSUs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(Aggregate</w:t>
            </w:r>
          </w:p>
        </w:tc>
      </w:t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(number of</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47,240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4,587,372</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Mark Partin</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30,910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64,950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3,001,506</w:t>
            </w:r>
          </w:p>
        </w:tc>
      </w:tr>
      <w:tr>
        <w:trPr>
          <w:trHeight w:val="24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Marc Huffman</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26,340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2,557,801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Karole Morgan-Prager</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12,180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25,600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1,182,888</w:t>
            </w:r>
          </w:p>
        </w:tc>
      </w:tr>
    </w:tbl>
    <w:p>
      <w:pPr>
        <w:spacing w:after="0" w:line="10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7"/>
          <w:szCs w:val="17"/>
          <w:color w:val="auto"/>
        </w:rPr>
        <w:t>Each of the awards listed in the table above vests as to 25% of the shares underlying the award on February 20, 2020 and as to 1/16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shares underlying the award each quarter thereafter, subject to the NEO’s continued service with us.</w:t>
      </w:r>
    </w:p>
    <w:p>
      <w:pPr>
        <w:spacing w:after="0" w:line="2" w:lineRule="exact"/>
        <w:rPr>
          <w:sz w:val="20"/>
          <w:szCs w:val="20"/>
          <w:color w:val="auto"/>
        </w:rPr>
      </w:pPr>
    </w:p>
    <w:p>
      <w:pPr>
        <w:ind w:right="60" w:firstLine="360"/>
        <w:spacing w:after="0" w:line="258" w:lineRule="auto"/>
        <w:rPr>
          <w:sz w:val="20"/>
          <w:szCs w:val="20"/>
          <w:color w:val="auto"/>
        </w:rPr>
      </w:pPr>
      <w:r>
        <w:rPr>
          <w:rFonts w:ascii="Arial" w:cs="Arial" w:eastAsia="Arial" w:hAnsi="Arial"/>
          <w:sz w:val="18"/>
          <w:szCs w:val="18"/>
          <w:color w:val="auto"/>
        </w:rPr>
        <w:t>These awards are subject to additional vesting acceleration as described in the “Potential Payments Upon Termination or Upon Termination or Change of Control” section below.</w:t>
      </w:r>
    </w:p>
    <w:p>
      <w:pPr>
        <w:spacing w:after="0" w:line="79"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We also set the 2019 cash flow target for our CEO’s performance-based option that was granted in 2016. When that cash flow target was set, the fair value of this grant was determined. See “Summary Compensation Table” and “2016 CEO Performance-Based Equity Award” for additional details.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Our NEOs are eligible to participate in our employee benefit programs on the same basis as our other full-time, salaried employees. We sponsor a Section 401(k) profit-sharing plan, which is intended to qualify for favorable tax treatment under Section 401(a) of the Code. Our eligible U.S. employees, including the NEOs, are entitled to participate on the first day of the month following the date of hire. The Section 401(k) plan includes a salary deferral arrangement under which participants may elect to defer up to 100% of their current eligible compensation up to the statutorily prescribed limit. All participants’ interests in their deferrals are 100% vested when contributed. The Section 401(k) plan permits us to make matching contributions and profit-sharing contributions to eligible participants. In 2019, we paid discretionary matching contributions that vest over a three-year period.</w:t>
      </w:r>
    </w:p>
    <w:p>
      <w:pPr>
        <w:spacing w:after="0" w:line="5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our NEOs are eligible to participate in our employee benefit programs on the same basis as all of our employees. These benefits include medical, dental and vision benefits, disability insurance, basic life insurance coverage, health savings accounts, and accidental death and dismemberment insurance, as well as the employee stock purchase plan (ESPP) that we adopted last year. Ms. Tucker is not eligible to participate in our ESPP.</w:t>
      </w:r>
    </w:p>
    <w:p>
      <w:pPr>
        <w:spacing w:after="0" w:line="79"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Perquisites, Special Bonuses and Other Personal Benefits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Currently, we do not view perquisites, special bonuses, or other personal benefits as a significant component of our executive compensation program. Accordingly, we do not provide perquisites, special bonuses, or other personal benefits to our NEOs, except in situations where we believe it is appropriate to assist an individual in the performance of his or her duties, to make our NEOs more efficient and effective, and for recruitment and retention purposes.</w:t>
      </w:r>
    </w:p>
    <w:p>
      <w:pPr>
        <w:spacing w:after="0" w:line="79"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In 2019, we made a one-time payment to our CEO to cover the cost associated with a filing required to be made by her under the Hart-Scott-Rodino Antitrust Improvements Act of 1976. This one-time payment was grossed up for taxes. The total amount of payment is set forth in the “All Other Compensation” column of the Summary Compensation Table below.</w:t>
      </w:r>
    </w:p>
    <w:p>
      <w:pPr>
        <w:spacing w:after="0" w:line="5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June 2018, Ms. Morgan-Prager accepted a temporary assignment to work out of our London offices to lead our efforts in expanding and growing our business in the EMEA region. As part of that temporary assignment, the compensation committee approved a package that provided her with housing and travel expense reimbursements, including for family or guests between the United States and London, tax equalization and tax preparation expense reimbursements, and a one-time cash bonus of $35,000 in recognition of her willingness to participate in this assignment and her expected additional contributions during the assignment. This temporary assignment extended into 2019, and the compensation committee approved providing her with the same package.</w:t>
      </w:r>
    </w:p>
    <w:p>
      <w:pPr>
        <w:spacing w:after="0" w:line="5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addition, in December 2019, certain of our named executive officers received a payout of his or her accrued but unused paid time off (PTO) balance as we continued our transition to an unlimited PTO policy for our employees. The payout of the accrued but unused PTO was on the same terms as our other employees with outstanding accrued but unused PTO balances. The actual PTO payouts for these named executives officers are included in the “All Other Compensation” column of the Summary Compensation Table below.</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right="180" w:firstLine="360"/>
        <w:spacing w:after="0" w:line="301" w:lineRule="auto"/>
        <w:rPr>
          <w:sz w:val="20"/>
          <w:szCs w:val="20"/>
          <w:color w:val="auto"/>
        </w:rPr>
      </w:pPr>
      <w:r>
        <w:rPr>
          <w:rFonts w:ascii="Arial" w:cs="Arial" w:eastAsia="Arial" w:hAnsi="Arial"/>
          <w:sz w:val="16"/>
          <w:szCs w:val="16"/>
          <w:color w:val="auto"/>
        </w:rPr>
        <w:t>We entered into written employment offer letters with each of our NEOs, other than our CEO, and an employment agreement with our CEO. Each of these employment arrangements was approved on our behalf by the compensation committee or, in certain instances, by our board of directors. Each of these employment arrangements provides for “at will” employment and set forth the compensation arrangements for the NEO, including base salary and an annual cash bonus opportunity.</w:t>
      </w:r>
    </w:p>
    <w:p>
      <w:pPr>
        <w:spacing w:after="0" w:line="49" w:lineRule="exact"/>
        <w:rPr>
          <w:sz w:val="20"/>
          <w:szCs w:val="20"/>
          <w:color w:val="auto"/>
        </w:rPr>
      </w:pPr>
    </w:p>
    <w:p>
      <w:pPr>
        <w:jc w:val="both"/>
        <w:ind w:right="80" w:firstLine="360"/>
        <w:spacing w:after="0" w:line="263" w:lineRule="auto"/>
        <w:rPr>
          <w:sz w:val="20"/>
          <w:szCs w:val="20"/>
          <w:color w:val="auto"/>
        </w:rPr>
      </w:pPr>
      <w:r>
        <w:rPr>
          <w:rFonts w:ascii="Arial" w:cs="Arial" w:eastAsia="Arial" w:hAnsi="Arial"/>
          <w:sz w:val="18"/>
          <w:szCs w:val="18"/>
          <w:color w:val="auto"/>
        </w:rPr>
        <w:t>In filling each of our executive positions, our board of directors or the compensation committee, as applicable, recognized that it would need to develop competitive compensation packages to attract qualified candidates in a dynamic labor market. At the same time, our board of directors and the compensation committee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were sensitive to the need to integrate new executive officers into the executive compensation structure that we were seeking to develop, balancing both competitive and internal equity considerations.</w:t>
      </w:r>
    </w:p>
    <w:p>
      <w:pPr>
        <w:spacing w:after="0" w:line="62"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For information on the specific terms and conditions of the employment arrangements of the NEO, see the discussion of “Executive Employment Arrangements”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Post-Employment Compensation</w:t>
      </w:r>
    </w:p>
    <w:p>
      <w:pPr>
        <w:spacing w:after="0" w:line="117"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We entered into written participation agreements under our Change of Control and Severance Policy, or the Policy, with each of our NEOs (other than our CEO) and a written employment agreement with our CEO that provides for change of control and severance payments and benefits.</w:t>
      </w:r>
    </w:p>
    <w:p>
      <w:pPr>
        <w:spacing w:after="0" w:line="76"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believe that having in place reasonable and competitive post-employment compensation arrangements are essential to attracting and retaining highly qualified executive officers. Our post-employment compensation arrangements are designed to provide reasonable compensation to executive officers who leave our company under certain circumstances to facilitate their transition to new employment. Further,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70" w:lineRule="exact"/>
        <w:rPr>
          <w:sz w:val="20"/>
          <w:szCs w:val="20"/>
          <w:color w:val="auto"/>
        </w:rPr>
      </w:pPr>
    </w:p>
    <w:p>
      <w:pPr>
        <w:ind w:right="380" w:firstLine="360"/>
        <w:spacing w:after="0" w:line="263" w:lineRule="auto"/>
        <w:rPr>
          <w:sz w:val="20"/>
          <w:szCs w:val="20"/>
          <w:color w:val="auto"/>
        </w:rPr>
      </w:pPr>
      <w:r>
        <w:rPr>
          <w:rFonts w:ascii="Arial" w:cs="Arial" w:eastAsia="Arial" w:hAnsi="Arial"/>
          <w:sz w:val="18"/>
          <w:szCs w:val="18"/>
          <w:color w:val="auto"/>
        </w:rPr>
        <w:t>We do not consider specific amounts payable under these post-employment compensation arrangements when establishing annual compensation. We do believe, however, that these arrangements are necessary to offer compensation packages that are competitive.</w:t>
      </w:r>
    </w:p>
    <w:p>
      <w:pPr>
        <w:spacing w:after="0" w:line="7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believe that these arrangements are designed to align the interests of management and stockholders when considering the long-term future for the company. The primary purpose of these arrangements is to keep our most senior executive officers focused on pursuing all corporate transaction activity that is in the best interests of stockholders regardless of whether those transactions may result in their own job loss. Reasonable post-acquisition payments and benefits should serve the interests of both the executive and our investors.</w:t>
      </w:r>
    </w:p>
    <w:p>
      <w:pPr>
        <w:spacing w:after="0" w:line="80" w:lineRule="exact"/>
        <w:rPr>
          <w:sz w:val="20"/>
          <w:szCs w:val="20"/>
          <w:color w:val="auto"/>
        </w:rPr>
      </w:pPr>
    </w:p>
    <w:p>
      <w:pPr>
        <w:ind w:right="80" w:firstLine="360"/>
        <w:spacing w:after="0" w:line="301" w:lineRule="auto"/>
        <w:rPr>
          <w:sz w:val="20"/>
          <w:szCs w:val="20"/>
          <w:color w:val="auto"/>
        </w:rPr>
      </w:pPr>
      <w:r>
        <w:rPr>
          <w:rFonts w:ascii="Arial" w:cs="Arial" w:eastAsia="Arial" w:hAnsi="Arial"/>
          <w:sz w:val="16"/>
          <w:szCs w:val="16"/>
          <w:color w:val="auto"/>
        </w:rPr>
        <w:t>All payments and benefits in the event of a change of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power following a change of control and to avoid windfalls, both of which could occur if vesting accelerated automatically as a result of the transaction.</w:t>
      </w:r>
    </w:p>
    <w:p>
      <w:pPr>
        <w:spacing w:after="0" w:line="49"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We do not use excise tax payments (or “gross-ups”) relating to a change of control of the company and have no such obligations in place with respect to any of our NEOs.</w:t>
      </w:r>
    </w:p>
    <w:p>
      <w:pPr>
        <w:spacing w:after="0" w:line="62" w:lineRule="exact"/>
        <w:rPr>
          <w:sz w:val="20"/>
          <w:szCs w:val="20"/>
          <w:color w:val="auto"/>
        </w:rPr>
      </w:pPr>
    </w:p>
    <w:p>
      <w:pPr>
        <w:jc w:val="both"/>
        <w:ind w:right="460" w:firstLine="360"/>
        <w:spacing w:after="0" w:line="263" w:lineRule="auto"/>
        <w:rPr>
          <w:sz w:val="20"/>
          <w:szCs w:val="20"/>
          <w:color w:val="auto"/>
        </w:rPr>
      </w:pPr>
      <w:r>
        <w:rPr>
          <w:rFonts w:ascii="Arial" w:cs="Arial" w:eastAsia="Arial" w:hAnsi="Arial"/>
          <w:sz w:val="18"/>
          <w:szCs w:val="18"/>
          <w:color w:val="auto"/>
        </w:rPr>
        <w:t>For information on the change of control and severance agreements for the NEOs, as well as an estimate of the potential payments and benefits payable under these agreements as of the end of 2019, see “Executive Employment Arrangements” and “Potential Payments Upon Termination or Change of Control”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Policy Prohibiting Hedging or Pledging of Our Equity Securities</w:t>
      </w:r>
    </w:p>
    <w:p>
      <w:pPr>
        <w:spacing w:after="0" w:line="117"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Our Insider Trading Compliance Policy prohibits all our employees, including our NEOs, and the members of our board of directors from engaging in derivative securities transactions, including hedging, with respect to our common stock and from pledging our securities as collateral or holding our securities in a margin account.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17"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In February 2020, the compensation committee and the nominating and corporate governance committee recommended, and our board of directors approved, stock ownership guidelines for our executive officers. Under these guidelines, each executive officer is expected to attain minimum levels of stock ownership equal to 1x (or 5x, in the case of the chief executive officer) the executive officer’s annual base salary. For purposes of this requirement, shares counted toward these guidelines include any shares owned outright and in-the-money value of vested but unexercised stock options. The value for purposes of satisfying this requirement is the 90-day trailing average of the closing price of our common stock as of the last trading day of the fiscal year prior to the compliance date. Executive officers have until the later of February 2025 or, if applicable, the fifth anniversary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date they become an executive officer or are appointed to their position to comply with these guidelines. If an executive officer does not achieve the minimum level of ownership by the executive officer’s compliance date, then 50% of the after-tax value of the executive officer’s exercised options or vested RSUs will be retained until the minimum level of ownership for the executive officer is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Section 162(m) of the Code generally limits the amount we may deduct from our federal income taxes for compensation paid to our CEO and certain other current and former executive officers that are “covered employees” within the meaning of Section 162(m) of the Code to $1 million per individual per year, subject to certain exceptions. The regulations promulgated under Section 162(m) of the Code contain a transition rule that applies to companies, such as ours, that become subject to Section 162(m) of the Code by reason of becoming publicly held. Pursuant to this rule, certain compensation granted during a transition period currently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the compensation committee has not adopted a policy that all equity or other compensation must be deductible.</w:t>
      </w:r>
    </w:p>
    <w:p>
      <w:pPr>
        <w:spacing w:after="0" w:line="7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We currently expect our transition period to expire at our annual meeting of stockholders to be held in 2020, although it could expire earlier in certain circumstances. In approving the amount and form of compensation for our NEOs in the future, the compensation committee generally considers all elements of the cost to us of providing such compensation, including the potential impact of Section 162(m) of the Code, as well as our need to maintain flexibility in compensating executive officers in a manner designed to promote our goals. The compensation committee may, in its judgment, authorize compensation payments that will or may not be deductible when it believes that such payments are appropriate to attract, retain or motivate executive talent.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Risk Considerations</w:t>
      </w:r>
    </w:p>
    <w:p>
      <w:pPr>
        <w:spacing w:after="0" w:line="11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The compensation committee, in cooperation with management, reviewed our 2019 compensation programs. Our compensation committee believes that the mix and design of the elements of such programs do not encourage our employees to assume excessive risks and accordingly are not reasonably likely to have a material adverse effect on our company. We have designed our compensation programs to be balanced so that our employees are focused on both short and long-term financial and operational performance. In particular, the weighting towards long-term incentive compensation discourages short-term risk taking. Goals are appropriately set with targets that encourage growth in the business, while doing so in a manner that encourages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b w:val="1"/>
          <w:bCs w:val="1"/>
          <w:i w:val="1"/>
          <w:iCs w:val="1"/>
          <w:color w:val="auto"/>
        </w:rPr>
        <w:t xml:space="preserve">Therese Tucker. </w:t>
      </w:r>
      <w:r>
        <w:rPr>
          <w:rFonts w:ascii="Arial" w:cs="Arial" w:eastAsia="Arial" w:hAnsi="Arial"/>
          <w:sz w:val="17"/>
          <w:szCs w:val="17"/>
          <w:color w:val="auto"/>
        </w:rPr>
        <w:t>On August 24, 2016, we entered into an employment agreement with Ms. Tucker. The employment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an initial term of three years from January 1, 2016 and is expected to automatically renew on each year thereafter, unless we or Ms. Tucker provides the other party at least 30 days written notice. The employment agreement automatically renewed for a one-year term on January 1, 2020. In the event of a “change in control” (as defined in Ms. Tucker’s agreement), the term will extend for an additional two years from the date of such change in control.</w:t>
      </w:r>
    </w:p>
    <w:p>
      <w:pPr>
        <w:spacing w:after="0" w:line="68"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employment agreement provides Ms. Tucker with an initial annual base salary of $350,000 and an on-target bonus opportunity equal to 100% of her base salary, based upon achievement of performance objectives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be determined by our compensation committee. Since then, Ms. Tucker’s base salary has increased to $380,000 as of December 31, 2019. Ms. Tucker’s employment agreement also provides that if her employment is terminated by us without “cause” (excluding by death or disability), we decide to not renew Ms. Tucker’s agreement, or Ms. Tucker resigns for “good reason” (as such terms are defined in Ms. Tucker’s agreement), Ms. Tucker will receive (i) a lump sum payment equal to 18 months of Ms. Tucker’s base salary then in effect; (ii) a lump sum payment equal to the premium costs for Ms. Tucker and her eligible dependents to continue health insurance coverage under COBRA for 18 months; (iii) a lump sum amount equal to the prorated portion of Ms. Tucker’s annual bonus for the year of termination that would have been paid to Ms. Tucker had Ms. Tucker been employed by us for the entire fiscal year of termination, based on actual performance for the year (and assuming any individual performance goals would have been met at target levels); and (iv) a lump sum amount equal to the earned but unpaid bonus for the prior fiscal year, if any.</w:t>
      </w:r>
    </w:p>
    <w:p>
      <w:pPr>
        <w:spacing w:after="0" w:line="58"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Ms. Tucker’s employment agreement also provides that if Ms. Tucker’s employment is terminated by us without “cause” (excluding by death or disability), we decide to not renew Ms. Tucker’s agreement, or Ms. Tucker resigns for “good reason” and such termination occurs in connection with, or within three months before or 24 months after a “change of control” (as such term is expected to be defined in Ms. Tucker’s agreement), Ms. Tucker will receive (i) a lump sum payment equal to 12 months of Ms. Tucker’s base salary then in effect, or, if greater, as in effect immediately prior to the change of control; (ii) a lump sum payment equal to the premium costs for Ms. Tucker and her eligible dependents to continue health insurance coverage under COBRA for 12 months; (iii) a lump sum amount equal to the earned but unpaid bonus for the prior fiscal year, if any; and (iv) 100% of the shares subject to Ms. Tucker’s outstanding company equity awards will vest and, to the extent applicable, become exercisable.</w:t>
      </w:r>
    </w:p>
    <w:p>
      <w:pPr>
        <w:spacing w:after="0" w:line="5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Ms. Tucker’s employment agreement also provides that if her employment is terminated due to her death or disability, Ms. Tucker will receive (i) a lump sum amount equal to the earned but unpaid bonus for the prior fiscal year, if any and (ii) a lump sum amount equal to the Ms. Tucker’s target bonus, pro-rated to reflect time served in the year of termination. Any receipt of severance benefits by Ms. Tucker will be contingent upon her execution and non-revocation of a separation agreement and release of claims against us. In the event any of the payments provided for under Ms. Tucker’s employment agreement or otherwise payable to Ms. Tucker would constitute “parachute payments” within the meaning of Section 280G of the Internal Revenue Code of 1986, as amended, or the Code, could be subject to the related excise tax under Section 4999 of the Code, she would be entitled to receive either full payment of benefits or such lesser amount which would result in no portion of the benefits being subject to the excise tax, whichever results in the greater amount of after-tax benefits to her. Ms. Tucker’s employment agreement does not require us to provide any tax gross-up payments.</w:t>
      </w:r>
    </w:p>
    <w:p>
      <w:pPr>
        <w:spacing w:after="0" w:line="77" w:lineRule="exact"/>
        <w:rPr>
          <w:sz w:val="20"/>
          <w:szCs w:val="20"/>
          <w:color w:val="auto"/>
        </w:rPr>
      </w:pPr>
    </w:p>
    <w:p>
      <w:pPr>
        <w:jc w:val="both"/>
        <w:ind w:right="160" w:firstLine="360"/>
        <w:spacing w:after="0" w:line="263" w:lineRule="auto"/>
        <w:rPr>
          <w:sz w:val="20"/>
          <w:szCs w:val="20"/>
          <w:color w:val="auto"/>
        </w:rPr>
      </w:pPr>
      <w:r>
        <w:rPr>
          <w:rFonts w:ascii="Arial" w:cs="Arial" w:eastAsia="Arial" w:hAnsi="Arial"/>
          <w:sz w:val="18"/>
          <w:szCs w:val="18"/>
          <w:b w:val="1"/>
          <w:bCs w:val="1"/>
          <w:i w:val="1"/>
          <w:iCs w:val="1"/>
          <w:color w:val="auto"/>
        </w:rPr>
        <w:t xml:space="preserve">Mark Partin. </w:t>
      </w:r>
      <w:r>
        <w:rPr>
          <w:rFonts w:ascii="Arial" w:cs="Arial" w:eastAsia="Arial" w:hAnsi="Arial"/>
          <w:sz w:val="18"/>
          <w:szCs w:val="18"/>
          <w:color w:val="auto"/>
        </w:rPr>
        <w:t>We entered into a confirmatory employment letter with Mr. Partin. The confirmatory employment letter has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term and provides for “at-will” employment. As of December 31, 2019, Mr. Partin’s annual base salary was $365,000 and his annual on-target bonus opportunity was 60% of his annual base salary.</w:t>
      </w:r>
    </w:p>
    <w:p>
      <w:pPr>
        <w:spacing w:after="0" w:line="76"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Marc Huffman. </w:t>
      </w:r>
      <w:r>
        <w:rPr>
          <w:rFonts w:ascii="Arial" w:cs="Arial" w:eastAsia="Arial" w:hAnsi="Arial"/>
          <w:sz w:val="18"/>
          <w:szCs w:val="18"/>
          <w:color w:val="auto"/>
        </w:rPr>
        <w:t>We entered into an employment letter with Mr. Huffman in connection with his commencement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with us in 2018. The employment letter has no specific term and provides for “at will” employment. As of December 31, 2019, Mr. Huffman’s annual base salary was $350,000 and his annual on-target bonus opportunity was 100% of his annual base salary. The employment letter also provides Mr. Huffman with equity awards that have been previously granted and severance and change of control payments and benefits under the Policy (described below). Mr. Huffman is also reimbursed for travel in compliance with the company’s travel policy.</w:t>
      </w:r>
    </w:p>
    <w:p>
      <w:pPr>
        <w:spacing w:after="0" w:line="84" w:lineRule="exact"/>
        <w:rPr>
          <w:sz w:val="20"/>
          <w:szCs w:val="20"/>
          <w:color w:val="auto"/>
        </w:rPr>
      </w:pPr>
    </w:p>
    <w:p>
      <w:pPr>
        <w:ind w:right="320" w:firstLine="360"/>
        <w:spacing w:after="0" w:line="311" w:lineRule="auto"/>
        <w:rPr>
          <w:sz w:val="20"/>
          <w:szCs w:val="20"/>
          <w:color w:val="auto"/>
        </w:rPr>
      </w:pPr>
      <w:r>
        <w:rPr>
          <w:rFonts w:ascii="Arial" w:cs="Arial" w:eastAsia="Arial" w:hAnsi="Arial"/>
          <w:sz w:val="16"/>
          <w:szCs w:val="16"/>
          <w:b w:val="1"/>
          <w:bCs w:val="1"/>
          <w:i w:val="1"/>
          <w:iCs w:val="1"/>
          <w:color w:val="auto"/>
        </w:rPr>
        <w:t xml:space="preserve">Karole Morgan-Prager. </w:t>
      </w:r>
      <w:r>
        <w:rPr>
          <w:rFonts w:ascii="Arial" w:cs="Arial" w:eastAsia="Arial" w:hAnsi="Arial"/>
          <w:sz w:val="16"/>
          <w:szCs w:val="16"/>
          <w:color w:val="auto"/>
        </w:rPr>
        <w:t>We entered into a confirmatory employment letter with Ms. Morgan-Prager. The confirmatory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letter has no specific term and provides for “at-will” employment. As of December 31, 2019, Ms. Morgan-Prager’s annual base salary was $350,000 and her annual on-target bonus opportunity was 50% of her annual base salary.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section titled “Executive Compensation” (the “Executive Compensation Disclosure”), including, without limitation, the disclosure under the heading “Compensation Discussion and Analysis,” summary executive compensation tables and related narrative information included in this proxy statement. Based on such review and discussion, the compensation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committee has recommended to the board of directors that the section titled “Executive Compensation Disclosure” be included in this proxy statement and our Annual Report on Form 10-K for the fiscal year ended December 31, 2019.</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Respectfully submitted by the members of the compensation committee of our board of directors: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Brennan (Chair)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Kevin Thompson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Thomas Unterman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Mika Yamamoto</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This compensation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BlackLine under the Securities Act of 1933, as amended, or the Securities Act, or the Exchange Act, except to the extent BlackLine specifically requests that the information be treated as “soliciting material” or specifically incorporates it by reference.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table presents information concerning the total compensation of our NEOs for services rendered to us in all capacities during the years ended December 31, 2019, 2018, and 2017.</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Non-Equity</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Incentive</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Option</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Plan</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All Other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2"/>
              </w:rPr>
              <w:t>Salary</w:t>
            </w:r>
          </w:p>
        </w:tc>
        <w:tc>
          <w:tcPr>
            <w:tcW w:w="6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8"/>
              </w:rPr>
              <w:t>Bonus</w:t>
            </w:r>
          </w:p>
        </w:tc>
        <w:tc>
          <w:tcPr>
            <w:tcW w:w="94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3"/>
              </w:rPr>
              <w:t>Awards</w:t>
            </w:r>
          </w:p>
        </w:tc>
        <w:tc>
          <w:tcPr>
            <w:tcW w:w="8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3"/>
              </w:rPr>
              <w:t>Awards</w:t>
            </w:r>
          </w:p>
        </w:tc>
        <w:tc>
          <w:tcPr>
            <w:tcW w:w="104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0"/>
              </w:rPr>
              <w:t>Compensation</w:t>
            </w:r>
          </w:p>
        </w:tc>
        <w:tc>
          <w:tcPr>
            <w:tcW w:w="106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2"/>
              </w:rPr>
              <w:t>Compensation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9"/>
              </w:rPr>
              <w:t>Alternate</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center"/>
              <w:ind w:right="5"/>
              <w:spacing w:after="0" w:line="17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(2)</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(2)</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(3)</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0"/>
              </w:rPr>
              <w:t>($)</w:t>
            </w:r>
            <w:r>
              <w:rPr>
                <w:rFonts w:ascii="Arial" w:cs="Arial" w:eastAsia="Arial" w:hAnsi="Arial"/>
                <w:sz w:val="20"/>
                <w:szCs w:val="20"/>
                <w:b w:val="1"/>
                <w:bCs w:val="1"/>
                <w:color w:val="auto"/>
                <w:w w:val="90"/>
                <w:vertAlign w:val="superscript"/>
              </w:rPr>
              <w:t>(4)</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Total ($)</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8"/>
              </w:rPr>
              <w:t>Total ($)</w:t>
            </w:r>
            <w:r>
              <w:rPr>
                <w:rFonts w:ascii="Arial" w:cs="Arial" w:eastAsia="Arial" w:hAnsi="Arial"/>
                <w:sz w:val="20"/>
                <w:szCs w:val="20"/>
                <w:b w:val="1"/>
                <w:bCs w:val="1"/>
                <w:color w:val="auto"/>
                <w:w w:val="98"/>
                <w:vertAlign w:val="superscript"/>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gridSpan w:val="2"/>
            <w:shd w:val="clear" w:color="auto" w:fill="CCEEFF"/>
          </w:tcPr>
          <w:p>
            <w:pPr>
              <w:spacing w:after="0" w:line="162" w:lineRule="exact"/>
              <w:rPr>
                <w:sz w:val="20"/>
                <w:szCs w:val="20"/>
                <w:color w:val="auto"/>
              </w:rPr>
            </w:pPr>
            <w:r>
              <w:rPr>
                <w:rFonts w:ascii="Arial" w:cs="Arial" w:eastAsia="Arial" w:hAnsi="Arial"/>
                <w:sz w:val="15"/>
                <w:szCs w:val="15"/>
                <w:color w:val="auto"/>
              </w:rPr>
              <w:t>Therese Tucker</w:t>
            </w:r>
          </w:p>
        </w:tc>
        <w:tc>
          <w:tcPr>
            <w:tcW w:w="680" w:type="dxa"/>
            <w:vAlign w:val="bottom"/>
            <w:tcBorders>
              <w:bottom w:val="single" w:sz="8" w:color="CCEEFF"/>
            </w:tcBorders>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2019</w:t>
            </w:r>
          </w:p>
        </w:tc>
        <w:tc>
          <w:tcPr>
            <w:tcW w:w="7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9"/>
              </w:rPr>
              <w:t>380,000</w:t>
            </w:r>
          </w:p>
        </w:tc>
        <w:tc>
          <w:tcPr>
            <w:tcW w:w="68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8"/>
              </w:rPr>
              <w:t>19,203,288</w:t>
            </w:r>
          </w:p>
        </w:tc>
        <w:tc>
          <w:tcPr>
            <w:tcW w:w="86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8"/>
              </w:rPr>
              <w:t>2,298,226</w:t>
            </w:r>
          </w:p>
        </w:tc>
        <w:tc>
          <w:tcPr>
            <w:tcW w:w="10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422,826</w:t>
            </w:r>
          </w:p>
        </w:tc>
        <w:tc>
          <w:tcPr>
            <w:tcW w:w="106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247,818</w:t>
            </w:r>
          </w:p>
        </w:tc>
        <w:tc>
          <w:tcPr>
            <w:tcW w:w="9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8"/>
              </w:rPr>
              <w:t>22,552,158</w:t>
            </w:r>
          </w:p>
        </w:tc>
        <w:tc>
          <w:tcPr>
            <w:tcW w:w="84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5,638,016</w:t>
            </w:r>
          </w:p>
        </w:tc>
        <w:tc>
          <w:tcPr>
            <w:tcW w:w="0" w:type="dxa"/>
            <w:vAlign w:val="bottom"/>
          </w:tcPr>
          <w:p>
            <w:pPr>
              <w:spacing w:after="0"/>
              <w:rPr>
                <w:sz w:val="1"/>
                <w:szCs w:val="1"/>
                <w:color w:val="auto"/>
              </w:rPr>
            </w:pPr>
          </w:p>
        </w:tc>
      </w:tr>
      <w:tr>
        <w:trPr>
          <w:trHeight w:val="189"/>
        </w:trPr>
        <w:tc>
          <w:tcPr>
            <w:tcW w:w="178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5"/>
                <w:szCs w:val="15"/>
                <w:color w:val="auto"/>
              </w:rPr>
              <w:t>Chief Executive Officer</w:t>
            </w:r>
          </w:p>
        </w:tc>
        <w:tc>
          <w:tcPr>
            <w:tcW w:w="680" w:type="dxa"/>
            <w:vAlign w:val="bottom"/>
            <w:gridSpan w:val="4"/>
            <w:shd w:val="clear" w:color="auto" w:fill="CCEDFF"/>
          </w:tcPr>
          <w:p>
            <w:pPr>
              <w:jc w:val="right"/>
              <w:ind w:right="180"/>
              <w:spacing w:after="0"/>
              <w:rPr>
                <w:sz w:val="20"/>
                <w:szCs w:val="20"/>
                <w:color w:val="auto"/>
              </w:rPr>
            </w:pPr>
            <w:r>
              <w:rPr>
                <w:rFonts w:ascii="Arial" w:cs="Arial" w:eastAsia="Arial" w:hAnsi="Arial"/>
                <w:sz w:val="15"/>
                <w:szCs w:val="15"/>
                <w:color w:val="auto"/>
              </w:rPr>
              <w:t>2018</w:t>
            </w:r>
          </w:p>
        </w:tc>
        <w:tc>
          <w:tcPr>
            <w:tcW w:w="74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w w:val="99"/>
              </w:rPr>
              <w:t>380,000</w:t>
            </w:r>
          </w:p>
        </w:tc>
        <w:tc>
          <w:tcPr>
            <w:tcW w:w="68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rPr>
              <w:t>2,010,166</w:t>
            </w:r>
          </w:p>
        </w:tc>
        <w:tc>
          <w:tcPr>
            <w:tcW w:w="86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w w:val="98"/>
              </w:rPr>
              <w:t>2,028,294</w:t>
            </w:r>
          </w:p>
        </w:tc>
        <w:tc>
          <w:tcPr>
            <w:tcW w:w="104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rPr>
              <w:t>330,600</w:t>
            </w:r>
          </w:p>
        </w:tc>
        <w:tc>
          <w:tcPr>
            <w:tcW w:w="106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DFF"/>
          </w:tcPr>
          <w:p>
            <w:pPr>
              <w:jc w:val="right"/>
              <w:ind w:right="180"/>
              <w:spacing w:after="0"/>
              <w:rPr>
                <w:sz w:val="20"/>
                <w:szCs w:val="20"/>
                <w:color w:val="auto"/>
              </w:rPr>
            </w:pPr>
            <w:r>
              <w:rPr>
                <w:rFonts w:ascii="Arial" w:cs="Arial" w:eastAsia="Arial" w:hAnsi="Arial"/>
                <w:sz w:val="15"/>
                <w:szCs w:val="15"/>
                <w:color w:val="auto"/>
              </w:rPr>
              <w:t>4,749,060</w:t>
            </w:r>
          </w:p>
        </w:tc>
        <w:tc>
          <w:tcPr>
            <w:tcW w:w="840" w:type="dxa"/>
            <w:vAlign w:val="bottom"/>
            <w:gridSpan w:val="2"/>
            <w:shd w:val="clear" w:color="auto" w:fill="CCEDFF"/>
          </w:tcPr>
          <w:p>
            <w:pPr>
              <w:jc w:val="right"/>
              <w:ind w:right="80"/>
              <w:spacing w:after="0"/>
              <w:rPr>
                <w:sz w:val="20"/>
                <w:szCs w:val="20"/>
                <w:color w:val="auto"/>
              </w:rPr>
            </w:pPr>
            <w:r>
              <w:rPr>
                <w:rFonts w:ascii="Arial" w:cs="Arial" w:eastAsia="Arial" w:hAnsi="Arial"/>
                <w:sz w:val="15"/>
                <w:szCs w:val="15"/>
                <w:color w:val="auto"/>
              </w:rPr>
              <w:t>4,749,060</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2017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375,000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187,500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562,500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562,500</w:t>
            </w: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line="162" w:lineRule="exact"/>
              <w:rPr>
                <w:sz w:val="20"/>
                <w:szCs w:val="20"/>
                <w:color w:val="auto"/>
              </w:rPr>
            </w:pPr>
            <w:r>
              <w:rPr>
                <w:rFonts w:ascii="Arial" w:cs="Arial" w:eastAsia="Arial" w:hAnsi="Arial"/>
                <w:sz w:val="15"/>
                <w:szCs w:val="15"/>
                <w:color w:val="auto"/>
              </w:rPr>
              <w:t>Mark Partin</w:t>
            </w:r>
          </w:p>
        </w:tc>
        <w:tc>
          <w:tcPr>
            <w:tcW w:w="68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2019</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365,000</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1,497,734</w:t>
            </w:r>
          </w:p>
        </w:tc>
        <w:tc>
          <w:tcPr>
            <w:tcW w:w="8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8"/>
              </w:rPr>
              <w:t>1,503,772</w:t>
            </w:r>
          </w:p>
        </w:tc>
        <w:tc>
          <w:tcPr>
            <w:tcW w:w="10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243,681</w:t>
            </w:r>
          </w:p>
        </w:tc>
        <w:tc>
          <w:tcPr>
            <w:tcW w:w="10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28,988</w:t>
            </w:r>
          </w:p>
        </w:tc>
        <w:tc>
          <w:tcPr>
            <w:tcW w:w="9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3,639,175</w:t>
            </w:r>
          </w:p>
        </w:tc>
        <w:tc>
          <w:tcPr>
            <w:tcW w:w="8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3,639,175</w:t>
            </w:r>
          </w:p>
        </w:tc>
        <w:tc>
          <w:tcPr>
            <w:tcW w:w="0" w:type="dxa"/>
            <w:vAlign w:val="bottom"/>
          </w:tcPr>
          <w:p>
            <w:pPr>
              <w:spacing w:after="0"/>
              <w:rPr>
                <w:sz w:val="1"/>
                <w:szCs w:val="1"/>
                <w:color w:val="auto"/>
              </w:rPr>
            </w:pPr>
          </w:p>
        </w:tc>
      </w:tr>
      <w:tr>
        <w:trPr>
          <w:trHeight w:val="27"/>
        </w:trPr>
        <w:tc>
          <w:tcPr>
            <w:tcW w:w="1780" w:type="dxa"/>
            <w:vAlign w:val="bottom"/>
            <w:gridSpan w:val="2"/>
            <w:vMerge w:val="restart"/>
          </w:tcPr>
          <w:p>
            <w:pPr>
              <w:ind w:left="160"/>
              <w:spacing w:after="0"/>
              <w:rPr>
                <w:sz w:val="20"/>
                <w:szCs w:val="20"/>
                <w:color w:val="auto"/>
              </w:rPr>
            </w:pPr>
            <w:r>
              <w:rPr>
                <w:rFonts w:ascii="Arial" w:cs="Arial" w:eastAsia="Arial" w:hAnsi="Arial"/>
                <w:sz w:val="15"/>
                <w:szCs w:val="15"/>
                <w:color w:val="auto"/>
              </w:rPr>
              <w:t>Chief Financial Officer</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80" w:type="dxa"/>
            <w:vAlign w:val="bottom"/>
            <w:gridSpan w:val="2"/>
            <w:vMerge w:val="continue"/>
          </w:tcPr>
          <w:p>
            <w:pPr>
              <w:spacing w:after="0"/>
              <w:rPr>
                <w:sz w:val="16"/>
                <w:szCs w:val="16"/>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2018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365,000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1,200,011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1,211,150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158,775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11,000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2,945,936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2,945,936</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5"/>
                <w:szCs w:val="15"/>
                <w:color w:val="auto"/>
              </w:rPr>
              <w:t>2017</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350,833</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87,708</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10,800</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449,341</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449,341</w:t>
            </w:r>
          </w:p>
        </w:tc>
        <w:tc>
          <w:tcPr>
            <w:tcW w:w="0" w:type="dxa"/>
            <w:vAlign w:val="bottom"/>
          </w:tcPr>
          <w:p>
            <w:pPr>
              <w:spacing w:after="0"/>
              <w:rPr>
                <w:sz w:val="1"/>
                <w:szCs w:val="1"/>
                <w:color w:val="auto"/>
              </w:rPr>
            </w:pPr>
          </w:p>
        </w:tc>
      </w:tr>
      <w:tr>
        <w:trPr>
          <w:trHeight w:val="162"/>
        </w:trPr>
        <w:tc>
          <w:tcPr>
            <w:tcW w:w="1780" w:type="dxa"/>
            <w:vAlign w:val="bottom"/>
            <w:gridSpan w:val="2"/>
            <w:shd w:val="clear" w:color="auto" w:fill="CCEDFF"/>
          </w:tcPr>
          <w:p>
            <w:pPr>
              <w:spacing w:after="0" w:line="162" w:lineRule="exact"/>
              <w:rPr>
                <w:sz w:val="20"/>
                <w:szCs w:val="20"/>
                <w:color w:val="auto"/>
              </w:rPr>
            </w:pPr>
            <w:r>
              <w:rPr>
                <w:rFonts w:ascii="Arial" w:cs="Arial" w:eastAsia="Arial" w:hAnsi="Arial"/>
                <w:sz w:val="15"/>
                <w:szCs w:val="15"/>
                <w:color w:val="auto"/>
              </w:rPr>
              <w:t>Marc Huffman</w:t>
            </w:r>
          </w:p>
        </w:tc>
        <w:tc>
          <w:tcPr>
            <w:tcW w:w="180" w:type="dxa"/>
            <w:vAlign w:val="bottom"/>
            <w:gridSpan w:val="2"/>
            <w:shd w:val="clear" w:color="auto" w:fill="CCEDFF"/>
          </w:tcPr>
          <w:p>
            <w:pPr>
              <w:spacing w:after="0"/>
              <w:rPr>
                <w:sz w:val="14"/>
                <w:szCs w:val="14"/>
                <w:color w:val="auto"/>
              </w:rPr>
            </w:pPr>
          </w:p>
        </w:tc>
        <w:tc>
          <w:tcPr>
            <w:tcW w:w="50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w w:val="89"/>
              </w:rPr>
              <w:t>2019</w:t>
            </w:r>
          </w:p>
        </w:tc>
        <w:tc>
          <w:tcPr>
            <w:tcW w:w="74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w w:val="99"/>
              </w:rPr>
              <w:t>350,000</w:t>
            </w:r>
          </w:p>
        </w:tc>
        <w:tc>
          <w:tcPr>
            <w:tcW w:w="68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rPr>
              <w:t>1,276,360</w:t>
            </w:r>
          </w:p>
        </w:tc>
        <w:tc>
          <w:tcPr>
            <w:tcW w:w="86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w w:val="98"/>
              </w:rPr>
              <w:t>1,281,441</w:t>
            </w:r>
          </w:p>
        </w:tc>
        <w:tc>
          <w:tcPr>
            <w:tcW w:w="104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rPr>
              <w:t>389,445</w:t>
            </w:r>
          </w:p>
        </w:tc>
        <w:tc>
          <w:tcPr>
            <w:tcW w:w="106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rPr>
              <w:t>11,200</w:t>
            </w:r>
          </w:p>
        </w:tc>
        <w:tc>
          <w:tcPr>
            <w:tcW w:w="940" w:type="dxa"/>
            <w:vAlign w:val="bottom"/>
            <w:gridSpan w:val="2"/>
            <w:shd w:val="clear" w:color="auto" w:fill="CCEDFF"/>
          </w:tcPr>
          <w:p>
            <w:pPr>
              <w:jc w:val="right"/>
              <w:ind w:right="180"/>
              <w:spacing w:after="0" w:line="162" w:lineRule="exact"/>
              <w:rPr>
                <w:sz w:val="20"/>
                <w:szCs w:val="20"/>
                <w:color w:val="auto"/>
              </w:rPr>
            </w:pPr>
            <w:r>
              <w:rPr>
                <w:rFonts w:ascii="Arial" w:cs="Arial" w:eastAsia="Arial" w:hAnsi="Arial"/>
                <w:sz w:val="15"/>
                <w:szCs w:val="15"/>
                <w:color w:val="auto"/>
              </w:rPr>
              <w:t>3,308,446</w:t>
            </w:r>
          </w:p>
        </w:tc>
        <w:tc>
          <w:tcPr>
            <w:tcW w:w="840" w:type="dxa"/>
            <w:vAlign w:val="bottom"/>
            <w:gridSpan w:val="2"/>
            <w:shd w:val="clear" w:color="auto" w:fill="CCEDFF"/>
          </w:tcPr>
          <w:p>
            <w:pPr>
              <w:jc w:val="right"/>
              <w:ind w:right="80"/>
              <w:spacing w:after="0" w:line="162" w:lineRule="exact"/>
              <w:rPr>
                <w:sz w:val="20"/>
                <w:szCs w:val="20"/>
                <w:color w:val="auto"/>
              </w:rPr>
            </w:pPr>
            <w:r>
              <w:rPr>
                <w:rFonts w:ascii="Arial" w:cs="Arial" w:eastAsia="Arial" w:hAnsi="Arial"/>
                <w:sz w:val="15"/>
                <w:szCs w:val="15"/>
                <w:color w:val="auto"/>
              </w:rPr>
              <w:t>3,308,446</w:t>
            </w:r>
          </w:p>
        </w:tc>
        <w:tc>
          <w:tcPr>
            <w:tcW w:w="0" w:type="dxa"/>
            <w:vAlign w:val="bottom"/>
          </w:tcPr>
          <w:p>
            <w:pPr>
              <w:spacing w:after="0"/>
              <w:rPr>
                <w:sz w:val="1"/>
                <w:szCs w:val="1"/>
                <w:color w:val="auto"/>
              </w:rPr>
            </w:pPr>
          </w:p>
        </w:tc>
      </w:tr>
      <w:tr>
        <w:trPr>
          <w:trHeight w:val="162"/>
        </w:trPr>
        <w:tc>
          <w:tcPr>
            <w:tcW w:w="1780" w:type="dxa"/>
            <w:vAlign w:val="bottom"/>
            <w:gridSpan w:val="2"/>
            <w:shd w:val="clear" w:color="auto" w:fill="CCEDFF"/>
          </w:tcPr>
          <w:p>
            <w:pPr>
              <w:ind w:left="160"/>
              <w:spacing w:after="0" w:line="162" w:lineRule="exact"/>
              <w:rPr>
                <w:sz w:val="20"/>
                <w:szCs w:val="20"/>
                <w:color w:val="auto"/>
              </w:rPr>
            </w:pPr>
            <w:r>
              <w:rPr>
                <w:rFonts w:ascii="Arial" w:cs="Arial" w:eastAsia="Arial" w:hAnsi="Arial"/>
                <w:sz w:val="15"/>
                <w:szCs w:val="15"/>
                <w:color w:val="auto"/>
              </w:rPr>
              <w:t>President and Chief</w:t>
            </w:r>
          </w:p>
        </w:tc>
        <w:tc>
          <w:tcPr>
            <w:tcW w:w="80" w:type="dxa"/>
            <w:vAlign w:val="bottom"/>
            <w:shd w:val="clear" w:color="auto" w:fill="CCEDFF"/>
          </w:tcPr>
          <w:p>
            <w:pPr>
              <w:spacing w:after="0"/>
              <w:rPr>
                <w:sz w:val="14"/>
                <w:szCs w:val="14"/>
                <w:color w:val="auto"/>
              </w:rPr>
            </w:pPr>
          </w:p>
        </w:tc>
        <w:tc>
          <w:tcPr>
            <w:tcW w:w="100" w:type="dxa"/>
            <w:vAlign w:val="bottom"/>
            <w:shd w:val="clear" w:color="auto" w:fill="CCEDFF"/>
          </w:tcPr>
          <w:p>
            <w:pPr>
              <w:spacing w:after="0"/>
              <w:rPr>
                <w:sz w:val="14"/>
                <w:szCs w:val="14"/>
                <w:color w:val="auto"/>
              </w:rPr>
            </w:pPr>
          </w:p>
        </w:tc>
        <w:tc>
          <w:tcPr>
            <w:tcW w:w="50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w w:val="89"/>
              </w:rPr>
              <w:t>2018</w:t>
            </w:r>
          </w:p>
        </w:tc>
        <w:tc>
          <w:tcPr>
            <w:tcW w:w="74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w w:val="99"/>
              </w:rPr>
              <w:t>310,288</w:t>
            </w:r>
          </w:p>
        </w:tc>
        <w:tc>
          <w:tcPr>
            <w:tcW w:w="68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rPr>
              <w:t>3,185,112</w:t>
            </w:r>
          </w:p>
        </w:tc>
        <w:tc>
          <w:tcPr>
            <w:tcW w:w="86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w w:val="98"/>
              </w:rPr>
              <w:t>6,626,000</w:t>
            </w:r>
          </w:p>
        </w:tc>
        <w:tc>
          <w:tcPr>
            <w:tcW w:w="104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rPr>
              <w:t>268,627</w:t>
            </w:r>
          </w:p>
        </w:tc>
        <w:tc>
          <w:tcPr>
            <w:tcW w:w="106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rPr>
              <w:t>10,688</w:t>
            </w:r>
          </w:p>
        </w:tc>
        <w:tc>
          <w:tcPr>
            <w:tcW w:w="940" w:type="dxa"/>
            <w:vAlign w:val="bottom"/>
            <w:gridSpan w:val="2"/>
            <w:vMerge w:val="restart"/>
            <w:shd w:val="clear" w:color="auto" w:fill="CCEDFF"/>
          </w:tcPr>
          <w:p>
            <w:pPr>
              <w:jc w:val="right"/>
              <w:ind w:right="180"/>
              <w:spacing w:after="0"/>
              <w:rPr>
                <w:sz w:val="20"/>
                <w:szCs w:val="20"/>
                <w:color w:val="auto"/>
              </w:rPr>
            </w:pPr>
            <w:r>
              <w:rPr>
                <w:rFonts w:ascii="Arial" w:cs="Arial" w:eastAsia="Arial" w:hAnsi="Arial"/>
                <w:sz w:val="15"/>
                <w:szCs w:val="15"/>
                <w:color w:val="auto"/>
                <w:w w:val="98"/>
              </w:rPr>
              <w:t>10,400,715</w:t>
            </w:r>
          </w:p>
        </w:tc>
        <w:tc>
          <w:tcPr>
            <w:tcW w:w="840" w:type="dxa"/>
            <w:vAlign w:val="bottom"/>
            <w:gridSpan w:val="2"/>
            <w:vMerge w:val="restart"/>
            <w:shd w:val="clear" w:color="auto" w:fill="CCEDFF"/>
          </w:tcPr>
          <w:p>
            <w:pPr>
              <w:jc w:val="right"/>
              <w:ind w:right="80"/>
              <w:spacing w:after="0"/>
              <w:rPr>
                <w:sz w:val="20"/>
                <w:szCs w:val="20"/>
                <w:color w:val="auto"/>
              </w:rPr>
            </w:pPr>
            <w:r>
              <w:rPr>
                <w:rFonts w:ascii="Arial" w:cs="Arial" w:eastAsia="Arial" w:hAnsi="Arial"/>
                <w:sz w:val="15"/>
                <w:szCs w:val="15"/>
                <w:color w:val="auto"/>
                <w:w w:val="98"/>
              </w:rPr>
              <w:t>10,400,715</w:t>
            </w:r>
          </w:p>
        </w:tc>
        <w:tc>
          <w:tcPr>
            <w:tcW w:w="0" w:type="dxa"/>
            <w:vAlign w:val="bottom"/>
          </w:tcPr>
          <w:p>
            <w:pPr>
              <w:spacing w:after="0"/>
              <w:rPr>
                <w:sz w:val="1"/>
                <w:szCs w:val="1"/>
                <w:color w:val="auto"/>
              </w:rPr>
            </w:pPr>
          </w:p>
        </w:tc>
      </w:tr>
      <w:tr>
        <w:trPr>
          <w:trHeight w:val="127"/>
        </w:trPr>
        <w:tc>
          <w:tcPr>
            <w:tcW w:w="1780" w:type="dxa"/>
            <w:vAlign w:val="bottom"/>
            <w:gridSpan w:val="2"/>
            <w:vMerge w:val="restart"/>
            <w:shd w:val="clear" w:color="auto" w:fill="CCEDFF"/>
          </w:tcPr>
          <w:p>
            <w:pPr>
              <w:ind w:left="160"/>
              <w:spacing w:after="0"/>
              <w:rPr>
                <w:sz w:val="20"/>
                <w:szCs w:val="20"/>
                <w:color w:val="auto"/>
              </w:rPr>
            </w:pPr>
            <w:r>
              <w:rPr>
                <w:rFonts w:ascii="Arial" w:cs="Arial" w:eastAsia="Arial" w:hAnsi="Arial"/>
                <w:sz w:val="15"/>
                <w:szCs w:val="15"/>
                <w:color w:val="auto"/>
              </w:rPr>
              <w:t>Operating Officer</w:t>
            </w:r>
          </w:p>
        </w:tc>
        <w:tc>
          <w:tcPr>
            <w:tcW w:w="180" w:type="dxa"/>
            <w:vAlign w:val="bottom"/>
            <w:gridSpan w:val="2"/>
            <w:shd w:val="clear" w:color="auto" w:fill="CCEDFF"/>
          </w:tcPr>
          <w:p>
            <w:pPr>
              <w:spacing w:after="0"/>
              <w:rPr>
                <w:sz w:val="11"/>
                <w:szCs w:val="11"/>
                <w:color w:val="auto"/>
              </w:rPr>
            </w:pPr>
          </w:p>
        </w:tc>
        <w:tc>
          <w:tcPr>
            <w:tcW w:w="500" w:type="dxa"/>
            <w:vAlign w:val="bottom"/>
            <w:gridSpan w:val="2"/>
            <w:vMerge w:val="continue"/>
            <w:shd w:val="clear" w:color="auto" w:fill="CCEDFF"/>
          </w:tcPr>
          <w:p>
            <w:pPr>
              <w:spacing w:after="0"/>
              <w:rPr>
                <w:sz w:val="11"/>
                <w:szCs w:val="11"/>
                <w:color w:val="auto"/>
              </w:rPr>
            </w:pPr>
          </w:p>
        </w:tc>
        <w:tc>
          <w:tcPr>
            <w:tcW w:w="740" w:type="dxa"/>
            <w:vAlign w:val="bottom"/>
            <w:gridSpan w:val="2"/>
            <w:vMerge w:val="continue"/>
            <w:shd w:val="clear" w:color="auto" w:fill="CCEDFF"/>
          </w:tcPr>
          <w:p>
            <w:pPr>
              <w:spacing w:after="0"/>
              <w:rPr>
                <w:sz w:val="11"/>
                <w:szCs w:val="11"/>
                <w:color w:val="auto"/>
              </w:rPr>
            </w:pPr>
          </w:p>
        </w:tc>
        <w:tc>
          <w:tcPr>
            <w:tcW w:w="680" w:type="dxa"/>
            <w:vAlign w:val="bottom"/>
            <w:gridSpan w:val="2"/>
            <w:vMerge w:val="continue"/>
            <w:shd w:val="clear" w:color="auto" w:fill="CCEDFF"/>
          </w:tcPr>
          <w:p>
            <w:pPr>
              <w:spacing w:after="0"/>
              <w:rPr>
                <w:sz w:val="11"/>
                <w:szCs w:val="11"/>
                <w:color w:val="auto"/>
              </w:rPr>
            </w:pPr>
          </w:p>
        </w:tc>
        <w:tc>
          <w:tcPr>
            <w:tcW w:w="940" w:type="dxa"/>
            <w:vAlign w:val="bottom"/>
            <w:gridSpan w:val="2"/>
            <w:vMerge w:val="continue"/>
            <w:shd w:val="clear" w:color="auto" w:fill="CCEDFF"/>
          </w:tcPr>
          <w:p>
            <w:pPr>
              <w:spacing w:after="0"/>
              <w:rPr>
                <w:sz w:val="11"/>
                <w:szCs w:val="11"/>
                <w:color w:val="auto"/>
              </w:rPr>
            </w:pPr>
          </w:p>
        </w:tc>
        <w:tc>
          <w:tcPr>
            <w:tcW w:w="860" w:type="dxa"/>
            <w:vAlign w:val="bottom"/>
            <w:gridSpan w:val="2"/>
            <w:vMerge w:val="continue"/>
            <w:shd w:val="clear" w:color="auto" w:fill="CCEDFF"/>
          </w:tcPr>
          <w:p>
            <w:pPr>
              <w:spacing w:after="0"/>
              <w:rPr>
                <w:sz w:val="11"/>
                <w:szCs w:val="11"/>
                <w:color w:val="auto"/>
              </w:rPr>
            </w:pPr>
          </w:p>
        </w:tc>
        <w:tc>
          <w:tcPr>
            <w:tcW w:w="1040" w:type="dxa"/>
            <w:vAlign w:val="bottom"/>
            <w:gridSpan w:val="2"/>
            <w:vMerge w:val="continue"/>
            <w:shd w:val="clear" w:color="auto" w:fill="CCEDFF"/>
          </w:tcPr>
          <w:p>
            <w:pPr>
              <w:spacing w:after="0"/>
              <w:rPr>
                <w:sz w:val="11"/>
                <w:szCs w:val="11"/>
                <w:color w:val="auto"/>
              </w:rPr>
            </w:pPr>
          </w:p>
        </w:tc>
        <w:tc>
          <w:tcPr>
            <w:tcW w:w="1060" w:type="dxa"/>
            <w:vAlign w:val="bottom"/>
            <w:gridSpan w:val="2"/>
            <w:vMerge w:val="continue"/>
            <w:shd w:val="clear" w:color="auto" w:fill="CCEDFF"/>
          </w:tcPr>
          <w:p>
            <w:pPr>
              <w:spacing w:after="0"/>
              <w:rPr>
                <w:sz w:val="11"/>
                <w:szCs w:val="11"/>
                <w:color w:val="auto"/>
              </w:rPr>
            </w:pPr>
          </w:p>
        </w:tc>
        <w:tc>
          <w:tcPr>
            <w:tcW w:w="940" w:type="dxa"/>
            <w:vAlign w:val="bottom"/>
            <w:gridSpan w:val="2"/>
            <w:vMerge w:val="continue"/>
            <w:shd w:val="clear" w:color="auto" w:fill="CCEDFF"/>
          </w:tcPr>
          <w:p>
            <w:pPr>
              <w:spacing w:after="0"/>
              <w:rPr>
                <w:sz w:val="11"/>
                <w:szCs w:val="11"/>
                <w:color w:val="auto"/>
              </w:rPr>
            </w:pPr>
          </w:p>
        </w:tc>
        <w:tc>
          <w:tcPr>
            <w:tcW w:w="840" w:type="dxa"/>
            <w:vAlign w:val="bottom"/>
            <w:gridSpan w:val="2"/>
            <w:vMerge w:val="continue"/>
            <w:shd w:val="clear" w:color="auto" w:fill="CCEDFF"/>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780" w:type="dxa"/>
            <w:vAlign w:val="bottom"/>
            <w:gridSpan w:val="2"/>
            <w:vMerge w:val="continue"/>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32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56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50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66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86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88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gridSpan w:val="2"/>
            <w:shd w:val="clear" w:color="auto" w:fill="CCEEFF"/>
          </w:tcPr>
          <w:p>
            <w:pPr>
              <w:spacing w:after="0" w:line="162" w:lineRule="exact"/>
              <w:rPr>
                <w:sz w:val="20"/>
                <w:szCs w:val="20"/>
                <w:color w:val="auto"/>
              </w:rPr>
            </w:pPr>
            <w:r>
              <w:rPr>
                <w:rFonts w:ascii="Arial" w:cs="Arial" w:eastAsia="Arial" w:hAnsi="Arial"/>
                <w:sz w:val="15"/>
                <w:szCs w:val="15"/>
                <w:color w:val="auto"/>
              </w:rPr>
              <w:t>Karole Morgan-Prager</w:t>
            </w:r>
          </w:p>
        </w:tc>
        <w:tc>
          <w:tcPr>
            <w:tcW w:w="680" w:type="dxa"/>
            <w:vAlign w:val="bottom"/>
            <w:tcBorders>
              <w:bottom w:val="single" w:sz="8" w:color="CCEEFF"/>
            </w:tcBorders>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2019</w:t>
            </w:r>
          </w:p>
        </w:tc>
        <w:tc>
          <w:tcPr>
            <w:tcW w:w="7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9"/>
              </w:rPr>
              <w:t>348,333</w:t>
            </w:r>
          </w:p>
        </w:tc>
        <w:tc>
          <w:tcPr>
            <w:tcW w:w="68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35,000</w:t>
            </w:r>
          </w:p>
        </w:tc>
        <w:tc>
          <w:tcPr>
            <w:tcW w:w="9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590,331</w:t>
            </w:r>
          </w:p>
        </w:tc>
        <w:tc>
          <w:tcPr>
            <w:tcW w:w="86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592,557</w:t>
            </w:r>
          </w:p>
        </w:tc>
        <w:tc>
          <w:tcPr>
            <w:tcW w:w="10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194,723</w:t>
            </w:r>
          </w:p>
        </w:tc>
        <w:tc>
          <w:tcPr>
            <w:tcW w:w="106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294,423</w:t>
            </w:r>
          </w:p>
        </w:tc>
        <w:tc>
          <w:tcPr>
            <w:tcW w:w="940" w:type="dxa"/>
            <w:vAlign w:val="bottom"/>
            <w:tcBorders>
              <w:bottom w:val="single" w:sz="8" w:color="CCEEFF"/>
            </w:tcBorders>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2,055,367</w:t>
            </w:r>
          </w:p>
        </w:tc>
        <w:tc>
          <w:tcPr>
            <w:tcW w:w="84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2,055,367</w:t>
            </w: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5"/>
                <w:szCs w:val="15"/>
                <w:color w:val="auto"/>
              </w:rPr>
              <w:t>Chief Legal and</w:t>
            </w:r>
          </w:p>
        </w:tc>
        <w:tc>
          <w:tcPr>
            <w:tcW w:w="680" w:type="dxa"/>
            <w:vAlign w:val="bottom"/>
            <w:gridSpan w:val="4"/>
          </w:tcPr>
          <w:p>
            <w:pPr>
              <w:jc w:val="right"/>
              <w:ind w:right="180"/>
              <w:spacing w:after="0" w:line="149" w:lineRule="exact"/>
              <w:rPr>
                <w:sz w:val="20"/>
                <w:szCs w:val="20"/>
                <w:color w:val="auto"/>
              </w:rPr>
            </w:pPr>
            <w:r>
              <w:rPr>
                <w:rFonts w:ascii="Arial" w:cs="Arial" w:eastAsia="Arial" w:hAnsi="Arial"/>
                <w:sz w:val="15"/>
                <w:szCs w:val="15"/>
                <w:color w:val="auto"/>
              </w:rPr>
              <w:t>2018</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w w:val="99"/>
              </w:rPr>
              <w:t>340,000</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35,000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598,314</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603,621</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118,320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152,791</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1,848,046</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5"/>
                <w:szCs w:val="15"/>
                <w:color w:val="auto"/>
              </w:rPr>
              <w:t>1,848,046</w:t>
            </w:r>
          </w:p>
        </w:tc>
        <w:tc>
          <w:tcPr>
            <w:tcW w:w="0" w:type="dxa"/>
            <w:vAlign w:val="bottom"/>
          </w:tcPr>
          <w:p>
            <w:pPr>
              <w:spacing w:after="0"/>
              <w:rPr>
                <w:sz w:val="1"/>
                <w:szCs w:val="1"/>
                <w:color w:val="auto"/>
              </w:rPr>
            </w:pPr>
          </w:p>
        </w:tc>
      </w:tr>
      <w:tr>
        <w:trPr>
          <w:trHeight w:val="41"/>
        </w:trPr>
        <w:tc>
          <w:tcPr>
            <w:tcW w:w="1780" w:type="dxa"/>
            <w:vAlign w:val="bottom"/>
            <w:gridSpan w:val="2"/>
            <w:vMerge w:val="restart"/>
            <w:shd w:val="clear" w:color="auto" w:fill="CCEEFF"/>
          </w:tcPr>
          <w:p>
            <w:pPr>
              <w:ind w:left="160"/>
              <w:spacing w:after="0"/>
              <w:rPr>
                <w:sz w:val="20"/>
                <w:szCs w:val="20"/>
                <w:color w:val="auto"/>
              </w:rPr>
            </w:pPr>
            <w:r>
              <w:rPr>
                <w:rFonts w:ascii="Arial" w:cs="Arial" w:eastAsia="Arial" w:hAnsi="Arial"/>
                <w:sz w:val="15"/>
                <w:szCs w:val="15"/>
                <w:color w:val="auto"/>
              </w:rPr>
              <w:t>Administrative Officer</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shd w:val="clear" w:color="auto" w:fill="CCEEFF"/>
          </w:tcPr>
          <w:p>
            <w:pPr>
              <w:spacing w:after="0"/>
              <w:rPr>
                <w:sz w:val="12"/>
                <w:szCs w:val="12"/>
                <w:color w:val="auto"/>
              </w:rPr>
            </w:pPr>
          </w:p>
        </w:tc>
        <w:tc>
          <w:tcPr>
            <w:tcW w:w="6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2017</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w w:val="99"/>
              </w:rPr>
              <w:t>340,000</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25,000</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68,000</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10,800</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443,800</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443,800</w:t>
            </w:r>
          </w:p>
        </w:tc>
        <w:tc>
          <w:tcPr>
            <w:tcW w:w="0" w:type="dxa"/>
            <w:vAlign w:val="bottom"/>
          </w:tcPr>
          <w:p>
            <w:pPr>
              <w:spacing w:after="0"/>
              <w:rPr>
                <w:sz w:val="1"/>
                <w:szCs w:val="1"/>
                <w:color w:val="auto"/>
              </w:rPr>
            </w:pPr>
          </w:p>
        </w:tc>
      </w:tr>
      <w:tr>
        <w:trPr>
          <w:trHeight w:val="40"/>
        </w:trPr>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gridSpan w:val="4"/>
            <w:vMerge w:val="continue"/>
            <w:shd w:val="clear" w:color="auto" w:fill="CCEEFF"/>
          </w:tcPr>
          <w:p>
            <w:pPr>
              <w:spacing w:after="0"/>
              <w:rPr>
                <w:sz w:val="3"/>
                <w:szCs w:val="3"/>
                <w:color w:val="auto"/>
              </w:rPr>
            </w:pPr>
          </w:p>
        </w:tc>
        <w:tc>
          <w:tcPr>
            <w:tcW w:w="740" w:type="dxa"/>
            <w:vAlign w:val="bottom"/>
            <w:gridSpan w:val="2"/>
            <w:vMerge w:val="continue"/>
            <w:shd w:val="clear" w:color="auto" w:fill="CCEEFF"/>
          </w:tcPr>
          <w:p>
            <w:pPr>
              <w:spacing w:after="0"/>
              <w:rPr>
                <w:sz w:val="3"/>
                <w:szCs w:val="3"/>
                <w:color w:val="auto"/>
              </w:rPr>
            </w:pPr>
          </w:p>
        </w:tc>
        <w:tc>
          <w:tcPr>
            <w:tcW w:w="680" w:type="dxa"/>
            <w:vAlign w:val="bottom"/>
            <w:gridSpan w:val="2"/>
            <w:vMerge w:val="continue"/>
            <w:shd w:val="clear" w:color="auto" w:fill="CCEEFF"/>
          </w:tcPr>
          <w:p>
            <w:pPr>
              <w:spacing w:after="0"/>
              <w:rPr>
                <w:sz w:val="3"/>
                <w:szCs w:val="3"/>
                <w:color w:val="auto"/>
              </w:rPr>
            </w:pPr>
          </w:p>
        </w:tc>
        <w:tc>
          <w:tcPr>
            <w:tcW w:w="940" w:type="dxa"/>
            <w:vAlign w:val="bottom"/>
            <w:gridSpan w:val="2"/>
            <w:vMerge w:val="continue"/>
            <w:shd w:val="clear" w:color="auto" w:fill="CCEEFF"/>
          </w:tcPr>
          <w:p>
            <w:pPr>
              <w:spacing w:after="0"/>
              <w:rPr>
                <w:sz w:val="3"/>
                <w:szCs w:val="3"/>
                <w:color w:val="auto"/>
              </w:rPr>
            </w:pPr>
          </w:p>
        </w:tc>
        <w:tc>
          <w:tcPr>
            <w:tcW w:w="860" w:type="dxa"/>
            <w:vAlign w:val="bottom"/>
            <w:gridSpan w:val="2"/>
            <w:vMerge w:val="continue"/>
            <w:shd w:val="clear" w:color="auto" w:fill="CCEEFF"/>
          </w:tcPr>
          <w:p>
            <w:pPr>
              <w:spacing w:after="0"/>
              <w:rPr>
                <w:sz w:val="3"/>
                <w:szCs w:val="3"/>
                <w:color w:val="auto"/>
              </w:rPr>
            </w:pPr>
          </w:p>
        </w:tc>
        <w:tc>
          <w:tcPr>
            <w:tcW w:w="1040" w:type="dxa"/>
            <w:vAlign w:val="bottom"/>
            <w:gridSpan w:val="2"/>
            <w:vMerge w:val="continue"/>
            <w:shd w:val="clear" w:color="auto" w:fill="CCEEFF"/>
          </w:tcPr>
          <w:p>
            <w:pPr>
              <w:spacing w:after="0"/>
              <w:rPr>
                <w:sz w:val="3"/>
                <w:szCs w:val="3"/>
                <w:color w:val="auto"/>
              </w:rPr>
            </w:pPr>
          </w:p>
        </w:tc>
        <w:tc>
          <w:tcPr>
            <w:tcW w:w="1060" w:type="dxa"/>
            <w:vAlign w:val="bottom"/>
            <w:gridSpan w:val="2"/>
            <w:vMerge w:val="continue"/>
            <w:shd w:val="clear" w:color="auto" w:fill="CCEEFF"/>
          </w:tcPr>
          <w:p>
            <w:pPr>
              <w:spacing w:after="0"/>
              <w:rPr>
                <w:sz w:val="3"/>
                <w:szCs w:val="3"/>
                <w:color w:val="auto"/>
              </w:rPr>
            </w:pPr>
          </w:p>
        </w:tc>
        <w:tc>
          <w:tcPr>
            <w:tcW w:w="940" w:type="dxa"/>
            <w:vAlign w:val="bottom"/>
            <w:gridSpan w:val="2"/>
            <w:vMerge w:val="continue"/>
            <w:shd w:val="clear" w:color="auto" w:fill="CCEEFF"/>
          </w:tcPr>
          <w:p>
            <w:pPr>
              <w:spacing w:after="0"/>
              <w:rPr>
                <w:sz w:val="3"/>
                <w:szCs w:val="3"/>
                <w:color w:val="auto"/>
              </w:rPr>
            </w:pPr>
          </w:p>
        </w:tc>
        <w:tc>
          <w:tcPr>
            <w:tcW w:w="8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-925195</wp:posOffset>
            </wp:positionV>
            <wp:extent cx="494601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46015" cy="1200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6069330"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360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111760</wp:posOffset>
            </wp:positionV>
            <wp:extent cx="908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72" w:lineRule="exact"/>
        <w:rPr>
          <w:sz w:val="20"/>
          <w:szCs w:val="20"/>
          <w:color w:val="auto"/>
        </w:rPr>
      </w:pPr>
    </w:p>
    <w:p>
      <w:pPr>
        <w:ind w:left="360" w:right="600" w:hanging="355"/>
        <w:spacing w:after="0" w:line="27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Ms. Morgan-Prager, the amounts in this column represent a cash bonus for her temporary assignment to London and additional responsibilities in overseeing the facilities and procurement functions.</w:t>
      </w:r>
    </w:p>
    <w:p>
      <w:pPr>
        <w:spacing w:after="0" w:line="65" w:lineRule="exact"/>
        <w:rPr>
          <w:rFonts w:ascii="Arial" w:cs="Arial" w:eastAsia="Arial" w:hAnsi="Arial"/>
          <w:sz w:val="14"/>
          <w:szCs w:val="14"/>
          <w:color w:val="auto"/>
        </w:rPr>
      </w:pPr>
    </w:p>
    <w:p>
      <w:pPr>
        <w:ind w:left="360" w:right="80" w:hanging="355"/>
        <w:spacing w:after="0" w:line="265" w:lineRule="auto"/>
        <w:tabs>
          <w:tab w:leader="none" w:pos="3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amounts in these columns represent the aggregate grant date fair value of stock and option awards as computed in accordance with Financial Accounting Standard Board Accounting Standards Codification Topic 718, or ASC 718. The assumptions used in calculating the grant date fair value of the awards reported in this column are set forth in Note 2 to our financial statements appearing at the end of our Annual Report on Form 10-K for the year ended December 31, 2019. As required by SEC rules, the amounts shown exclude the impact of estimated forfeitures related to service-based vesting conditions. Ms. Tucker’s 2019 Option Awards include a value of $2,289,146 related to a stock option granted in 2019 and a value of $16,914,142 related to a performance-based option to purchase 482,800 shares of our common stock (the “Performance-Based Option”) granted in 2016. Although the Performance-Based Option was legally granted in 2016, there was no accounting measurement date and therefore no fair value to be included in this table until the 2019 cash flow target was set in 2019. When that cash flow target was set, the fair value of $16,914,142 was determined, although it is likely that the targets will not be met and that Ms. Tucker will not earn any of this Performance-Based Option and that this Performance-Based Option will be forfeited in 2020. Accordingly, as of the date of this proxy filing, we do not expect to recognize any of this non-cash expense associated with the Performance-Based Option. See “2016 CEO Performance-Based Equity Award” below for additional details on the terms of this award.</w:t>
      </w:r>
    </w:p>
    <w:p>
      <w:pPr>
        <w:spacing w:after="0" w:line="74" w:lineRule="exact"/>
        <w:rPr>
          <w:rFonts w:ascii="Arial" w:cs="Arial" w:eastAsia="Arial" w:hAnsi="Arial"/>
          <w:sz w:val="13"/>
          <w:szCs w:val="13"/>
          <w:color w:val="auto"/>
        </w:rPr>
      </w:pPr>
    </w:p>
    <w:p>
      <w:pPr>
        <w:ind w:left="360" w:hanging="355"/>
        <w:spacing w:after="0"/>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in this column represent annual incentives earned under our bonus plans for the applicable fiscal year.</w:t>
      </w:r>
    </w:p>
    <w:p>
      <w:pPr>
        <w:spacing w:after="0" w:line="109" w:lineRule="exact"/>
        <w:rPr>
          <w:rFonts w:ascii="Arial" w:cs="Arial" w:eastAsia="Arial" w:hAnsi="Arial"/>
          <w:sz w:val="14"/>
          <w:szCs w:val="14"/>
          <w:color w:val="auto"/>
        </w:rPr>
      </w:pPr>
    </w:p>
    <w:p>
      <w:pPr>
        <w:ind w:left="360" w:right="40" w:hanging="355"/>
        <w:spacing w:after="0" w:line="252"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401(k) plan matching contributions for Messrs. Partin and Huffman in the amount of $11,200 each in 2019. In 2019, this amount also includes the following: (i) in the case of Ms. Tucker, $125,000 related to the costs to cover her HSR filing fees, plus $61,436 relating to the tax gross up on such amount, as well as $61,382 paid for earned and unused days of PTO and (ii) for Mr. Partin, $17,788 paid for earned and unused days of PTO. In the case of Ms. Morgan-Prager, this amount includes the following for 2018 and 2019:</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Earned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3"/>
              </w:rPr>
              <w:t>and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Travel Expense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Tax Gross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1"/>
              </w:rPr>
              <w:t>Unused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5"/>
              </w:rPr>
              <w:t>Tax Gross</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Reimbursements</w:t>
            </w:r>
          </w:p>
        </w:tc>
        <w:tc>
          <w:tcPr>
            <w:tcW w:w="1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Tax Gross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Up 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401(k) Plan</w:t>
            </w: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Days</w:t>
            </w:r>
          </w:p>
        </w:tc>
        <w:tc>
          <w:tcPr>
            <w:tcW w:w="580" w:type="dxa"/>
            <w:vAlign w:val="bottom"/>
          </w:tcPr>
          <w:p>
            <w:pPr>
              <w:jc w:val="right"/>
              <w:ind w:right="16"/>
              <w:spacing w:after="0" w:line="135" w:lineRule="exact"/>
              <w:rPr>
                <w:sz w:val="20"/>
                <w:szCs w:val="20"/>
                <w:color w:val="auto"/>
              </w:rPr>
            </w:pPr>
            <w:r>
              <w:rPr>
                <w:rFonts w:ascii="Arial" w:cs="Arial" w:eastAsia="Arial" w:hAnsi="Arial"/>
                <w:sz w:val="12"/>
                <w:szCs w:val="12"/>
                <w:b w:val="1"/>
                <w:bCs w:val="1"/>
                <w:color w:val="auto"/>
                <w:w w:val="99"/>
              </w:rPr>
              <w:t>Housing</w:t>
            </w:r>
          </w:p>
        </w:tc>
        <w:tc>
          <w:tcPr>
            <w:tcW w:w="18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Up on</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for Family</w:t>
            </w:r>
          </w:p>
        </w:tc>
        <w:tc>
          <w:tcPr>
            <w:tcW w:w="1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Up on</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Fees for Tax</w:t>
            </w:r>
          </w:p>
        </w:tc>
        <w:tc>
          <w:tcPr>
            <w:tcW w:w="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Fees for Tax</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Matching</w:t>
            </w: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of PTO</w:t>
            </w:r>
          </w:p>
        </w:tc>
        <w:tc>
          <w:tcPr>
            <w:tcW w:w="580" w:type="dxa"/>
            <w:vAlign w:val="bottom"/>
          </w:tcPr>
          <w:p>
            <w:pPr>
              <w:jc w:val="right"/>
              <w:ind w:right="16"/>
              <w:spacing w:after="0" w:line="135" w:lineRule="exact"/>
              <w:rPr>
                <w:sz w:val="20"/>
                <w:szCs w:val="20"/>
                <w:color w:val="auto"/>
              </w:rPr>
            </w:pPr>
            <w:r>
              <w:rPr>
                <w:rFonts w:ascii="Arial" w:cs="Arial" w:eastAsia="Arial" w:hAnsi="Arial"/>
                <w:sz w:val="12"/>
                <w:szCs w:val="12"/>
                <w:b w:val="1"/>
                <w:bCs w:val="1"/>
                <w:color w:val="auto"/>
              </w:rPr>
              <w:t>Costs in</w:t>
            </w:r>
          </w:p>
        </w:tc>
        <w:tc>
          <w:tcPr>
            <w:tcW w:w="18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Housing</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Between the</w:t>
            </w:r>
          </w:p>
        </w:tc>
        <w:tc>
          <w:tcPr>
            <w:tcW w:w="1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Travel Expense</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Preparation</w:t>
            </w:r>
          </w:p>
        </w:tc>
        <w:tc>
          <w:tcPr>
            <w:tcW w:w="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Preparation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7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Contributions</w:t>
            </w:r>
          </w:p>
        </w:tc>
        <w:tc>
          <w:tcPr>
            <w:tcW w:w="1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Paid</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London</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Costs</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US and London</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Reimbursements</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Services</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Services</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3"/>
                <w:szCs w:val="13"/>
                <w:color w:val="auto"/>
              </w:rPr>
            </w:pPr>
          </w:p>
        </w:tc>
      </w:tr>
      <w:tr>
        <w:trPr>
          <w:trHeight w:val="186"/>
        </w:trPr>
        <w:tc>
          <w:tcPr>
            <w:tcW w:w="7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89"/>
              </w:rPr>
              <w:t>2019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8,669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110,361</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108,522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294,423</w:t>
            </w:r>
          </w:p>
        </w:tc>
        <w:tc>
          <w:tcPr>
            <w:tcW w:w="80" w:type="dxa"/>
            <w:vAlign w:val="bottom"/>
            <w:shd w:val="clear" w:color="auto" w:fill="CCEEFF"/>
          </w:tcPr>
          <w:p>
            <w:pPr>
              <w:spacing w:after="0"/>
              <w:rPr>
                <w:sz w:val="16"/>
                <w:szCs w:val="16"/>
                <w:color w:val="auto"/>
              </w:rPr>
            </w:pPr>
          </w:p>
        </w:tc>
      </w:tr>
      <w:tr>
        <w:trPr>
          <w:trHeight w:val="190"/>
        </w:trPr>
        <w:tc>
          <w:tcPr>
            <w:tcW w:w="780" w:type="dxa"/>
            <w:vAlign w:val="bottom"/>
          </w:tcPr>
          <w:p>
            <w:pPr>
              <w:jc w:val="right"/>
              <w:ind w:right="408"/>
              <w:spacing w:after="0"/>
              <w:rPr>
                <w:sz w:val="20"/>
                <w:szCs w:val="20"/>
                <w:color w:val="auto"/>
              </w:rPr>
            </w:pPr>
            <w:r>
              <w:rPr>
                <w:rFonts w:ascii="Arial" w:cs="Arial" w:eastAsia="Arial" w:hAnsi="Arial"/>
                <w:sz w:val="14"/>
                <w:szCs w:val="14"/>
                <w:color w:val="auto"/>
                <w:w w:val="89"/>
              </w:rPr>
              <w:t>2018</w:t>
            </w:r>
          </w:p>
        </w:tc>
        <w:tc>
          <w:tcPr>
            <w:tcW w:w="780" w:type="dxa"/>
            <w:vAlign w:val="bottom"/>
          </w:tcPr>
          <w:p>
            <w:pPr>
              <w:jc w:val="right"/>
              <w:spacing w:after="0"/>
              <w:rPr>
                <w:sz w:val="20"/>
                <w:szCs w:val="20"/>
                <w:color w:val="auto"/>
              </w:rPr>
            </w:pPr>
            <w:r>
              <w:rPr>
                <w:rFonts w:ascii="Arial" w:cs="Arial" w:eastAsia="Arial" w:hAnsi="Arial"/>
                <w:sz w:val="14"/>
                <w:szCs w:val="14"/>
                <w:color w:val="auto"/>
              </w:rPr>
              <w:t>11,000</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55,465</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54,541</w:t>
            </w:r>
          </w:p>
        </w:tc>
        <w:tc>
          <w:tcPr>
            <w:tcW w:w="920" w:type="dxa"/>
            <w:vAlign w:val="bottom"/>
          </w:tcPr>
          <w:p>
            <w:pPr>
              <w:jc w:val="right"/>
              <w:spacing w:after="0"/>
              <w:rPr>
                <w:sz w:val="20"/>
                <w:szCs w:val="20"/>
                <w:color w:val="auto"/>
              </w:rPr>
            </w:pPr>
            <w:r>
              <w:rPr>
                <w:rFonts w:ascii="Arial" w:cs="Arial" w:eastAsia="Arial" w:hAnsi="Arial"/>
                <w:sz w:val="14"/>
                <w:szCs w:val="14"/>
                <w:color w:val="auto"/>
              </w:rPr>
              <w:t>16,026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15,759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152,791</w:t>
            </w:r>
          </w:p>
        </w:tc>
        <w:tc>
          <w:tcPr>
            <w:tcW w:w="80" w:type="dxa"/>
            <w:vAlign w:val="bottom"/>
          </w:tcPr>
          <w:p>
            <w:pPr>
              <w:spacing w:after="0"/>
              <w:rPr>
                <w:sz w:val="16"/>
                <w:szCs w:val="16"/>
                <w:color w:val="auto"/>
              </w:rPr>
            </w:pPr>
          </w:p>
        </w:tc>
      </w:tr>
    </w:tbl>
    <w:p>
      <w:pPr>
        <w:spacing w:after="0" w:line="101" w:lineRule="exact"/>
        <w:rPr>
          <w:sz w:val="20"/>
          <w:szCs w:val="20"/>
          <w:color w:val="auto"/>
        </w:rPr>
      </w:pPr>
    </w:p>
    <w:p>
      <w:pPr>
        <w:ind w:left="360" w:right="40" w:hanging="355"/>
        <w:spacing w:after="0" w:line="249"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column shows the aggregate compensation for Ms. Tucker under the SEC rules. As discussed in footnote 2, a significant portion of this total relates to a performance-based option grant made in 2016. Although the SEC rules require the grant date fair value of this award be included in the Summary Compensation Table for 2019, at the time the accounting fair value was determined, we also determined that the Performance-Based Option is highly unlikely to be earned. Accordingly, we believe that a more representative view of Ms. Tucker’s 2019 compensation should not include the accounting value of an award made in 2016 that is highly unlikely to be earned as reflected in this “Alternate Total” column.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2019</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regarding grants of plan-based awards made to our NEOs during 2019: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188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Equity Grants</w:t>
            </w:r>
            <w:r>
              <w:rPr>
                <w:rFonts w:ascii="Arial" w:cs="Arial" w:eastAsia="Arial" w:hAnsi="Arial"/>
                <w:sz w:val="24"/>
                <w:szCs w:val="24"/>
                <w:b w:val="1"/>
                <w:bCs w:val="1"/>
                <w:color w:val="auto"/>
                <w:vertAlign w:val="superscript"/>
              </w:rPr>
              <w:t>(2)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Borders>
              <w:bottom w:val="single" w:sz="8" w:color="auto"/>
            </w:tcBorders>
            <w:gridSpan w:val="5"/>
          </w:tcPr>
          <w:p>
            <w:pPr>
              <w:jc w:val="center"/>
              <w:ind w:left="589"/>
              <w:spacing w:after="0" w:line="189" w:lineRule="exact"/>
              <w:rPr>
                <w:sz w:val="20"/>
                <w:szCs w:val="20"/>
                <w:color w:val="auto"/>
              </w:rPr>
            </w:pPr>
            <w:r>
              <w:rPr>
                <w:rFonts w:ascii="Arial" w:cs="Arial" w:eastAsia="Arial" w:hAnsi="Arial"/>
                <w:sz w:val="13"/>
                <w:szCs w:val="13"/>
                <w:b w:val="1"/>
                <w:bCs w:val="1"/>
                <w:color w:val="auto"/>
                <w:w w:val="99"/>
              </w:rPr>
              <w:t>Incentive Plan Awards ($)</w:t>
            </w:r>
            <w:r>
              <w:rPr>
                <w:rFonts w:ascii="Arial" w:cs="Arial" w:eastAsia="Arial" w:hAnsi="Arial"/>
                <w:sz w:val="21"/>
                <w:szCs w:val="21"/>
                <w:b w:val="1"/>
                <w:bCs w:val="1"/>
                <w:color w:val="auto"/>
                <w:w w:val="99"/>
                <w:vertAlign w:val="superscript"/>
              </w:rPr>
              <w:t>(1)</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Borders>
              <w:bottom w:val="single" w:sz="8" w:color="auto"/>
            </w:tcBorders>
            <w:gridSpan w:val="4"/>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 of</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Restricted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Grant</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6"/>
                <w:szCs w:val="16"/>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Units (#)</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Therese Tucker</w:t>
            </w:r>
          </w:p>
        </w:tc>
        <w:tc>
          <w:tcPr>
            <w:tcW w:w="7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99,270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2,289,146</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D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DFF"/>
          </w:tcPr>
          <w:p>
            <w:pPr>
              <w:spacing w:after="0"/>
              <w:rPr>
                <w:sz w:val="16"/>
                <w:szCs w:val="16"/>
                <w:color w:val="auto"/>
              </w:rPr>
            </w:pPr>
          </w:p>
        </w:tc>
        <w:tc>
          <w:tcPr>
            <w:tcW w:w="108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86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400" w:type="dxa"/>
            <w:vAlign w:val="bottom"/>
            <w:shd w:val="clear" w:color="auto" w:fill="CCEDFF"/>
          </w:tcPr>
          <w:p>
            <w:pPr>
              <w:spacing w:after="0"/>
              <w:rPr>
                <w:sz w:val="16"/>
                <w:szCs w:val="16"/>
                <w:color w:val="auto"/>
              </w:rPr>
            </w:pPr>
          </w:p>
        </w:tc>
        <w:tc>
          <w:tcPr>
            <w:tcW w:w="64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940" w:type="dxa"/>
            <w:vAlign w:val="bottom"/>
            <w:gridSpan w:val="2"/>
            <w:shd w:val="clear" w:color="auto" w:fill="CCEDFF"/>
          </w:tcPr>
          <w:p>
            <w:pPr>
              <w:jc w:val="right"/>
              <w:ind w:right="180"/>
              <w:spacing w:after="0"/>
              <w:rPr>
                <w:sz w:val="20"/>
                <w:szCs w:val="20"/>
                <w:color w:val="auto"/>
              </w:rPr>
            </w:pPr>
            <w:r>
              <w:rPr>
                <w:rFonts w:ascii="Arial" w:cs="Arial" w:eastAsia="Arial" w:hAnsi="Arial"/>
                <w:sz w:val="14"/>
                <w:szCs w:val="14"/>
                <w:color w:val="auto"/>
              </w:rPr>
              <w:t>47,240</w:t>
            </w:r>
          </w:p>
        </w:tc>
        <w:tc>
          <w:tcPr>
            <w:tcW w:w="76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58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940" w:type="dxa"/>
            <w:vAlign w:val="bottom"/>
            <w:gridSpan w:val="2"/>
            <w:shd w:val="clear" w:color="auto" w:fill="CCEDFF"/>
          </w:tcPr>
          <w:p>
            <w:pPr>
              <w:jc w:val="right"/>
              <w:ind w:right="100"/>
              <w:spacing w:after="0"/>
              <w:rPr>
                <w:sz w:val="20"/>
                <w:szCs w:val="20"/>
                <w:color w:val="auto"/>
              </w:rPr>
            </w:pPr>
            <w:r>
              <w:rPr>
                <w:rFonts w:ascii="Arial" w:cs="Arial" w:eastAsia="Arial" w:hAnsi="Arial"/>
                <w:sz w:val="14"/>
                <w:szCs w:val="14"/>
                <w:color w:val="auto"/>
              </w:rPr>
              <w:t>2,298,226</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171,000</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380,000</w:t>
            </w: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475,000</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spacing w:after="0"/>
              <w:rPr>
                <w:sz w:val="20"/>
                <w:szCs w:val="20"/>
                <w:color w:val="auto"/>
              </w:rPr>
            </w:pPr>
            <w:r>
              <w:rPr>
                <w:rFonts w:ascii="Arial" w:cs="Arial" w:eastAsia="Arial" w:hAnsi="Arial"/>
                <w:sz w:val="14"/>
                <w:szCs w:val="14"/>
                <w:color w:val="auto"/>
              </w:rPr>
              <w:t>Mark Partin</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64,950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48.65</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1,497,734</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30,910</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1,503,772</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1080" w:type="dxa"/>
            <w:vAlign w:val="bottom"/>
          </w:tcPr>
          <w:p>
            <w:pPr>
              <w:jc w:val="right"/>
              <w:spacing w:after="0"/>
              <w:rPr>
                <w:sz w:val="20"/>
                <w:szCs w:val="20"/>
                <w:color w:val="auto"/>
              </w:rPr>
            </w:pPr>
            <w:r>
              <w:rPr>
                <w:rFonts w:ascii="Arial" w:cs="Arial" w:eastAsia="Arial" w:hAnsi="Arial"/>
                <w:sz w:val="14"/>
                <w:szCs w:val="14"/>
                <w:color w:val="auto"/>
              </w:rPr>
              <w:t>98,550</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219,000</w:t>
            </w:r>
          </w:p>
        </w:tc>
        <w:tc>
          <w:tcPr>
            <w:tcW w:w="4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273,750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 Huffman</w:t>
            </w:r>
          </w:p>
        </w:tc>
        <w:tc>
          <w:tcPr>
            <w:tcW w:w="7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55,350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1,276,360</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D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DFF"/>
          </w:tcPr>
          <w:p>
            <w:pPr>
              <w:spacing w:after="0"/>
              <w:rPr>
                <w:sz w:val="16"/>
                <w:szCs w:val="16"/>
                <w:color w:val="auto"/>
              </w:rPr>
            </w:pPr>
          </w:p>
        </w:tc>
        <w:tc>
          <w:tcPr>
            <w:tcW w:w="108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86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400" w:type="dxa"/>
            <w:vAlign w:val="bottom"/>
            <w:shd w:val="clear" w:color="auto" w:fill="CCEDFF"/>
          </w:tcPr>
          <w:p>
            <w:pPr>
              <w:spacing w:after="0"/>
              <w:rPr>
                <w:sz w:val="16"/>
                <w:szCs w:val="16"/>
                <w:color w:val="auto"/>
              </w:rPr>
            </w:pPr>
          </w:p>
        </w:tc>
        <w:tc>
          <w:tcPr>
            <w:tcW w:w="64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940" w:type="dxa"/>
            <w:vAlign w:val="bottom"/>
            <w:gridSpan w:val="2"/>
            <w:shd w:val="clear" w:color="auto" w:fill="CCEDFF"/>
          </w:tcPr>
          <w:p>
            <w:pPr>
              <w:jc w:val="right"/>
              <w:ind w:right="180"/>
              <w:spacing w:after="0"/>
              <w:rPr>
                <w:sz w:val="20"/>
                <w:szCs w:val="20"/>
                <w:color w:val="auto"/>
              </w:rPr>
            </w:pPr>
            <w:r>
              <w:rPr>
                <w:rFonts w:ascii="Arial" w:cs="Arial" w:eastAsia="Arial" w:hAnsi="Arial"/>
                <w:sz w:val="14"/>
                <w:szCs w:val="14"/>
                <w:color w:val="auto"/>
              </w:rPr>
              <w:t>26,340</w:t>
            </w:r>
          </w:p>
        </w:tc>
        <w:tc>
          <w:tcPr>
            <w:tcW w:w="76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58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940" w:type="dxa"/>
            <w:vAlign w:val="bottom"/>
            <w:gridSpan w:val="2"/>
            <w:shd w:val="clear" w:color="auto" w:fill="CCEDFF"/>
          </w:tcPr>
          <w:p>
            <w:pPr>
              <w:jc w:val="right"/>
              <w:ind w:right="100"/>
              <w:spacing w:after="0"/>
              <w:rPr>
                <w:sz w:val="20"/>
                <w:szCs w:val="20"/>
                <w:color w:val="auto"/>
              </w:rPr>
            </w:pPr>
            <w:r>
              <w:rPr>
                <w:rFonts w:ascii="Arial" w:cs="Arial" w:eastAsia="Arial" w:hAnsi="Arial"/>
                <w:sz w:val="14"/>
                <w:szCs w:val="14"/>
                <w:color w:val="auto"/>
              </w:rPr>
              <w:t>1,281,441</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350,000</w:t>
            </w: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472,500</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spacing w:after="0"/>
              <w:rPr>
                <w:sz w:val="20"/>
                <w:szCs w:val="20"/>
                <w:color w:val="auto"/>
              </w:rPr>
            </w:pPr>
            <w:r>
              <w:rPr>
                <w:rFonts w:ascii="Arial" w:cs="Arial" w:eastAsia="Arial" w:hAnsi="Arial"/>
                <w:sz w:val="14"/>
                <w:szCs w:val="14"/>
                <w:color w:val="auto"/>
              </w:rPr>
              <w:t>Karole Morgan-Prager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25,600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590,331</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5/15/2019</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12,180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592,557</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78,750</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175,000</w:t>
            </w: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218,750</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-1079500</wp:posOffset>
            </wp:positionV>
            <wp:extent cx="515175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1755" cy="12001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-359410</wp:posOffset>
            </wp:positionV>
            <wp:extent cx="515175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51755" cy="1200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-119380</wp:posOffset>
            </wp:positionV>
            <wp:extent cx="606933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9330" cy="1200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111125</wp:posOffset>
            </wp:positionV>
            <wp:extent cx="908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72" w:lineRule="exact"/>
        <w:rPr>
          <w:sz w:val="20"/>
          <w:szCs w:val="20"/>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Each of these grants was made pursuant to the 2019 Annual Bonus Plan, as described above.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Each of these grants was made pursuant to the 2016 Plan, as defined above.</w:t>
      </w:r>
    </w:p>
    <w:p>
      <w:pPr>
        <w:spacing w:after="0" w:line="109" w:lineRule="exact"/>
        <w:rPr>
          <w:rFonts w:ascii="Arial" w:cs="Arial" w:eastAsia="Arial" w:hAnsi="Arial"/>
          <w:sz w:val="14"/>
          <w:szCs w:val="14"/>
          <w:color w:val="auto"/>
        </w:rPr>
      </w:pPr>
    </w:p>
    <w:p>
      <w:pPr>
        <w:ind w:left="360" w:right="300" w:hanging="355"/>
        <w:spacing w:after="0" w:line="252"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 date fair value of stock and option awards as computed in accordance with Financial Accounting Standard Board Accounting Standards Codification Topic 718, or ASC 718. The assumptions used in calculating the grant date fair value of the awards reported in this column are set forth in Note 2 to our financial statements appearing at the end of our Annual Report on Form 10-K for the year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presents information concerning all outstanding equity awards held by each of our NEOs as of December 31, 2019:</w:t>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3"/>
          <w:szCs w:val="13"/>
          <w:b w:val="1"/>
          <w:bCs w:val="1"/>
          <w:color w:val="auto"/>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9944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Therese Tucker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Mark Partin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Marc Huffman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560"/>
        <w:spacing w:after="0"/>
        <w:tabs>
          <w:tab w:leader="none" w:pos="654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wp:posOffset>
            </wp:positionV>
            <wp:extent cx="4269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rPr>
              <w:t>Market</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or</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8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Securities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Units of</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Shares or</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Units That</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Unexercised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Have Not</w:t>
            </w:r>
          </w:p>
        </w:tc>
      </w:tr>
      <w:tr>
        <w:trPr>
          <w:trHeight w:val="145"/>
        </w:trPr>
        <w:tc>
          <w:tcPr>
            <w:tcW w:w="820" w:type="dxa"/>
            <w:vAlign w:val="bottom"/>
          </w:tcPr>
          <w:p>
            <w:pPr>
              <w:jc w:val="right"/>
              <w:ind w:right="274"/>
              <w:spacing w:after="0" w:line="145" w:lineRule="exact"/>
              <w:rPr>
                <w:sz w:val="20"/>
                <w:szCs w:val="20"/>
                <w:color w:val="auto"/>
              </w:rPr>
            </w:pPr>
            <w:r>
              <w:rPr>
                <w:rFonts w:ascii="Arial" w:cs="Arial" w:eastAsia="Arial" w:hAnsi="Arial"/>
                <w:sz w:val="14"/>
                <w:szCs w:val="14"/>
                <w:b w:val="1"/>
                <w:bCs w:val="1"/>
                <w:color w:val="auto"/>
              </w:rPr>
              <w:t>Grant</w:t>
            </w:r>
          </w:p>
        </w:tc>
        <w:tc>
          <w:tcPr>
            <w:tcW w:w="106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89"/>
              </w:rPr>
              <w:t>Options #</w:t>
            </w:r>
          </w:p>
        </w:tc>
        <w:tc>
          <w:tcPr>
            <w:tcW w:w="12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2"/>
              </w:rPr>
              <w:t>Options #</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Expiration</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87"/>
              </w:rPr>
              <w:t>Vested</w:t>
            </w:r>
          </w:p>
        </w:tc>
      </w:tr>
      <w:tr>
        <w:trPr>
          <w:trHeight w:val="207"/>
        </w:trPr>
        <w:tc>
          <w:tcPr>
            <w:tcW w:w="820" w:type="dxa"/>
            <w:vAlign w:val="bottom"/>
          </w:tcPr>
          <w:p>
            <w:pPr>
              <w:jc w:val="right"/>
              <w:ind w:right="234"/>
              <w:spacing w:after="0" w:line="207"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23"/>
                <w:szCs w:val="23"/>
                <w:b w:val="1"/>
                <w:bCs w:val="1"/>
                <w:color w:val="auto"/>
                <w:vertAlign w:val="superscript"/>
              </w:rPr>
              <w:t>(1)</w:t>
            </w: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Exercisable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87"/>
              </w:rPr>
              <w:t>Vested</w:t>
            </w:r>
          </w:p>
        </w:tc>
        <w:tc>
          <w:tcPr>
            <w:tcW w:w="800" w:type="dxa"/>
            <w:vAlign w:val="bottom"/>
          </w:tcPr>
          <w:p>
            <w:pPr>
              <w:jc w:val="center"/>
              <w:ind w:left="28"/>
              <w:spacing w:after="0" w:line="207"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(6)</w:t>
            </w: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w w:val="91"/>
              </w:rPr>
              <w:t>10/17/16</w:t>
            </w:r>
            <w:r>
              <w:rPr>
                <w:rFonts w:ascii="Arial" w:cs="Arial" w:eastAsia="Arial" w:hAnsi="Arial"/>
                <w:sz w:val="21"/>
                <w:szCs w:val="21"/>
                <w:color w:val="auto"/>
                <w:w w:val="91"/>
                <w:vertAlign w:val="superscript"/>
              </w:rPr>
              <w:t>(2)</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482,800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10/16/26</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w w:val="91"/>
              </w:rPr>
              <w:t>10/17/16</w:t>
            </w:r>
            <w:r>
              <w:rPr>
                <w:rFonts w:ascii="Arial" w:cs="Arial" w:eastAsia="Arial" w:hAnsi="Arial"/>
                <w:sz w:val="21"/>
                <w:szCs w:val="21"/>
                <w:color w:val="auto"/>
                <w:w w:val="91"/>
                <w:vertAlign w:val="superscript"/>
              </w:rPr>
              <w:t>(3)</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72,420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24,140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10/16/26</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(4)</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41,597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53,483</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25,691</w:t>
            </w:r>
          </w:p>
        </w:tc>
        <w:tc>
          <w:tcPr>
            <w:tcW w:w="800" w:type="dxa"/>
            <w:vAlign w:val="bottom"/>
          </w:tcPr>
          <w:p>
            <w:pPr>
              <w:jc w:val="right"/>
              <w:spacing w:after="0"/>
              <w:rPr>
                <w:sz w:val="20"/>
                <w:szCs w:val="20"/>
                <w:color w:val="auto"/>
              </w:rPr>
            </w:pPr>
            <w:r>
              <w:rPr>
                <w:rFonts w:ascii="Arial" w:cs="Arial" w:eastAsia="Arial" w:hAnsi="Arial"/>
                <w:sz w:val="14"/>
                <w:szCs w:val="14"/>
                <w:color w:val="auto"/>
              </w:rPr>
              <w:t>1,324,628</w:t>
            </w: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5/15/19</w:t>
            </w:r>
            <w:r>
              <w:rPr>
                <w:rFonts w:ascii="Arial" w:cs="Arial" w:eastAsia="Arial" w:hAnsi="Arial"/>
                <w:sz w:val="21"/>
                <w:szCs w:val="21"/>
                <w:color w:val="auto"/>
                <w:vertAlign w:val="superscript"/>
              </w:rPr>
              <w:t>(7)</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99,270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5/15/29</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5/15/19</w:t>
            </w:r>
            <w:r>
              <w:rPr>
                <w:rFonts w:ascii="Arial" w:cs="Arial" w:eastAsia="Arial" w:hAnsi="Arial"/>
                <w:sz w:val="21"/>
                <w:szCs w:val="21"/>
                <w:color w:val="auto"/>
                <w:vertAlign w:val="superscript"/>
              </w:rPr>
              <w:t>(8)</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47,240</w:t>
            </w:r>
          </w:p>
        </w:tc>
        <w:tc>
          <w:tcPr>
            <w:tcW w:w="800" w:type="dxa"/>
            <w:vAlign w:val="bottom"/>
          </w:tcPr>
          <w:p>
            <w:pPr>
              <w:jc w:val="right"/>
              <w:spacing w:after="0"/>
              <w:rPr>
                <w:sz w:val="20"/>
                <w:szCs w:val="20"/>
                <w:color w:val="auto"/>
              </w:rPr>
            </w:pPr>
            <w:r>
              <w:rPr>
                <w:rFonts w:ascii="Arial" w:cs="Arial" w:eastAsia="Arial" w:hAnsi="Arial"/>
                <w:sz w:val="14"/>
                <w:szCs w:val="14"/>
                <w:color w:val="auto"/>
              </w:rPr>
              <w:t>2,435,694</w:t>
            </w: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3/30/15</w:t>
            </w:r>
            <w:r>
              <w:rPr>
                <w:rFonts w:ascii="Arial" w:cs="Arial" w:eastAsia="Arial" w:hAnsi="Arial"/>
                <w:sz w:val="21"/>
                <w:szCs w:val="21"/>
                <w:color w:val="auto"/>
                <w:vertAlign w:val="superscript"/>
              </w:rPr>
              <w:t>(9)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360,176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3/29/25</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54"/>
              <w:spacing w:after="0" w:line="189" w:lineRule="exact"/>
              <w:rPr>
                <w:sz w:val="20"/>
                <w:szCs w:val="20"/>
                <w:color w:val="auto"/>
              </w:rPr>
            </w:pPr>
            <w:r>
              <w:rPr>
                <w:rFonts w:ascii="Arial" w:cs="Arial" w:eastAsia="Arial" w:hAnsi="Arial"/>
                <w:sz w:val="13"/>
                <w:szCs w:val="13"/>
                <w:color w:val="auto"/>
                <w:w w:val="90"/>
              </w:rPr>
              <w:t>10/17/16</w:t>
            </w:r>
            <w:r>
              <w:rPr>
                <w:rFonts w:ascii="Arial" w:cs="Arial" w:eastAsia="Arial" w:hAnsi="Arial"/>
                <w:sz w:val="21"/>
                <w:szCs w:val="21"/>
                <w:color w:val="auto"/>
                <w:w w:val="90"/>
                <w:vertAlign w:val="superscript"/>
              </w:rPr>
              <w:t>(10)</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36,210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12,070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10/16/26</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(4)</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24,832</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31,928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15,341</w:t>
            </w:r>
          </w:p>
        </w:tc>
        <w:tc>
          <w:tcPr>
            <w:tcW w:w="800" w:type="dxa"/>
            <w:vAlign w:val="bottom"/>
          </w:tcPr>
          <w:p>
            <w:pPr>
              <w:jc w:val="right"/>
              <w:spacing w:after="0"/>
              <w:rPr>
                <w:sz w:val="20"/>
                <w:szCs w:val="20"/>
                <w:color w:val="auto"/>
              </w:rPr>
            </w:pPr>
            <w:r>
              <w:rPr>
                <w:rFonts w:ascii="Arial" w:cs="Arial" w:eastAsia="Arial" w:hAnsi="Arial"/>
                <w:sz w:val="14"/>
                <w:szCs w:val="14"/>
                <w:color w:val="auto"/>
              </w:rPr>
              <w:t>790,982</w:t>
            </w:r>
          </w:p>
        </w:tc>
      </w:tr>
      <w:tr>
        <w:trPr>
          <w:trHeight w:val="189"/>
        </w:trPr>
        <w:tc>
          <w:tcPr>
            <w:tcW w:w="820" w:type="dxa"/>
            <w:vAlign w:val="bottom"/>
          </w:tcPr>
          <w:p>
            <w:pPr>
              <w:jc w:val="right"/>
              <w:ind w:right="114"/>
              <w:spacing w:after="0" w:line="189" w:lineRule="exact"/>
              <w:rPr>
                <w:sz w:val="20"/>
                <w:szCs w:val="20"/>
                <w:color w:val="auto"/>
              </w:rPr>
            </w:pPr>
            <w:r>
              <w:rPr>
                <w:rFonts w:ascii="Arial" w:cs="Arial" w:eastAsia="Arial" w:hAnsi="Arial"/>
                <w:sz w:val="13"/>
                <w:szCs w:val="13"/>
                <w:color w:val="auto"/>
              </w:rPr>
              <w:t>5/15/19</w:t>
            </w:r>
            <w:r>
              <w:rPr>
                <w:rFonts w:ascii="Arial" w:cs="Arial" w:eastAsia="Arial" w:hAnsi="Arial"/>
                <w:sz w:val="21"/>
                <w:szCs w:val="21"/>
                <w:color w:val="auto"/>
                <w:vertAlign w:val="superscript"/>
              </w:rPr>
              <w:t>(7)</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64,950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5/15/29</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820" w:type="dxa"/>
            <w:vAlign w:val="bottom"/>
          </w:tcPr>
          <w:p>
            <w:pPr>
              <w:jc w:val="right"/>
              <w:ind w:right="114"/>
              <w:spacing w:after="0" w:line="195" w:lineRule="exact"/>
              <w:rPr>
                <w:sz w:val="20"/>
                <w:szCs w:val="20"/>
                <w:color w:val="auto"/>
              </w:rPr>
            </w:pPr>
            <w:r>
              <w:rPr>
                <w:rFonts w:ascii="Arial" w:cs="Arial" w:eastAsia="Arial" w:hAnsi="Arial"/>
                <w:sz w:val="13"/>
                <w:szCs w:val="13"/>
                <w:color w:val="auto"/>
              </w:rPr>
              <w:t>5/15/19</w:t>
            </w:r>
            <w:r>
              <w:rPr>
                <w:rFonts w:ascii="Arial" w:cs="Arial" w:eastAsia="Arial" w:hAnsi="Arial"/>
                <w:sz w:val="22"/>
                <w:szCs w:val="22"/>
                <w:color w:val="auto"/>
                <w:vertAlign w:val="superscript"/>
              </w:rPr>
              <w:t>(8)</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30,910</w:t>
            </w:r>
          </w:p>
        </w:tc>
        <w:tc>
          <w:tcPr>
            <w:tcW w:w="800" w:type="dxa"/>
            <w:vAlign w:val="bottom"/>
          </w:tcPr>
          <w:p>
            <w:pPr>
              <w:jc w:val="right"/>
              <w:spacing w:after="0"/>
              <w:rPr>
                <w:sz w:val="20"/>
                <w:szCs w:val="20"/>
                <w:color w:val="auto"/>
              </w:rPr>
            </w:pPr>
            <w:r>
              <w:rPr>
                <w:rFonts w:ascii="Arial" w:cs="Arial" w:eastAsia="Arial" w:hAnsi="Arial"/>
                <w:sz w:val="14"/>
                <w:szCs w:val="14"/>
                <w:color w:val="auto"/>
              </w:rPr>
              <w:t>1,593,720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-1446530</wp:posOffset>
            </wp:positionV>
            <wp:extent cx="6069330" cy="1928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69330" cy="1928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1000" w:type="dxa"/>
            <w:vAlign w:val="bottom"/>
            <w:gridSpan w:val="3"/>
            <w:shd w:val="clear" w:color="auto" w:fill="CCEDFF"/>
          </w:tcPr>
          <w:p>
            <w:pPr>
              <w:ind w:left="260"/>
              <w:spacing w:after="0" w:line="191" w:lineRule="exact"/>
              <w:rPr>
                <w:sz w:val="20"/>
                <w:szCs w:val="20"/>
                <w:color w:val="auto"/>
              </w:rPr>
            </w:pPr>
            <w:r>
              <w:rPr>
                <w:rFonts w:ascii="Arial" w:cs="Arial" w:eastAsia="Arial" w:hAnsi="Arial"/>
                <w:sz w:val="13"/>
                <w:szCs w:val="13"/>
                <w:color w:val="auto"/>
              </w:rPr>
              <w:t>2/13/18</w:t>
            </w:r>
            <w:r>
              <w:rPr>
                <w:rFonts w:ascii="Arial" w:cs="Arial" w:eastAsia="Arial" w:hAnsi="Arial"/>
                <w:sz w:val="22"/>
                <w:szCs w:val="22"/>
                <w:color w:val="auto"/>
                <w:vertAlign w:val="superscript"/>
              </w:rPr>
              <w:t>(11)</w:t>
            </w:r>
          </w:p>
        </w:tc>
        <w:tc>
          <w:tcPr>
            <w:tcW w:w="1320" w:type="dxa"/>
            <w:vAlign w:val="bottom"/>
            <w:shd w:val="clear" w:color="auto" w:fill="CCEDFF"/>
          </w:tcPr>
          <w:p>
            <w:pPr>
              <w:jc w:val="right"/>
              <w:ind w:right="308"/>
              <w:spacing w:after="0"/>
              <w:rPr>
                <w:sz w:val="20"/>
                <w:szCs w:val="20"/>
                <w:color w:val="auto"/>
              </w:rPr>
            </w:pPr>
            <w:r>
              <w:rPr>
                <w:rFonts w:ascii="Arial" w:cs="Arial" w:eastAsia="Arial" w:hAnsi="Arial"/>
                <w:sz w:val="14"/>
                <w:szCs w:val="14"/>
                <w:color w:val="auto"/>
              </w:rPr>
              <w:t>50,000</w:t>
            </w:r>
          </w:p>
        </w:tc>
        <w:tc>
          <w:tcPr>
            <w:tcW w:w="1300" w:type="dxa"/>
            <w:vAlign w:val="bottom"/>
            <w:shd w:val="clear" w:color="auto" w:fill="CCEDFF"/>
          </w:tcPr>
          <w:p>
            <w:pPr>
              <w:jc w:val="right"/>
              <w:ind w:right="388"/>
              <w:spacing w:after="0"/>
              <w:rPr>
                <w:sz w:val="20"/>
                <w:szCs w:val="20"/>
                <w:color w:val="auto"/>
              </w:rPr>
            </w:pPr>
            <w:r>
              <w:rPr>
                <w:rFonts w:ascii="Arial" w:cs="Arial" w:eastAsia="Arial" w:hAnsi="Arial"/>
                <w:sz w:val="14"/>
                <w:szCs w:val="14"/>
                <w:color w:val="auto"/>
              </w:rPr>
              <w:t>150,000</w:t>
            </w:r>
          </w:p>
        </w:tc>
        <w:tc>
          <w:tcPr>
            <w:tcW w:w="800" w:type="dxa"/>
            <w:vAlign w:val="bottom"/>
            <w:shd w:val="clear" w:color="auto" w:fill="CCEDFF"/>
          </w:tcPr>
          <w:p>
            <w:pPr>
              <w:ind w:left="4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33.13</w:t>
            </w:r>
          </w:p>
        </w:tc>
        <w:tc>
          <w:tcPr>
            <w:tcW w:w="1820" w:type="dxa"/>
            <w:vAlign w:val="bottom"/>
            <w:shd w:val="clear" w:color="auto" w:fill="CCEDFF"/>
          </w:tcPr>
          <w:p>
            <w:pPr>
              <w:jc w:val="right"/>
              <w:ind w:right="1048"/>
              <w:spacing w:after="0"/>
              <w:rPr>
                <w:sz w:val="20"/>
                <w:szCs w:val="20"/>
                <w:color w:val="auto"/>
              </w:rPr>
            </w:pPr>
            <w:r>
              <w:rPr>
                <w:rFonts w:ascii="Arial" w:cs="Arial" w:eastAsia="Arial" w:hAnsi="Arial"/>
                <w:sz w:val="14"/>
                <w:szCs w:val="14"/>
                <w:color w:val="auto"/>
              </w:rPr>
              <w:t>2/12/28</w:t>
            </w:r>
          </w:p>
        </w:tc>
        <w:tc>
          <w:tcPr>
            <w:tcW w:w="860" w:type="dxa"/>
            <w:vAlign w:val="bottom"/>
            <w:shd w:val="clear" w:color="auto" w:fill="CCEDFF"/>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500" w:type="dxa"/>
            <w:vAlign w:val="bottom"/>
            <w:shd w:val="clear" w:color="auto" w:fill="CCEDFF"/>
          </w:tcPr>
          <w:p>
            <w:pPr>
              <w:ind w:left="60"/>
              <w:spacing w:after="0"/>
              <w:rPr>
                <w:sz w:val="20"/>
                <w:szCs w:val="20"/>
                <w:color w:val="auto"/>
              </w:rPr>
            </w:pPr>
            <w:r>
              <w:rPr>
                <w:rFonts w:ascii="Arial" w:cs="Arial" w:eastAsia="Arial" w:hAnsi="Arial"/>
                <w:sz w:val="14"/>
                <w:szCs w:val="14"/>
                <w:color w:val="auto"/>
                <w:w w:val="89"/>
              </w:rPr>
              <w:t>2/13/18</w:t>
            </w:r>
          </w:p>
        </w:tc>
        <w:tc>
          <w:tcPr>
            <w:tcW w:w="300" w:type="dxa"/>
            <w:vAlign w:val="bottom"/>
            <w:shd w:val="clear" w:color="auto" w:fill="CCEDFF"/>
          </w:tcPr>
          <w:p>
            <w:pPr>
              <w:spacing w:after="0"/>
              <w:rPr>
                <w:sz w:val="20"/>
                <w:szCs w:val="20"/>
                <w:color w:val="auto"/>
              </w:rPr>
            </w:pPr>
            <w:r>
              <w:rPr>
                <w:rFonts w:ascii="Arial" w:cs="Arial" w:eastAsia="Arial" w:hAnsi="Arial"/>
                <w:sz w:val="12"/>
                <w:szCs w:val="12"/>
                <w:color w:val="auto"/>
              </w:rPr>
              <w:t>(12)</w:t>
            </w:r>
          </w:p>
        </w:tc>
        <w:tc>
          <w:tcPr>
            <w:tcW w:w="1320" w:type="dxa"/>
            <w:vAlign w:val="bottom"/>
            <w:shd w:val="clear" w:color="auto" w:fill="CCEDFF"/>
          </w:tcPr>
          <w:p>
            <w:pPr>
              <w:spacing w:after="0"/>
              <w:rPr>
                <w:sz w:val="16"/>
                <w:szCs w:val="16"/>
                <w:color w:val="auto"/>
              </w:rPr>
            </w:pPr>
          </w:p>
        </w:tc>
        <w:tc>
          <w:tcPr>
            <w:tcW w:w="130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1820" w:type="dxa"/>
            <w:vAlign w:val="bottom"/>
            <w:shd w:val="clear" w:color="auto" w:fill="CCEDFF"/>
          </w:tcPr>
          <w:p>
            <w:pPr>
              <w:jc w:val="right"/>
              <w:ind w:right="108"/>
              <w:spacing w:after="0"/>
              <w:rPr>
                <w:sz w:val="20"/>
                <w:szCs w:val="20"/>
                <w:color w:val="auto"/>
              </w:rPr>
            </w:pPr>
            <w:r>
              <w:rPr>
                <w:rFonts w:ascii="Arial" w:cs="Arial" w:eastAsia="Arial" w:hAnsi="Arial"/>
                <w:sz w:val="14"/>
                <w:szCs w:val="14"/>
                <w:color w:val="auto"/>
              </w:rPr>
              <w:t>150,000</w:t>
            </w:r>
          </w:p>
        </w:tc>
        <w:tc>
          <w:tcPr>
            <w:tcW w:w="8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7,734,000</w:t>
            </w:r>
          </w:p>
        </w:tc>
      </w:tr>
      <w:tr>
        <w:trPr>
          <w:trHeight w:val="189"/>
        </w:trPr>
        <w:tc>
          <w:tcPr>
            <w:tcW w:w="200" w:type="dxa"/>
            <w:vAlign w:val="bottom"/>
            <w:shd w:val="clear" w:color="auto" w:fill="CCEEFF"/>
          </w:tcPr>
          <w:p>
            <w:pPr>
              <w:spacing w:after="0"/>
              <w:rPr>
                <w:sz w:val="16"/>
                <w:szCs w:val="16"/>
                <w:color w:val="auto"/>
              </w:rPr>
            </w:pPr>
          </w:p>
        </w:tc>
        <w:tc>
          <w:tcPr>
            <w:tcW w:w="500" w:type="dxa"/>
            <w:vAlign w:val="bottom"/>
            <w:shd w:val="clear" w:color="auto" w:fill="CCEDFF"/>
          </w:tcPr>
          <w:p>
            <w:pPr>
              <w:ind w:left="60"/>
              <w:spacing w:after="0"/>
              <w:rPr>
                <w:sz w:val="20"/>
                <w:szCs w:val="20"/>
                <w:color w:val="auto"/>
              </w:rPr>
            </w:pPr>
            <w:r>
              <w:rPr>
                <w:rFonts w:ascii="Arial" w:cs="Arial" w:eastAsia="Arial" w:hAnsi="Arial"/>
                <w:sz w:val="14"/>
                <w:szCs w:val="14"/>
                <w:color w:val="auto"/>
                <w:w w:val="89"/>
              </w:rPr>
              <w:t>5/15/19</w:t>
            </w:r>
          </w:p>
        </w:tc>
        <w:tc>
          <w:tcPr>
            <w:tcW w:w="300" w:type="dxa"/>
            <w:vAlign w:val="bottom"/>
            <w:shd w:val="clear" w:color="auto" w:fill="CCEDFF"/>
          </w:tcPr>
          <w:p>
            <w:pPr>
              <w:spacing w:after="0"/>
              <w:rPr>
                <w:sz w:val="20"/>
                <w:szCs w:val="20"/>
                <w:color w:val="auto"/>
              </w:rPr>
            </w:pPr>
            <w:r>
              <w:rPr>
                <w:rFonts w:ascii="Arial" w:cs="Arial" w:eastAsia="Arial" w:hAnsi="Arial"/>
                <w:sz w:val="12"/>
                <w:szCs w:val="12"/>
                <w:color w:val="auto"/>
              </w:rPr>
              <w:t>(7)</w:t>
            </w:r>
          </w:p>
        </w:tc>
        <w:tc>
          <w:tcPr>
            <w:tcW w:w="1320" w:type="dxa"/>
            <w:vAlign w:val="bottom"/>
            <w:shd w:val="clear" w:color="auto" w:fill="CCEDFF"/>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DFF"/>
          </w:tcPr>
          <w:p>
            <w:pPr>
              <w:jc w:val="right"/>
              <w:ind w:right="388"/>
              <w:spacing w:after="0"/>
              <w:rPr>
                <w:sz w:val="20"/>
                <w:szCs w:val="20"/>
                <w:color w:val="auto"/>
              </w:rPr>
            </w:pPr>
            <w:r>
              <w:rPr>
                <w:rFonts w:ascii="Arial" w:cs="Arial" w:eastAsia="Arial" w:hAnsi="Arial"/>
                <w:sz w:val="14"/>
                <w:szCs w:val="14"/>
                <w:color w:val="auto"/>
              </w:rPr>
              <w:t>55,350</w:t>
            </w:r>
          </w:p>
        </w:tc>
        <w:tc>
          <w:tcPr>
            <w:tcW w:w="800" w:type="dxa"/>
            <w:vAlign w:val="bottom"/>
            <w:shd w:val="clear" w:color="auto" w:fill="CCEDFF"/>
          </w:tcPr>
          <w:p>
            <w:pPr>
              <w:ind w:left="4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48.65</w:t>
            </w:r>
          </w:p>
        </w:tc>
        <w:tc>
          <w:tcPr>
            <w:tcW w:w="1820" w:type="dxa"/>
            <w:vAlign w:val="bottom"/>
            <w:shd w:val="clear" w:color="auto" w:fill="CCEDFF"/>
          </w:tcPr>
          <w:p>
            <w:pPr>
              <w:jc w:val="right"/>
              <w:ind w:right="1048"/>
              <w:spacing w:after="0"/>
              <w:rPr>
                <w:sz w:val="20"/>
                <w:szCs w:val="20"/>
                <w:color w:val="auto"/>
              </w:rPr>
            </w:pPr>
            <w:r>
              <w:rPr>
                <w:rFonts w:ascii="Arial" w:cs="Arial" w:eastAsia="Arial" w:hAnsi="Arial"/>
                <w:sz w:val="14"/>
                <w:szCs w:val="14"/>
                <w:color w:val="auto"/>
              </w:rPr>
              <w:t>5/15/29</w:t>
            </w:r>
          </w:p>
        </w:tc>
        <w:tc>
          <w:tcPr>
            <w:tcW w:w="860" w:type="dxa"/>
            <w:vAlign w:val="bottom"/>
            <w:shd w:val="clear" w:color="auto" w:fill="CCEDFF"/>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500" w:type="dxa"/>
            <w:vAlign w:val="bottom"/>
            <w:shd w:val="clear" w:color="auto" w:fill="CCEDFF"/>
          </w:tcPr>
          <w:p>
            <w:pPr>
              <w:ind w:left="60"/>
              <w:spacing w:after="0"/>
              <w:rPr>
                <w:sz w:val="20"/>
                <w:szCs w:val="20"/>
                <w:color w:val="auto"/>
              </w:rPr>
            </w:pPr>
            <w:r>
              <w:rPr>
                <w:rFonts w:ascii="Arial" w:cs="Arial" w:eastAsia="Arial" w:hAnsi="Arial"/>
                <w:sz w:val="14"/>
                <w:szCs w:val="14"/>
                <w:color w:val="auto"/>
                <w:w w:val="89"/>
              </w:rPr>
              <w:t>5/15/19</w:t>
            </w:r>
          </w:p>
        </w:tc>
        <w:tc>
          <w:tcPr>
            <w:tcW w:w="300" w:type="dxa"/>
            <w:vAlign w:val="bottom"/>
            <w:shd w:val="clear" w:color="auto" w:fill="CCEDFF"/>
          </w:tcPr>
          <w:p>
            <w:pPr>
              <w:spacing w:after="0"/>
              <w:rPr>
                <w:sz w:val="20"/>
                <w:szCs w:val="20"/>
                <w:color w:val="auto"/>
              </w:rPr>
            </w:pPr>
            <w:r>
              <w:rPr>
                <w:rFonts w:ascii="Arial" w:cs="Arial" w:eastAsia="Arial" w:hAnsi="Arial"/>
                <w:sz w:val="12"/>
                <w:szCs w:val="12"/>
                <w:color w:val="auto"/>
              </w:rPr>
              <w:t>(8)</w:t>
            </w:r>
          </w:p>
        </w:tc>
        <w:tc>
          <w:tcPr>
            <w:tcW w:w="1320" w:type="dxa"/>
            <w:vAlign w:val="bottom"/>
            <w:shd w:val="clear" w:color="auto" w:fill="CCEDFF"/>
          </w:tcPr>
          <w:p>
            <w:pPr>
              <w:spacing w:after="0"/>
              <w:rPr>
                <w:sz w:val="16"/>
                <w:szCs w:val="16"/>
                <w:color w:val="auto"/>
              </w:rPr>
            </w:pPr>
          </w:p>
        </w:tc>
        <w:tc>
          <w:tcPr>
            <w:tcW w:w="130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1820" w:type="dxa"/>
            <w:vAlign w:val="bottom"/>
            <w:shd w:val="clear" w:color="auto" w:fill="CCEDFF"/>
          </w:tcPr>
          <w:p>
            <w:pPr>
              <w:jc w:val="right"/>
              <w:ind w:right="108"/>
              <w:spacing w:after="0"/>
              <w:rPr>
                <w:sz w:val="20"/>
                <w:szCs w:val="20"/>
                <w:color w:val="auto"/>
              </w:rPr>
            </w:pPr>
            <w:r>
              <w:rPr>
                <w:rFonts w:ascii="Arial" w:cs="Arial" w:eastAsia="Arial" w:hAnsi="Arial"/>
                <w:sz w:val="14"/>
                <w:szCs w:val="14"/>
                <w:color w:val="auto"/>
              </w:rPr>
              <w:t>26,340</w:t>
            </w:r>
          </w:p>
        </w:tc>
        <w:tc>
          <w:tcPr>
            <w:tcW w:w="8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1,358,090</w:t>
            </w:r>
          </w:p>
        </w:tc>
      </w:tr>
    </w:tbl>
    <w:p>
      <w:pPr>
        <w:spacing w:after="0" w:line="200" w:lineRule="exact"/>
        <w:rPr>
          <w:sz w:val="20"/>
          <w:szCs w:val="20"/>
          <w:color w:val="auto"/>
        </w:rPr>
      </w:pPr>
    </w:p>
    <w:p>
      <w:pPr>
        <w:sectPr>
          <w:pgSz w:w="11900" w:h="16838" w:orient="portrait"/>
          <w:cols w:equalWidth="0" w:num="2">
            <w:col w:w="1080" w:space="580"/>
            <w:col w:w="7900"/>
          </w:cols>
          <w:pgMar w:left="1160" w:top="279" w:right="117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606933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60"/>
        <w:spacing w:after="0" w:line="295" w:lineRule="auto"/>
        <w:rPr>
          <w:sz w:val="20"/>
          <w:szCs w:val="20"/>
          <w:color w:val="auto"/>
        </w:rPr>
      </w:pPr>
      <w:r>
        <w:rPr>
          <w:rFonts w:ascii="Arial" w:cs="Arial" w:eastAsia="Arial" w:hAnsi="Arial"/>
          <w:sz w:val="13"/>
          <w:szCs w:val="13"/>
          <w:b w:val="1"/>
          <w:bCs w:val="1"/>
          <w:color w:val="auto"/>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994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Karole Morgan-Prager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732790</wp:posOffset>
            </wp:positionV>
            <wp:extent cx="908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2360"/>
        <w:spacing w:after="0"/>
        <w:tabs>
          <w:tab w:leader="none" w:pos="634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15240</wp:posOffset>
            </wp:positionV>
            <wp:extent cx="42691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rPr>
              <w:t>Market</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or</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8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Securities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Units of</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Shares or</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Units That</w:t>
            </w:r>
          </w:p>
        </w:tc>
      </w:tr>
      <w:tr>
        <w:trPr>
          <w:trHeight w:val="162"/>
        </w:trPr>
        <w:tc>
          <w:tcPr>
            <w:tcW w:w="8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Unexercised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Have Not</w:t>
            </w:r>
          </w:p>
        </w:tc>
      </w:tr>
      <w:tr>
        <w:trPr>
          <w:trHeight w:val="145"/>
        </w:trPr>
        <w:tc>
          <w:tcPr>
            <w:tcW w:w="820" w:type="dxa"/>
            <w:vAlign w:val="bottom"/>
          </w:tcPr>
          <w:p>
            <w:pPr>
              <w:jc w:val="right"/>
              <w:ind w:right="273"/>
              <w:spacing w:after="0" w:line="145" w:lineRule="exact"/>
              <w:rPr>
                <w:sz w:val="20"/>
                <w:szCs w:val="20"/>
                <w:color w:val="auto"/>
              </w:rPr>
            </w:pPr>
            <w:r>
              <w:rPr>
                <w:rFonts w:ascii="Arial" w:cs="Arial" w:eastAsia="Arial" w:hAnsi="Arial"/>
                <w:sz w:val="14"/>
                <w:szCs w:val="14"/>
                <w:b w:val="1"/>
                <w:bCs w:val="1"/>
                <w:color w:val="auto"/>
              </w:rPr>
              <w:t>Grant</w:t>
            </w:r>
          </w:p>
        </w:tc>
        <w:tc>
          <w:tcPr>
            <w:tcW w:w="106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89"/>
              </w:rPr>
              <w:t>Options #</w:t>
            </w:r>
          </w:p>
        </w:tc>
        <w:tc>
          <w:tcPr>
            <w:tcW w:w="12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2"/>
              </w:rPr>
              <w:t>Options #</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Expiration</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87"/>
              </w:rPr>
              <w:t>Vested</w:t>
            </w:r>
          </w:p>
        </w:tc>
      </w:tr>
      <w:tr>
        <w:trPr>
          <w:trHeight w:val="207"/>
        </w:trPr>
        <w:tc>
          <w:tcPr>
            <w:tcW w:w="820" w:type="dxa"/>
            <w:vAlign w:val="bottom"/>
          </w:tcPr>
          <w:p>
            <w:pPr>
              <w:jc w:val="right"/>
              <w:ind w:right="233"/>
              <w:spacing w:after="0" w:line="207"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23"/>
                <w:szCs w:val="23"/>
                <w:b w:val="1"/>
                <w:bCs w:val="1"/>
                <w:color w:val="auto"/>
                <w:vertAlign w:val="superscript"/>
              </w:rPr>
              <w:t>(1)</w:t>
            </w: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Exercisable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87"/>
              </w:rPr>
              <w:t>Vested</w:t>
            </w:r>
          </w:p>
        </w:tc>
        <w:tc>
          <w:tcPr>
            <w:tcW w:w="800" w:type="dxa"/>
            <w:vAlign w:val="bottom"/>
          </w:tcPr>
          <w:p>
            <w:pPr>
              <w:jc w:val="center"/>
              <w:ind w:left="28"/>
              <w:spacing w:after="0" w:line="207"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(6)</w:t>
            </w:r>
          </w:p>
        </w:tc>
      </w:tr>
      <w:tr>
        <w:trPr>
          <w:trHeight w:val="189"/>
        </w:trPr>
        <w:tc>
          <w:tcPr>
            <w:tcW w:w="820" w:type="dxa"/>
            <w:vAlign w:val="bottom"/>
          </w:tcPr>
          <w:p>
            <w:pPr>
              <w:jc w:val="right"/>
              <w:ind w:right="53"/>
              <w:spacing w:after="0" w:line="189" w:lineRule="exact"/>
              <w:rPr>
                <w:sz w:val="20"/>
                <w:szCs w:val="20"/>
                <w:color w:val="auto"/>
              </w:rPr>
            </w:pPr>
            <w:r>
              <w:rPr>
                <w:rFonts w:ascii="Arial" w:cs="Arial" w:eastAsia="Arial" w:hAnsi="Arial"/>
                <w:sz w:val="13"/>
                <w:szCs w:val="13"/>
                <w:color w:val="auto"/>
                <w:w w:val="99"/>
              </w:rPr>
              <w:t>5/30/15</w:t>
            </w:r>
            <w:r>
              <w:rPr>
                <w:rFonts w:ascii="Arial" w:cs="Arial" w:eastAsia="Arial" w:hAnsi="Arial"/>
                <w:sz w:val="21"/>
                <w:szCs w:val="21"/>
                <w:color w:val="auto"/>
                <w:w w:val="99"/>
                <w:vertAlign w:val="superscript"/>
              </w:rPr>
              <w:t>(13)</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55,870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5/29/25</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53"/>
              <w:spacing w:after="0" w:line="189" w:lineRule="exact"/>
              <w:rPr>
                <w:sz w:val="20"/>
                <w:szCs w:val="20"/>
                <w:color w:val="auto"/>
              </w:rPr>
            </w:pPr>
            <w:r>
              <w:rPr>
                <w:rFonts w:ascii="Arial" w:cs="Arial" w:eastAsia="Arial" w:hAnsi="Arial"/>
                <w:sz w:val="13"/>
                <w:szCs w:val="13"/>
                <w:color w:val="auto"/>
                <w:w w:val="90"/>
              </w:rPr>
              <w:t>10/17/16</w:t>
            </w:r>
            <w:r>
              <w:rPr>
                <w:rFonts w:ascii="Arial" w:cs="Arial" w:eastAsia="Arial" w:hAnsi="Arial"/>
                <w:sz w:val="21"/>
                <w:szCs w:val="21"/>
                <w:color w:val="auto"/>
                <w:w w:val="90"/>
                <w:vertAlign w:val="superscript"/>
              </w:rPr>
              <w:t>(14)</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162,945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54,315</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10/16/26</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3"/>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(4)</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12,381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15,919</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20" w:type="dxa"/>
            <w:vAlign w:val="bottom"/>
          </w:tcPr>
          <w:p>
            <w:pPr>
              <w:jc w:val="right"/>
              <w:ind w:right="113"/>
              <w:spacing w:after="0" w:line="189" w:lineRule="exact"/>
              <w:rPr>
                <w:sz w:val="20"/>
                <w:szCs w:val="20"/>
                <w:color w:val="auto"/>
              </w:rPr>
            </w:pPr>
            <w:r>
              <w:rPr>
                <w:rFonts w:ascii="Arial" w:cs="Arial" w:eastAsia="Arial" w:hAnsi="Arial"/>
                <w:sz w:val="13"/>
                <w:szCs w:val="13"/>
                <w:color w:val="auto"/>
              </w:rPr>
              <w:t>3/6/18</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7,646</w:t>
            </w:r>
          </w:p>
        </w:tc>
        <w:tc>
          <w:tcPr>
            <w:tcW w:w="800" w:type="dxa"/>
            <w:vAlign w:val="bottom"/>
          </w:tcPr>
          <w:p>
            <w:pPr>
              <w:jc w:val="right"/>
              <w:spacing w:after="0"/>
              <w:rPr>
                <w:sz w:val="20"/>
                <w:szCs w:val="20"/>
                <w:color w:val="auto"/>
              </w:rPr>
            </w:pPr>
            <w:r>
              <w:rPr>
                <w:rFonts w:ascii="Arial" w:cs="Arial" w:eastAsia="Arial" w:hAnsi="Arial"/>
                <w:sz w:val="14"/>
                <w:szCs w:val="14"/>
                <w:color w:val="auto"/>
              </w:rPr>
              <w:t>394,228</w:t>
            </w:r>
          </w:p>
        </w:tc>
      </w:tr>
      <w:tr>
        <w:trPr>
          <w:trHeight w:val="189"/>
        </w:trPr>
        <w:tc>
          <w:tcPr>
            <w:tcW w:w="820" w:type="dxa"/>
            <w:vAlign w:val="bottom"/>
          </w:tcPr>
          <w:p>
            <w:pPr>
              <w:jc w:val="right"/>
              <w:ind w:right="113"/>
              <w:spacing w:after="0" w:line="189" w:lineRule="exact"/>
              <w:rPr>
                <w:sz w:val="20"/>
                <w:szCs w:val="20"/>
                <w:color w:val="auto"/>
              </w:rPr>
            </w:pPr>
            <w:r>
              <w:rPr>
                <w:rFonts w:ascii="Arial" w:cs="Arial" w:eastAsia="Arial" w:hAnsi="Arial"/>
                <w:sz w:val="13"/>
                <w:szCs w:val="13"/>
                <w:color w:val="auto"/>
              </w:rPr>
              <w:t>5/15/19</w:t>
            </w:r>
            <w:r>
              <w:rPr>
                <w:rFonts w:ascii="Arial" w:cs="Arial" w:eastAsia="Arial" w:hAnsi="Arial"/>
                <w:sz w:val="21"/>
                <w:szCs w:val="21"/>
                <w:color w:val="auto"/>
                <w:vertAlign w:val="superscript"/>
              </w:rPr>
              <w:t>(7)</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25,600</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5/15/29</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13"/>
        </w:trPr>
        <w:tc>
          <w:tcPr>
            <w:tcW w:w="820" w:type="dxa"/>
            <w:vAlign w:val="bottom"/>
          </w:tcPr>
          <w:p>
            <w:pPr>
              <w:jc w:val="right"/>
              <w:ind w:right="113"/>
              <w:spacing w:after="0"/>
              <w:rPr>
                <w:sz w:val="20"/>
                <w:szCs w:val="20"/>
                <w:color w:val="auto"/>
              </w:rPr>
            </w:pPr>
            <w:r>
              <w:rPr>
                <w:rFonts w:ascii="Arial" w:cs="Arial" w:eastAsia="Arial" w:hAnsi="Arial"/>
                <w:sz w:val="14"/>
                <w:szCs w:val="14"/>
                <w:color w:val="auto"/>
                <w:w w:val="93"/>
              </w:rPr>
              <w:t>5/15/19</w:t>
            </w:r>
            <w:r>
              <w:rPr>
                <w:rFonts w:ascii="Arial" w:cs="Arial" w:eastAsia="Arial" w:hAnsi="Arial"/>
                <w:sz w:val="24"/>
                <w:szCs w:val="24"/>
                <w:color w:val="auto"/>
                <w:w w:val="93"/>
                <w:vertAlign w:val="superscript"/>
              </w:rPr>
              <w:t>(8)</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12,180</w:t>
            </w:r>
          </w:p>
        </w:tc>
        <w:tc>
          <w:tcPr>
            <w:tcW w:w="800" w:type="dxa"/>
            <w:vAlign w:val="bottom"/>
          </w:tcPr>
          <w:p>
            <w:pPr>
              <w:jc w:val="right"/>
              <w:spacing w:after="0"/>
              <w:rPr>
                <w:sz w:val="20"/>
                <w:szCs w:val="20"/>
                <w:color w:val="auto"/>
              </w:rPr>
            </w:pPr>
            <w:r>
              <w:rPr>
                <w:rFonts w:ascii="Arial" w:cs="Arial" w:eastAsia="Arial" w:hAnsi="Arial"/>
                <w:sz w:val="14"/>
                <w:szCs w:val="14"/>
                <w:color w:val="auto"/>
              </w:rPr>
              <w:t>628,001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-801370</wp:posOffset>
            </wp:positionV>
            <wp:extent cx="6069330" cy="728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9330" cy="72898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1540" w:space="320"/>
            <w:col w:w="7660"/>
          </w:cols>
          <w:pgMar w:left="1160" w:top="279" w:right="1219" w:bottom="1440" w:gutter="0" w:footer="0" w:header="0"/>
        </w:sectPr>
      </w:pPr>
    </w:p>
    <w:p>
      <w:pPr>
        <w:ind w:left="360" w:hanging="355"/>
        <w:spacing w:after="0"/>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2014 Equity Incentive Plan, or 2014 Plan or 2016 Plan, as applicable.</w:t>
      </w:r>
    </w:p>
    <w:p>
      <w:pPr>
        <w:spacing w:after="0" w:line="109" w:lineRule="exact"/>
        <w:rPr>
          <w:rFonts w:ascii="Arial" w:cs="Arial" w:eastAsia="Arial" w:hAnsi="Arial"/>
          <w:sz w:val="14"/>
          <w:szCs w:val="14"/>
          <w:color w:val="auto"/>
        </w:rPr>
      </w:pPr>
    </w:p>
    <w:p>
      <w:pPr>
        <w:ind w:left="360" w:right="20" w:hanging="355"/>
        <w:spacing w:after="0" w:line="257"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shares vest based on achievement of certain performance metrics and Ms. Tucker’s continued service with us through the date on which achievement is determined by our board of directors or its authorized committee. See “</w:t>
      </w:r>
      <w:r>
        <w:rPr>
          <w:rFonts w:ascii="Arial" w:cs="Arial" w:eastAsia="Arial" w:hAnsi="Arial"/>
          <w:sz w:val="14"/>
          <w:szCs w:val="14"/>
          <w:i w:val="1"/>
          <w:iCs w:val="1"/>
          <w:color w:val="auto"/>
        </w:rPr>
        <w:t>2016 CEO Performance-Based Equity Award</w:t>
      </w:r>
      <w:r>
        <w:rPr>
          <w:rFonts w:ascii="Arial" w:cs="Arial" w:eastAsia="Arial" w:hAnsi="Arial"/>
          <w:sz w:val="14"/>
          <w:szCs w:val="14"/>
          <w:color w:val="auto"/>
        </w:rPr>
        <w:t>” below for additional details on the terms of this award.</w:t>
      </w:r>
    </w:p>
    <w:p>
      <w:pPr>
        <w:spacing w:after="0" w:line="76" w:lineRule="exact"/>
        <w:rPr>
          <w:rFonts w:ascii="Arial" w:cs="Arial" w:eastAsia="Arial" w:hAnsi="Arial"/>
          <w:sz w:val="14"/>
          <w:szCs w:val="14"/>
          <w:color w:val="auto"/>
        </w:rPr>
      </w:pPr>
    </w:p>
    <w:p>
      <w:pPr>
        <w:ind w:left="360" w:right="40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(January 1, 2016), subject to continued service with us through each applicable vesting date.</w:t>
      </w:r>
    </w:p>
    <w:p>
      <w:pPr>
        <w:spacing w:after="0" w:line="48" w:lineRule="exact"/>
        <w:rPr>
          <w:rFonts w:ascii="Arial" w:cs="Arial" w:eastAsia="Arial" w:hAnsi="Arial"/>
          <w:sz w:val="14"/>
          <w:szCs w:val="14"/>
          <w:color w:val="auto"/>
        </w:rPr>
      </w:pPr>
    </w:p>
    <w:p>
      <w:pPr>
        <w:ind w:left="360" w:hanging="355"/>
        <w:spacing w:after="0" w:line="210"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underlying this option vest on the first anniversary of the vesting commencement date (February 20, 2018), and 1/16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subject to the option vest every three months thereafter on the same day of the month as the vesting commencement date, subject to continued service with us through each vesting date.</w:t>
      </w:r>
    </w:p>
    <w:p>
      <w:pPr>
        <w:spacing w:after="0" w:line="87" w:lineRule="exact"/>
        <w:rPr>
          <w:rFonts w:ascii="Arial" w:cs="Arial" w:eastAsia="Arial" w:hAnsi="Arial"/>
          <w:sz w:val="14"/>
          <w:szCs w:val="14"/>
          <w:color w:val="auto"/>
        </w:rPr>
      </w:pPr>
    </w:p>
    <w:p>
      <w:pPr>
        <w:ind w:left="360" w:right="120" w:hanging="355"/>
        <w:spacing w:after="0" w:line="20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underlying this RSU award vest on the first anniversary of the vesting commencement date (February 20, 2018) and 1/16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underlying this RSU award will vest every three months thereafter on the same day of the month as the vesting commencement date, subject to continued service with us through each vesting date.</w:t>
      </w:r>
    </w:p>
    <w:p>
      <w:pPr>
        <w:spacing w:after="0" w:line="88" w:lineRule="exact"/>
        <w:rPr>
          <w:rFonts w:ascii="Arial" w:cs="Arial" w:eastAsia="Arial" w:hAnsi="Arial"/>
          <w:sz w:val="14"/>
          <w:szCs w:val="14"/>
          <w:color w:val="auto"/>
        </w:rPr>
      </w:pPr>
    </w:p>
    <w:p>
      <w:pPr>
        <w:ind w:left="360" w:right="12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market values are determined by multiplying the number of shares by the fair market value per share of common stock on December 30, 2019 (the last trading day of 2019), or $51.56.</w:t>
      </w:r>
    </w:p>
    <w:p>
      <w:pPr>
        <w:spacing w:after="0" w:line="48" w:lineRule="exact"/>
        <w:rPr>
          <w:rFonts w:ascii="Arial" w:cs="Arial" w:eastAsia="Arial" w:hAnsi="Arial"/>
          <w:sz w:val="14"/>
          <w:szCs w:val="14"/>
          <w:color w:val="auto"/>
        </w:rPr>
      </w:pPr>
    </w:p>
    <w:p>
      <w:pPr>
        <w:ind w:left="360" w:hanging="355"/>
        <w:spacing w:after="0" w:line="210"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underlying this option vest on the first anniversary of the vesting commencement date (February 20, 2019), and 1/16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subject to the option vest every three months thereafter on the same day of the month as the vesting commencement date, subject to continued service with us through each vesting date.</w:t>
      </w:r>
    </w:p>
    <w:p>
      <w:pPr>
        <w:spacing w:after="0" w:line="87" w:lineRule="exact"/>
        <w:rPr>
          <w:rFonts w:ascii="Arial" w:cs="Arial" w:eastAsia="Arial" w:hAnsi="Arial"/>
          <w:sz w:val="14"/>
          <w:szCs w:val="14"/>
          <w:color w:val="auto"/>
        </w:rPr>
      </w:pPr>
    </w:p>
    <w:p>
      <w:pPr>
        <w:ind w:left="360" w:right="120" w:hanging="355"/>
        <w:spacing w:after="0" w:line="20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underlying this RSU award vest on the first anniversary of the vesting commencement date (February 20, 2019) and 1/16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underlying this RSU award will vest every three months thereafter on the same day of the month as the vesting commencement date, subject to continued service with us through each vesting date.</w:t>
      </w:r>
    </w:p>
    <w:p>
      <w:pPr>
        <w:spacing w:after="0" w:line="88" w:lineRule="exact"/>
        <w:rPr>
          <w:rFonts w:ascii="Arial" w:cs="Arial" w:eastAsia="Arial" w:hAnsi="Arial"/>
          <w:sz w:val="14"/>
          <w:szCs w:val="14"/>
          <w:color w:val="auto"/>
        </w:rPr>
      </w:pPr>
    </w:p>
    <w:p>
      <w:pPr>
        <w:ind w:left="360" w:right="40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(January 20, 2015), subject to continued service with us through each applicable vesting date.</w:t>
      </w:r>
    </w:p>
    <w:p>
      <w:pPr>
        <w:spacing w:after="0" w:line="65" w:lineRule="exact"/>
        <w:rPr>
          <w:rFonts w:ascii="Arial" w:cs="Arial" w:eastAsia="Arial" w:hAnsi="Arial"/>
          <w:sz w:val="14"/>
          <w:szCs w:val="14"/>
          <w:color w:val="auto"/>
        </w:rPr>
      </w:pPr>
    </w:p>
    <w:p>
      <w:pPr>
        <w:ind w:left="360" w:right="40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(September 27, 2016), subject to continued service with us through each applicable vesting date.</w:t>
      </w:r>
    </w:p>
    <w:p>
      <w:pPr>
        <w:spacing w:after="0" w:line="65" w:lineRule="exact"/>
        <w:rPr>
          <w:rFonts w:ascii="Arial" w:cs="Arial" w:eastAsia="Arial" w:hAnsi="Arial"/>
          <w:sz w:val="14"/>
          <w:szCs w:val="14"/>
          <w:color w:val="auto"/>
        </w:rPr>
      </w:pPr>
    </w:p>
    <w:p>
      <w:pPr>
        <w:ind w:left="360" w:right="30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vest on each of the first four anniversaries of the vesting commencement date (February 13, 2018), subject to Mr. Huffman’s continued role as a service provider to us through each vesting date.</w:t>
      </w:r>
    </w:p>
    <w:p>
      <w:pPr>
        <w:spacing w:after="0" w:line="65" w:lineRule="exact"/>
        <w:rPr>
          <w:rFonts w:ascii="Arial" w:cs="Arial" w:eastAsia="Arial" w:hAnsi="Arial"/>
          <w:sz w:val="14"/>
          <w:szCs w:val="14"/>
          <w:color w:val="auto"/>
        </w:rPr>
      </w:pPr>
    </w:p>
    <w:p>
      <w:pPr>
        <w:ind w:left="360" w:right="14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underlying this RSU award vest on each of the first four anniversaries of the vesting commencement date (February 13, 2018), subject to Mr. Huffman’s continued role as a service provider to us through each vesting date.</w:t>
      </w:r>
    </w:p>
    <w:p>
      <w:pPr>
        <w:spacing w:after="0" w:line="65" w:lineRule="exact"/>
        <w:rPr>
          <w:rFonts w:ascii="Arial" w:cs="Arial" w:eastAsia="Arial" w:hAnsi="Arial"/>
          <w:sz w:val="14"/>
          <w:szCs w:val="14"/>
          <w:color w:val="auto"/>
        </w:rPr>
      </w:pPr>
    </w:p>
    <w:p>
      <w:pPr>
        <w:ind w:left="360" w:right="20" w:hanging="355"/>
        <w:spacing w:after="0" w:line="358" w:lineRule="auto"/>
        <w:tabs>
          <w:tab w:leader="none" w:pos="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Twenty-five percent (25%) of the shares (rounded down to the nearest whole number of shares) vest on each of the first four anniversaries of the vesting commencement date (May 30, 2015), subject to continued service with us through each applicable vesting date. At December 31, 2019, all shares were vested.</w:t>
      </w:r>
    </w:p>
    <w:p>
      <w:pPr>
        <w:spacing w:after="0" w:line="20" w:lineRule="exact"/>
        <w:rPr>
          <w:rFonts w:ascii="Arial" w:cs="Arial" w:eastAsia="Arial" w:hAnsi="Arial"/>
          <w:sz w:val="12"/>
          <w:szCs w:val="12"/>
          <w:color w:val="auto"/>
        </w:rPr>
      </w:pPr>
    </w:p>
    <w:p>
      <w:pPr>
        <w:ind w:left="360" w:right="400" w:hanging="355"/>
        <w:spacing w:after="0" w:line="273"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(September 27, 2016), subject to continued service with us through each applicable vesting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CEO Performance-Based Equity Award</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i w:val="1"/>
          <w:iCs w:val="1"/>
          <w:color w:val="auto"/>
        </w:rPr>
        <w:t xml:space="preserve">Performance-Based Option. </w:t>
      </w:r>
      <w:r>
        <w:rPr>
          <w:rFonts w:ascii="Arial" w:cs="Arial" w:eastAsia="Arial" w:hAnsi="Arial"/>
          <w:sz w:val="16"/>
          <w:szCs w:val="16"/>
          <w:color w:val="auto"/>
        </w:rPr>
        <w:t>The Performance-Based Option covers 482,800 shares of our common stock. The shares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Performance-Based Option vest based on achievement of certain performance metrics and Ms. Tucker’s continued service with us through the date on which achievement is determined by our board of directors or its authorized committee. For the period beginning on January 1, 2016 and ending on December 31, 2019, or the Performance Period, if we achieve yearly cash flow targets as determined by our board of directors concurrently with the annual budget process for each of our fiscal years, or the Cash Flow Metric, then the Performance-Based Option vests based on the extent of our achievement of cumulative annual recurring revenue targets during the Performance Period. If our board of directors determines that the Cash Flow</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Metric was met during the Performance Period but we did not achieve the full cumulative annual recurring revenue targets during the Performance Period (which was the result as of December 31, 2019), then the portion of the Performance-Based Option that becomes eligible to vest and become exercisable but failed to vest during the Performance Period may be eligible to vest and become exercisable based on the extent of our achievement of an additional cash flow target for 2020 and a cumulative annual recurring revenue target during the period beginning on January 1, 2016 and ending on December 31, 2020. In 2019, our board of directors set the 2019 cash flow target for the Performance-Based Option, and, as a result, the fair value of this grant was determined in 2019. As of the date of this proxy filing, it is expected that the targets will not be met and that Ms. Tucker will not earn any of this Performance-Based Option and that this Performance-Based Option will be forfeited in 2020. See “Summary Compensation Table” for additional details.</w:t>
      </w:r>
    </w:p>
    <w:p>
      <w:pPr>
        <w:spacing w:after="0" w:line="7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If, upon a “change of control” (as defined in Ms. Tucker’s employment agreement), the Performance-Based Option is not vested and exercisable and is not assumed or substituted for, then it is intended that, immediately prior to such change of control, the Performance-Based Option will vest as to 100% of the shares subject to the Performance-Based Option. If, upon a change of control, the Performance-Based Option is assumed and substituted for and cumulative annual recurring revenue thresholds are met (which are based on the year in which the change of control occurs), then, immediately prior to the change of control, the Performance-Based Option will vest and become exercisable as to the number of shares subject to the Performance-Based Option equal to 1/48th of the number of shares subject to the Performance-Based Option multiplied by the total number of completed months between the date the Performance-Based Option is granted and the consummation of the change of control, rounded down to the nearest whole share, and the remaining shares will become vested and exercisable at a rate of 1/48th of the number of shares subject to the Performance-Based Option per month through the four year anniversary of the date the Performance-Based Option is granted, subject to Ms. Tucker’s continued service with us through each such vesting date.</w:t>
      </w:r>
    </w:p>
    <w:p>
      <w:pPr>
        <w:spacing w:after="0" w:line="64"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Performance-Based Option was granted subject to the terms and conditions of our 2014 Plan and the option agreement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Stock Awards Vested During 2019</w:t>
      </w:r>
    </w:p>
    <w:p>
      <w:pPr>
        <w:spacing w:after="0" w:line="121" w:lineRule="exact"/>
        <w:rPr>
          <w:sz w:val="20"/>
          <w:szCs w:val="20"/>
          <w:color w:val="auto"/>
        </w:rPr>
      </w:pPr>
    </w:p>
    <w:p>
      <w:pPr>
        <w:jc w:val="both"/>
        <w:ind w:right="60" w:firstLine="360"/>
        <w:spacing w:after="0" w:line="263" w:lineRule="auto"/>
        <w:rPr>
          <w:sz w:val="20"/>
          <w:szCs w:val="20"/>
          <w:color w:val="auto"/>
        </w:rPr>
      </w:pPr>
      <w:r>
        <w:rPr>
          <w:rFonts w:ascii="Arial" w:cs="Arial" w:eastAsia="Arial" w:hAnsi="Arial"/>
          <w:sz w:val="18"/>
          <w:szCs w:val="18"/>
          <w:color w:val="auto"/>
        </w:rPr>
        <w:t>The following table sets forth the number of shares acquired and the value realized upon exercise of stock options during 2019 by each of our NEOs. The value realized on exercise of stock options is calculated based on the difference between the market price of our common stock upon exercise and the exercise price of the stock options.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Option Awards</w:t>
            </w:r>
          </w:p>
        </w:tc>
        <w:tc>
          <w:tcPr>
            <w:tcW w:w="2520" w:type="dxa"/>
            <w:vAlign w:val="bottom"/>
            <w:gridSpan w:val="4"/>
          </w:tcPr>
          <w:p>
            <w:pPr>
              <w:ind w:left="840"/>
              <w:spacing w:after="0"/>
              <w:rPr>
                <w:sz w:val="20"/>
                <w:szCs w:val="20"/>
                <w:color w:val="auto"/>
              </w:rPr>
            </w:pPr>
            <w:r>
              <w:rPr>
                <w:rFonts w:ascii="Arial" w:cs="Arial" w:eastAsia="Arial" w:hAnsi="Arial"/>
                <w:sz w:val="14"/>
                <w:szCs w:val="14"/>
                <w:b w:val="1"/>
                <w:bCs w:val="1"/>
                <w:color w:val="auto"/>
              </w:rPr>
              <w:t>Stock Awards</w:t>
            </w:r>
          </w:p>
        </w:tc>
      </w:tr>
      <w:tr>
        <w:trPr>
          <w:trHeight w:val="160"/>
        </w:trPr>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top w:val="single" w:sz="8" w:color="auto"/>
            </w:tcBorders>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7"/>
              </w:rPr>
              <w:t>Number of</w:t>
            </w: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Acquired</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Realized on</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145"/>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on Exercise</w:t>
            </w: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Realized on</w:t>
            </w:r>
          </w:p>
        </w:tc>
      </w:tr>
      <w:tr>
        <w:trPr>
          <w:trHeight w:val="202"/>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9"/>
                <w:vertAlign w:val="subscript"/>
              </w:rPr>
              <w:t>(#)</w:t>
            </w:r>
            <w:r>
              <w:rPr>
                <w:rFonts w:ascii="Arial" w:cs="Arial" w:eastAsia="Arial" w:hAnsi="Arial"/>
                <w:sz w:val="11"/>
                <w:szCs w:val="11"/>
                <w:b w:val="1"/>
                <w:bCs w:val="1"/>
                <w:color w:val="auto"/>
                <w:w w:val="99"/>
              </w:rPr>
              <w:t>(1)</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9"/>
                <w:vertAlign w:val="subscript"/>
              </w:rPr>
              <w:t>($)</w:t>
            </w:r>
            <w:r>
              <w:rPr>
                <w:rFonts w:ascii="Arial" w:cs="Arial" w:eastAsia="Arial" w:hAnsi="Arial"/>
                <w:sz w:val="11"/>
                <w:szCs w:val="11"/>
                <w:b w:val="1"/>
                <w:bCs w:val="1"/>
                <w:color w:val="auto"/>
                <w:w w:val="99"/>
              </w:rPr>
              <w:t>(2)</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89"/>
              </w:rPr>
              <w:t>Vesting ($)</w:t>
            </w:r>
          </w:p>
        </w:tc>
        <w:tc>
          <w:tcPr>
            <w:tcW w:w="100" w:type="dxa"/>
            <w:vAlign w:val="bottom"/>
          </w:tcPr>
          <w:p>
            <w:pPr>
              <w:spacing w:after="0"/>
              <w:rPr>
                <w:sz w:val="17"/>
                <w:szCs w:val="17"/>
                <w:color w:val="auto"/>
              </w:rPr>
            </w:pPr>
          </w:p>
        </w:tc>
      </w:tr>
      <w:tr>
        <w:trPr>
          <w:trHeight w:val="23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970,076</w:t>
            </w:r>
          </w:p>
        </w:tc>
        <w:tc>
          <w:tcPr>
            <w:tcW w:w="100" w:type="dxa"/>
            <w:vAlign w:val="bottom"/>
            <w:shd w:val="clear" w:color="auto" w:fill="CCEEFF"/>
          </w:tcPr>
          <w:p>
            <w:pPr>
              <w:spacing w:after="0"/>
              <w:rPr>
                <w:sz w:val="20"/>
                <w:szCs w:val="20"/>
                <w:color w:val="auto"/>
              </w:rPr>
            </w:pPr>
          </w:p>
        </w:tc>
      </w:tr>
      <w:tr>
        <w:trPr>
          <w:trHeight w:val="237"/>
        </w:trPr>
        <w:tc>
          <w:tcPr>
            <w:tcW w:w="4560" w:type="dxa"/>
            <w:vAlign w:val="bottom"/>
            <w:gridSpan w:val="2"/>
          </w:tcPr>
          <w:p>
            <w:pPr>
              <w:spacing w:after="0"/>
              <w:rPr>
                <w:sz w:val="20"/>
                <w:szCs w:val="20"/>
                <w:color w:val="auto"/>
              </w:rPr>
            </w:pPr>
            <w:r>
              <w:rPr>
                <w:rFonts w:ascii="Arial" w:cs="Arial" w:eastAsia="Arial" w:hAnsi="Arial"/>
                <w:sz w:val="18"/>
                <w:szCs w:val="18"/>
                <w:color w:val="auto"/>
              </w:rPr>
              <w:t>Mark Partin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3,053,676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11,931</w:t>
            </w:r>
          </w:p>
        </w:tc>
        <w:tc>
          <w:tcPr>
            <w:tcW w:w="1080" w:type="dxa"/>
            <w:vAlign w:val="bottom"/>
          </w:tcPr>
          <w:p>
            <w:pPr>
              <w:jc w:val="right"/>
              <w:spacing w:after="0"/>
              <w:rPr>
                <w:sz w:val="20"/>
                <w:szCs w:val="20"/>
                <w:color w:val="auto"/>
              </w:rPr>
            </w:pPr>
            <w:r>
              <w:rPr>
                <w:rFonts w:ascii="Arial" w:cs="Arial" w:eastAsia="Arial" w:hAnsi="Arial"/>
                <w:sz w:val="18"/>
                <w:szCs w:val="18"/>
                <w:color w:val="auto"/>
              </w:rPr>
              <w:t>613,270</w:t>
            </w:r>
          </w:p>
        </w:tc>
        <w:tc>
          <w:tcPr>
            <w:tcW w:w="100" w:type="dxa"/>
            <w:vAlign w:val="bottom"/>
          </w:tcPr>
          <w:p>
            <w:pPr>
              <w:spacing w:after="0"/>
              <w:rPr>
                <w:sz w:val="20"/>
                <w:szCs w:val="20"/>
                <w:color w:val="auto"/>
              </w:rPr>
            </w:pPr>
          </w:p>
        </w:tc>
      </w:tr>
      <w:tr>
        <w:trPr>
          <w:trHeight w:val="249"/>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Huffman</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2,422,500</w:t>
            </w:r>
          </w:p>
        </w:tc>
        <w:tc>
          <w:tcPr>
            <w:tcW w:w="100" w:type="dxa"/>
            <w:vAlign w:val="bottom"/>
            <w:shd w:val="clear" w:color="auto" w:fill="CCEEFF"/>
          </w:tcPr>
          <w:p>
            <w:pPr>
              <w:spacing w:after="0"/>
              <w:rPr>
                <w:sz w:val="21"/>
                <w:szCs w:val="2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Karole Morgan-Prager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44,130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1,677,862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5,946</w:t>
            </w:r>
          </w:p>
        </w:tc>
        <w:tc>
          <w:tcPr>
            <w:tcW w:w="1080" w:type="dxa"/>
            <w:vAlign w:val="bottom"/>
          </w:tcPr>
          <w:p>
            <w:pPr>
              <w:jc w:val="right"/>
              <w:spacing w:after="0"/>
              <w:rPr>
                <w:sz w:val="20"/>
                <w:szCs w:val="20"/>
                <w:color w:val="auto"/>
              </w:rPr>
            </w:pPr>
            <w:r>
              <w:rPr>
                <w:rFonts w:ascii="Arial" w:cs="Arial" w:eastAsia="Arial" w:hAnsi="Arial"/>
                <w:sz w:val="18"/>
                <w:szCs w:val="18"/>
                <w:color w:val="auto"/>
              </w:rPr>
              <w:t>305,632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086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aggregate number of shares of common stock underlying the stock options that were exercised in 2019.</w:t>
      </w:r>
    </w:p>
    <w:p>
      <w:pPr>
        <w:spacing w:after="0" w:line="109" w:lineRule="exact"/>
        <w:rPr>
          <w:rFonts w:ascii="Arial" w:cs="Arial" w:eastAsia="Arial" w:hAnsi="Arial"/>
          <w:sz w:val="14"/>
          <w:szCs w:val="14"/>
          <w:color w:val="auto"/>
        </w:rPr>
      </w:pPr>
    </w:p>
    <w:p>
      <w:pPr>
        <w:jc w:val="both"/>
        <w:ind w:left="360" w:right="100" w:hanging="355"/>
        <w:spacing w:after="0" w:line="286"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Calculated by multiplying (i) the difference between (x) the sale price for shares of common stock sold concurrently with the exercise of an option, and if not, the fair market value of common stock on the option exercise date, which was determined using the closing price on the NASDAQ Stock Market of a share of common stock on the option exercise date, and (y) the exercise price of the option, by (ii) the number of shares of common stock acquired upon exercise.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ind w:right="100" w:firstLine="360"/>
        <w:spacing w:after="0" w:line="329" w:lineRule="auto"/>
        <w:rPr>
          <w:sz w:val="20"/>
          <w:szCs w:val="20"/>
          <w:color w:val="auto"/>
        </w:rPr>
      </w:pPr>
      <w:r>
        <w:rPr>
          <w:rFonts w:ascii="Arial" w:cs="Arial" w:eastAsia="Arial" w:hAnsi="Arial"/>
          <w:sz w:val="16"/>
          <w:szCs w:val="16"/>
          <w:color w:val="auto"/>
        </w:rPr>
        <w:t>The following table provides information concerning the estimated payments and benefits that would be provided in the circumstances described below, assuming that the triggering event took place on December 31, 2019, the last day of our fiscal year.</w:t>
      </w: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Qualifying Termination</w:t>
            </w:r>
          </w:p>
        </w:tc>
        <w:tc>
          <w:tcPr>
            <w:tcW w:w="1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Termination due</w:t>
            </w:r>
          </w:p>
        </w:tc>
        <w:tc>
          <w:tcPr>
            <w:tcW w:w="14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Qualifying Termination</w:t>
            </w:r>
          </w:p>
        </w:tc>
      </w:tr>
      <w:tr>
        <w:trPr>
          <w:trHeight w:val="145"/>
        </w:trPr>
        <w:tc>
          <w:tcPr>
            <w:tcW w:w="14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Not in connection with a</w:t>
            </w:r>
          </w:p>
        </w:tc>
        <w:tc>
          <w:tcPr>
            <w:tcW w:w="10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to death or</w:t>
            </w:r>
          </w:p>
        </w:tc>
        <w:tc>
          <w:tcPr>
            <w:tcW w:w="140" w:type="dxa"/>
            <w:vAlign w:val="bottom"/>
          </w:tcPr>
          <w:p>
            <w:pPr>
              <w:spacing w:after="0"/>
              <w:rPr>
                <w:sz w:val="12"/>
                <w:szCs w:val="12"/>
                <w:color w:val="auto"/>
              </w:rPr>
            </w:pPr>
          </w:p>
        </w:tc>
        <w:tc>
          <w:tcPr>
            <w:tcW w:w="17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in connection with a</w:t>
            </w:r>
          </w:p>
        </w:tc>
      </w:tr>
      <w:tr>
        <w:trPr>
          <w:trHeight w:val="195"/>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Change of Control($)</w:t>
            </w:r>
          </w:p>
        </w:tc>
        <w:tc>
          <w:tcPr>
            <w:tcW w:w="1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Disability</w:t>
            </w:r>
          </w:p>
        </w:tc>
        <w:tc>
          <w:tcPr>
            <w:tcW w:w="140" w:type="dxa"/>
            <w:vAlign w:val="bottom"/>
          </w:tcPr>
          <w:p>
            <w:pPr>
              <w:spacing w:after="0"/>
              <w:rPr>
                <w:sz w:val="16"/>
                <w:szCs w:val="16"/>
                <w:color w:val="auto"/>
              </w:rPr>
            </w:pPr>
          </w:p>
        </w:tc>
        <w:tc>
          <w:tcPr>
            <w:tcW w:w="1700" w:type="dxa"/>
            <w:vAlign w:val="bottom"/>
            <w:gridSpan w:val="2"/>
          </w:tcPr>
          <w:p>
            <w:pPr>
              <w:jc w:val="center"/>
              <w:ind w:right="180"/>
              <w:spacing w:after="0" w:line="189" w:lineRule="exact"/>
              <w:rPr>
                <w:sz w:val="20"/>
                <w:szCs w:val="20"/>
                <w:color w:val="auto"/>
              </w:rPr>
            </w:pPr>
            <w:r>
              <w:rPr>
                <w:rFonts w:ascii="Arial" w:cs="Arial" w:eastAsia="Arial" w:hAnsi="Arial"/>
                <w:sz w:val="13"/>
                <w:szCs w:val="13"/>
                <w:b w:val="1"/>
                <w:bCs w:val="1"/>
                <w:color w:val="auto"/>
                <w:w w:val="98"/>
              </w:rPr>
              <w:t>Change of Control($)</w:t>
            </w:r>
            <w:r>
              <w:rPr>
                <w:rFonts w:ascii="Arial" w:cs="Arial" w:eastAsia="Arial" w:hAnsi="Arial"/>
                <w:sz w:val="21"/>
                <w:szCs w:val="21"/>
                <w:b w:val="1"/>
                <w:bCs w:val="1"/>
                <w:color w:val="auto"/>
                <w:w w:val="98"/>
                <w:vertAlign w:val="superscript"/>
              </w:rPr>
              <w:t>(1)</w:t>
            </w:r>
          </w:p>
        </w:tc>
      </w:tr>
      <w:tr>
        <w:trPr>
          <w:trHeight w:val="243"/>
        </w:trPr>
        <w:tc>
          <w:tcPr>
            <w:tcW w:w="4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Therese Tucker</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950,000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380,000</w:t>
            </w:r>
          </w:p>
        </w:tc>
        <w:tc>
          <w:tcPr>
            <w:tcW w:w="100" w:type="dxa"/>
            <w:vAlign w:val="bottom"/>
          </w:tcPr>
          <w:p>
            <w:pPr>
              <w:spacing w:after="0"/>
              <w:rPr>
                <w:sz w:val="20"/>
                <w:szCs w:val="20"/>
                <w:color w:val="auto"/>
              </w:rPr>
            </w:pPr>
          </w:p>
        </w:tc>
      </w:tr>
      <w:tr>
        <w:trPr>
          <w:trHeight w:val="24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Continued health coverage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44,676</w:t>
            </w:r>
          </w:p>
        </w:tc>
        <w:tc>
          <w:tcPr>
            <w:tcW w:w="100" w:type="dxa"/>
            <w:vAlign w:val="bottom"/>
            <w:shd w:val="clear" w:color="auto" w:fill="CCEEFF"/>
          </w:tcPr>
          <w:p>
            <w:pPr>
              <w:spacing w:after="0"/>
              <w:rPr>
                <w:sz w:val="21"/>
                <w:szCs w:val="21"/>
                <w:color w:val="auto"/>
              </w:rPr>
            </w:pPr>
          </w:p>
        </w:tc>
      </w:tr>
      <w:tr>
        <w:trPr>
          <w:trHeight w:val="243"/>
        </w:trPr>
        <w:tc>
          <w:tcPr>
            <w:tcW w:w="410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Accelerated equity vesting</w:t>
            </w:r>
            <w:r>
              <w:rPr>
                <w:rFonts w:ascii="Arial" w:cs="Arial" w:eastAsia="Arial" w:hAnsi="Arial"/>
                <w:sz w:val="28"/>
                <w:szCs w:val="28"/>
                <w:color w:val="auto"/>
                <w:vertAlign w:val="superscript"/>
              </w:rPr>
              <w:t>(2)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60"/>
              <w:spacing w:after="0" w:line="243" w:lineRule="exact"/>
              <w:rPr>
                <w:sz w:val="20"/>
                <w:szCs w:val="20"/>
                <w:color w:val="auto"/>
              </w:rPr>
            </w:pPr>
            <w:r>
              <w:rPr>
                <w:rFonts w:ascii="Arial" w:cs="Arial" w:eastAsia="Arial" w:hAnsi="Arial"/>
                <w:sz w:val="17"/>
                <w:szCs w:val="17"/>
                <w:color w:val="auto"/>
              </w:rPr>
              <w:t>23,472,268</w:t>
            </w:r>
            <w:r>
              <w:rPr>
                <w:rFonts w:ascii="Arial" w:cs="Arial" w:eastAsia="Arial" w:hAnsi="Arial"/>
                <w:sz w:val="28"/>
                <w:szCs w:val="28"/>
                <w:color w:val="auto"/>
                <w:vertAlign w:val="superscript"/>
              </w:rPr>
              <w:t>(3)</w:t>
            </w:r>
          </w:p>
        </w:tc>
      </w:tr>
      <w:tr>
        <w:trPr>
          <w:trHeight w:val="243"/>
        </w:trPr>
        <w:tc>
          <w:tcPr>
            <w:tcW w:w="144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Mark Partin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severance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182,500</w:t>
            </w:r>
          </w:p>
        </w:tc>
        <w:tc>
          <w:tcPr>
            <w:tcW w:w="100" w:type="dxa"/>
            <w:vAlign w:val="bottom"/>
            <w:shd w:val="clear" w:color="auto" w:fill="CCEEFF"/>
          </w:tcPr>
          <w:p>
            <w:pPr>
              <w:spacing w:after="0"/>
              <w:rPr>
                <w:sz w:val="21"/>
                <w:szCs w:val="21"/>
                <w:color w:val="auto"/>
              </w:rPr>
            </w:pPr>
          </w:p>
        </w:tc>
      </w:tr>
      <w:tr>
        <w:trPr>
          <w:trHeight w:val="237"/>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Continued health coverage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14,892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0"/>
                <w:szCs w:val="20"/>
                <w:color w:val="auto"/>
              </w:rPr>
            </w:pPr>
          </w:p>
        </w:tc>
      </w:tr>
      <w:tr>
        <w:trPr>
          <w:trHeight w:val="249"/>
        </w:trPr>
        <w:tc>
          <w:tcPr>
            <w:tcW w:w="410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Accelerated equity vesting</w:t>
            </w:r>
            <w:r>
              <w:rPr>
                <w:rFonts w:ascii="Arial" w:cs="Arial" w:eastAsia="Arial" w:hAnsi="Arial"/>
                <w:sz w:val="28"/>
                <w:szCs w:val="28"/>
                <w:color w:val="auto"/>
                <w:vertAlign w:val="superscript"/>
              </w:rPr>
              <w:t>(2)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3,255,340</w:t>
            </w:r>
          </w:p>
        </w:tc>
        <w:tc>
          <w:tcPr>
            <w:tcW w:w="100" w:type="dxa"/>
            <w:vAlign w:val="bottom"/>
            <w:shd w:val="clear" w:color="auto" w:fill="CCEEFF"/>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 Huffman</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0"/>
                <w:szCs w:val="20"/>
                <w:color w:val="auto"/>
              </w:rPr>
            </w:pPr>
          </w:p>
        </w:tc>
      </w:tr>
      <w:tr>
        <w:trPr>
          <w:trHeight w:val="24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Continued health coverage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14,892</w:t>
            </w:r>
          </w:p>
        </w:tc>
        <w:tc>
          <w:tcPr>
            <w:tcW w:w="100" w:type="dxa"/>
            <w:vAlign w:val="bottom"/>
            <w:shd w:val="clear" w:color="auto" w:fill="CCEEFF"/>
          </w:tcPr>
          <w:p>
            <w:pPr>
              <w:spacing w:after="0"/>
              <w:rPr>
                <w:sz w:val="21"/>
                <w:szCs w:val="21"/>
                <w:color w:val="auto"/>
              </w:rPr>
            </w:pPr>
          </w:p>
        </w:tc>
      </w:tr>
      <w:tr>
        <w:trPr>
          <w:trHeight w:val="243"/>
        </w:trPr>
        <w:tc>
          <w:tcPr>
            <w:tcW w:w="410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Accelerated equity vesting</w:t>
            </w:r>
            <w:r>
              <w:rPr>
                <w:rFonts w:ascii="Arial" w:cs="Arial" w:eastAsia="Arial" w:hAnsi="Arial"/>
                <w:sz w:val="28"/>
                <w:szCs w:val="28"/>
                <w:color w:val="auto"/>
                <w:vertAlign w:val="superscript"/>
              </w:rPr>
              <w:t>(2)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12,017,659</w:t>
            </w:r>
          </w:p>
        </w:tc>
        <w:tc>
          <w:tcPr>
            <w:tcW w:w="100" w:type="dxa"/>
            <w:vAlign w:val="bottom"/>
          </w:tcPr>
          <w:p>
            <w:pPr>
              <w:spacing w:after="0"/>
              <w:rPr>
                <w:sz w:val="21"/>
                <w:szCs w:val="21"/>
                <w:color w:val="auto"/>
              </w:rPr>
            </w:pPr>
          </w:p>
        </w:tc>
      </w:tr>
      <w:tr>
        <w:trPr>
          <w:trHeight w:val="243"/>
        </w:trPr>
        <w:tc>
          <w:tcPr>
            <w:tcW w:w="144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Karole Morgan-Prager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severance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21"/>
                <w:szCs w:val="21"/>
                <w:color w:val="auto"/>
              </w:rPr>
            </w:pPr>
          </w:p>
        </w:tc>
      </w:tr>
      <w:tr>
        <w:trPr>
          <w:trHeight w:val="237"/>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Continued health coverage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r>
      <w:tr>
        <w:trPr>
          <w:trHeight w:val="249"/>
        </w:trPr>
        <w:tc>
          <w:tcPr>
            <w:tcW w:w="410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Accelerated equity vesting</w:t>
            </w:r>
            <w:r>
              <w:rPr>
                <w:rFonts w:ascii="Arial" w:cs="Arial" w:eastAsia="Arial" w:hAnsi="Arial"/>
                <w:sz w:val="28"/>
                <w:szCs w:val="28"/>
                <w:color w:val="auto"/>
                <w:vertAlign w:val="superscript"/>
              </w:rPr>
              <w:t>(2)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3,250,617</w:t>
            </w:r>
          </w:p>
        </w:tc>
        <w:tc>
          <w:tcPr>
            <w:tcW w:w="100" w:type="dxa"/>
            <w:vAlign w:val="bottom"/>
            <w:shd w:val="clear" w:color="auto" w:fill="CCEEFF"/>
          </w:tcPr>
          <w:p>
            <w:pPr>
              <w:spacing w:after="0"/>
              <w:rPr>
                <w:sz w:val="21"/>
                <w:szCs w:val="21"/>
                <w:color w:val="auto"/>
              </w:rPr>
            </w:pPr>
          </w:p>
        </w:tc>
      </w:tr>
      <w:tr>
        <w:trPr>
          <w:trHeight w:val="175"/>
        </w:trPr>
        <w:tc>
          <w:tcPr>
            <w:tcW w:w="144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hanging="355"/>
        <w:spacing w:after="0"/>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qualifying termination of employment is considered “in connection with a change of control” if such termination occurs within the period commencing three</w:t>
      </w:r>
    </w:p>
    <w:p>
      <w:pPr>
        <w:spacing w:after="0" w:line="24"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4"/>
          <w:szCs w:val="14"/>
          <w:color w:val="auto"/>
        </w:rPr>
        <w:t>(3) months before and ending twelve (12) months (or twenty-four (24) months for Ms. Tucker) after a “change of control”.</w:t>
      </w:r>
    </w:p>
    <w:p>
      <w:pPr>
        <w:spacing w:after="0" w:line="97" w:lineRule="exact"/>
        <w:rPr>
          <w:rFonts w:ascii="Arial" w:cs="Arial" w:eastAsia="Arial" w:hAnsi="Arial"/>
          <w:sz w:val="13"/>
          <w:szCs w:val="13"/>
          <w:color w:val="auto"/>
        </w:rPr>
      </w:pPr>
    </w:p>
    <w:p>
      <w:pPr>
        <w:ind w:left="360" w:right="120" w:hanging="355"/>
        <w:spacing w:after="0" w:line="252"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purposes of valuing accelerated vesting, the values indicated in the table are calculated, with respect to stock options, as the aggregate difference between $51.56, the closing price of a share of our common stock on December 30, 2019 (the last trading day of 2019), and the exercise price of the applicable option, multiplied by the number of unvested shares accelerated, and, with respect to time-based RSUs, $51.56 multiplied by the number of unvested RSUs accelerated.</w:t>
      </w:r>
    </w:p>
    <w:p>
      <w:pPr>
        <w:spacing w:after="0" w:line="79" w:lineRule="exact"/>
        <w:rPr>
          <w:rFonts w:ascii="Arial" w:cs="Arial" w:eastAsia="Arial" w:hAnsi="Arial"/>
          <w:sz w:val="14"/>
          <w:szCs w:val="14"/>
          <w:color w:val="auto"/>
        </w:rPr>
      </w:pPr>
    </w:p>
    <w:p>
      <w:pPr>
        <w:ind w:left="360" w:right="40" w:hanging="355"/>
        <w:spacing w:after="0" w:line="268"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Pursuant to the terms of the Performance-Based Option: (1) upon a change of control if the Performance Option is not assumed or substituted for, $18,133,968 of the Performance-Based Option will vest and accelerate or (2) upon a change of control if the Performance Option is assumed and substituted for and cumulative annual recurring revenue thresholds are achieved as described in the “2016 CEO Performance-Based Equity Award” section above, $17,756,177 of the Performance-Based Option will accelerate vesting on such change of control and $377,791 of the Performance-Based Option will accelerate vesting upon a qualifying termination in connection with such change of control. For purposes of valuing accelerated vesting, the values indicated in this footnote (3) are calculated as the aggregate difference between $51.56, the closing price of a share of our common stock on December 31, 2019 (the last trading day of 2019), and the exercise price of the applicable option, multiplied by the number of unvested shares accelerated under each circumstance.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Therese Tucker</w:t>
      </w:r>
    </w:p>
    <w:p>
      <w:pPr>
        <w:spacing w:after="0" w:line="117"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We entered into an employment agreement with Ms. Tucker that provides for change of control and severance benefits under certain circumstances. See “Executive Employment Arrangements—</w:t>
      </w:r>
      <w:r>
        <w:rPr>
          <w:rFonts w:ascii="Arial" w:cs="Arial" w:eastAsia="Arial" w:hAnsi="Arial"/>
          <w:sz w:val="17"/>
          <w:szCs w:val="17"/>
          <w:i w:val="1"/>
          <w:iCs w:val="1"/>
          <w:color w:val="auto"/>
        </w:rPr>
        <w:t>Therese Tucker</w:t>
      </w:r>
      <w:r>
        <w:rPr>
          <w:rFonts w:ascii="Arial" w:cs="Arial" w:eastAsia="Arial" w:hAnsi="Arial"/>
          <w:sz w:val="17"/>
          <w:szCs w:val="17"/>
          <w:color w:val="auto"/>
        </w:rPr>
        <w:t>” for further details.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Partin, Marc Huffman, and Karole Morgan-Prager</w:t>
      </w:r>
    </w:p>
    <w:p>
      <w:pPr>
        <w:spacing w:after="0" w:line="117" w:lineRule="exact"/>
        <w:rPr>
          <w:sz w:val="20"/>
          <w:szCs w:val="20"/>
          <w:color w:val="auto"/>
        </w:rPr>
      </w:pPr>
    </w:p>
    <w:p>
      <w:pPr>
        <w:ind w:right="240" w:firstLine="360"/>
        <w:spacing w:after="0" w:line="263" w:lineRule="auto"/>
        <w:rPr>
          <w:sz w:val="20"/>
          <w:szCs w:val="20"/>
          <w:color w:val="auto"/>
        </w:rPr>
      </w:pPr>
      <w:r>
        <w:rPr>
          <w:rFonts w:ascii="Arial" w:cs="Arial" w:eastAsia="Arial" w:hAnsi="Arial"/>
          <w:sz w:val="18"/>
          <w:szCs w:val="18"/>
          <w:color w:val="auto"/>
        </w:rPr>
        <w:t>Our board of directors approved the following change of control and severance benefits for our executive officers (including Messrs. Huffman and Partin and Ms. Morgan-Prager) and other key employees, other than Ms. Tucker, that are set forth in our Policy:</w:t>
      </w:r>
    </w:p>
    <w:p>
      <w:pPr>
        <w:spacing w:after="0" w:line="76" w:lineRule="exact"/>
        <w:rPr>
          <w:sz w:val="20"/>
          <w:szCs w:val="20"/>
          <w:color w:val="auto"/>
        </w:rPr>
      </w:pPr>
    </w:p>
    <w:p>
      <w:pPr>
        <w:jc w:val="both"/>
        <w:ind w:right="180" w:firstLine="360"/>
        <w:spacing w:after="0" w:line="259" w:lineRule="auto"/>
        <w:rPr>
          <w:sz w:val="20"/>
          <w:szCs w:val="20"/>
          <w:color w:val="auto"/>
        </w:rPr>
      </w:pPr>
      <w:r>
        <w:rPr>
          <w:rFonts w:ascii="Arial" w:cs="Arial" w:eastAsia="Arial" w:hAnsi="Arial"/>
          <w:sz w:val="18"/>
          <w:szCs w:val="18"/>
          <w:color w:val="auto"/>
        </w:rPr>
        <w:t>If we terminate an executive officer’s employment other than for “cause,” death or “disability” or such participant resigns for “good reason” during the period from the period beginning on a “change of control” (as such terms are defined in the Policy) and ending 12 months following a change of control (the “change of control period”), such executive officer will be eligible to receive the following severance benefits (less applicable tax withholdings):</w:t>
      </w:r>
    </w:p>
    <w:p>
      <w:pPr>
        <w:spacing w:after="0" w:line="79" w:lineRule="exact"/>
        <w:rPr>
          <w:sz w:val="20"/>
          <w:szCs w:val="20"/>
          <w:color w:val="auto"/>
        </w:rPr>
      </w:pPr>
    </w:p>
    <w:p>
      <w:pPr>
        <w:ind w:left="700" w:right="200" w:hanging="344"/>
        <w:spacing w:after="0" w:line="263"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executive officer’s then-outstanding and unvested equity awards granted in 2018 and 2019 or in connection with his or her hiring or promotion, as applicable, will become fully vested and exercisable and any applicable performance goals will be deemed achieved at 100% of target levels;</w:t>
      </w:r>
    </w:p>
    <w:p>
      <w:pPr>
        <w:spacing w:after="0" w:line="75" w:lineRule="exact"/>
        <w:rPr>
          <w:rFonts w:ascii="Arial" w:cs="Arial" w:eastAsia="Arial" w:hAnsi="Arial"/>
          <w:sz w:val="18"/>
          <w:szCs w:val="18"/>
          <w:color w:val="auto"/>
        </w:rPr>
      </w:pPr>
    </w:p>
    <w:p>
      <w:pPr>
        <w:ind w:left="700" w:right="100" w:hanging="344"/>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cash amount equal to six months of the executive officer’s base salary in effect immediately prior to the termination (or if the termination is due to a resignation for good reason based on a material reduction in base salary, then the executive officer’s annual base salary in effect immediately prior to such reduction) or the change of control, whichever is greater; and</w:t>
      </w:r>
    </w:p>
    <w:p>
      <w:pPr>
        <w:spacing w:after="0" w:line="78" w:lineRule="exact"/>
        <w:rPr>
          <w:rFonts w:ascii="Arial" w:cs="Arial" w:eastAsia="Arial" w:hAnsi="Arial"/>
          <w:sz w:val="18"/>
          <w:szCs w:val="18"/>
          <w:color w:val="auto"/>
        </w:rPr>
      </w:pPr>
    </w:p>
    <w:p>
      <w:pPr>
        <w:ind w:left="700" w:right="460" w:hanging="344"/>
        <w:spacing w:after="0" w:line="263"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the executive officer and the executive officer’s eligible dependents under COBRA for a period of up to six months or a taxable lump sum payment in lieu of payment or reimbursement, as applicable.</w:t>
      </w:r>
    </w:p>
    <w:p>
      <w:pPr>
        <w:spacing w:after="0" w:line="76"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If we terminate an executive officer’s employment other than for “cause,” death, or “disability” outside of the change of control period, such executive officer will be eligible to receive the following severance benefits (less applicable tax withholdings):</w:t>
      </w:r>
    </w:p>
    <w:p>
      <w:pPr>
        <w:spacing w:after="0" w:line="16" w:lineRule="exact"/>
        <w:rPr>
          <w:sz w:val="20"/>
          <w:szCs w:val="20"/>
          <w:color w:val="auto"/>
        </w:rPr>
      </w:pPr>
    </w:p>
    <w:p>
      <w:pPr>
        <w:ind w:left="700" w:right="460" w:hanging="344"/>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cash amount equal to six months of the executive officer’s base salary in effect immediately prior to the termination; and</w:t>
      </w:r>
    </w:p>
    <w:p>
      <w:pPr>
        <w:spacing w:after="0" w:line="62" w:lineRule="exact"/>
        <w:rPr>
          <w:rFonts w:ascii="Arial" w:cs="Arial" w:eastAsia="Arial" w:hAnsi="Arial"/>
          <w:sz w:val="18"/>
          <w:szCs w:val="18"/>
          <w:color w:val="auto"/>
        </w:rPr>
      </w:pPr>
    </w:p>
    <w:p>
      <w:pPr>
        <w:ind w:left="700" w:right="460" w:hanging="344"/>
        <w:spacing w:after="0" w:line="263"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the executive officer and the executive officer’s eligible dependents under COBRA for a period of up to six months or a taxable lump sum payment in lieu of payment or reimbursement, as applicable.</w:t>
      </w:r>
    </w:p>
    <w:p>
      <w:pPr>
        <w:spacing w:after="0" w:line="76"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To receive the severance benefits upon a qualifying termination, an executive officer must sign and not revoke our standard separation agreement and release of claims within the timeframe set forth in the Policy. If any of the payments provided for under the Policy or otherwise payable to an executive officer would constitute “parachute payments” within the meaning of Section 280G of the Code and would be subject to the related excise tax under Section 4999 of the Code, then the executive officer will be entitled to receive either full payment of benefits or such lesser amount which would result in no portion of the benefits being subject to the excise tax, whichever results in the greater amount of after-tax benefits to him or her. The Policy does not require us to provide any tax gross-up payments to any executive officer.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20" w:firstLine="360"/>
        <w:spacing w:after="0" w:line="263"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2019. Information is included for equity compensation plans approved by our stockholders. We do not have any non-stockholder approved equity compensation plans.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(c) Number of</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Securities</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Available for</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(a) Number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Future</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of Securities</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(b) Weighted-</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Issuance</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to be Issued</w:t>
            </w:r>
          </w:p>
        </w:tc>
        <w:tc>
          <w:tcPr>
            <w:tcW w:w="1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Under Equity</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Upon</w:t>
            </w:r>
          </w:p>
        </w:tc>
        <w:tc>
          <w:tcPr>
            <w:tcW w:w="1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Compensation</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Price of</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Plans</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(excluding</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Options,</w:t>
            </w:r>
          </w:p>
        </w:tc>
        <w:tc>
          <w:tcPr>
            <w:tcW w:w="1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Options,</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securities</w:t>
            </w:r>
          </w:p>
        </w:tc>
      </w:tr>
      <w:tr>
        <w:trPr>
          <w:trHeight w:val="162"/>
        </w:trPr>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Warrants</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reflected in</w:t>
            </w:r>
          </w:p>
        </w:tc>
      </w:tr>
      <w:tr>
        <w:trPr>
          <w:trHeight w:val="178"/>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and Rights</w:t>
            </w:r>
          </w:p>
        </w:tc>
        <w:tc>
          <w:tcPr>
            <w:tcW w:w="200" w:type="dxa"/>
            <w:vAlign w:val="bottom"/>
            <w:gridSpan w:val="2"/>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100" w:type="dxa"/>
            <w:vAlign w:val="bottom"/>
          </w:tcPr>
          <w:p>
            <w:pPr>
              <w:spacing w:after="0"/>
              <w:rPr>
                <w:sz w:val="15"/>
                <w:szCs w:val="15"/>
                <w:color w:val="auto"/>
              </w:rPr>
            </w:pPr>
          </w:p>
        </w:tc>
      </w:tr>
      <w:tr>
        <w:trPr>
          <w:trHeight w:val="243"/>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gridSpan w:val="5"/>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3,486,352</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17"/>
                <w:szCs w:val="17"/>
                <w:color w:val="auto"/>
              </w:rPr>
              <w:t>26.92</w:t>
            </w:r>
            <w:r>
              <w:rPr>
                <w:rFonts w:ascii="Arial" w:cs="Arial" w:eastAsia="Arial" w:hAnsi="Arial"/>
                <w:sz w:val="28"/>
                <w:szCs w:val="28"/>
                <w:color w:val="auto"/>
                <w:vertAlign w:val="superscript"/>
              </w:rPr>
              <w:t>(2)</w:t>
            </w: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0"/>
              <w:spacing w:after="0" w:line="243" w:lineRule="exact"/>
              <w:rPr>
                <w:sz w:val="20"/>
                <w:szCs w:val="20"/>
                <w:color w:val="auto"/>
              </w:rPr>
            </w:pPr>
            <w:r>
              <w:rPr>
                <w:rFonts w:ascii="Arial" w:cs="Arial" w:eastAsia="Arial" w:hAnsi="Arial"/>
                <w:sz w:val="17"/>
                <w:szCs w:val="17"/>
                <w:color w:val="auto"/>
              </w:rPr>
              <w:t>12,172,192</w:t>
            </w:r>
            <w:r>
              <w:rPr>
                <w:rFonts w:ascii="Arial" w:cs="Arial" w:eastAsia="Arial" w:hAnsi="Arial"/>
                <w:sz w:val="28"/>
                <w:szCs w:val="28"/>
                <w:color w:val="auto"/>
                <w:vertAlign w:val="superscript"/>
              </w:rPr>
              <w:t>(3)</w:t>
            </w:r>
          </w:p>
        </w:tc>
      </w:tr>
      <w:tr>
        <w:trPr>
          <w:trHeight w:val="236"/>
        </w:trPr>
        <w:tc>
          <w:tcPr>
            <w:tcW w:w="58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r>
      <w:tr>
        <w:trPr>
          <w:trHeight w:val="277"/>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3,486,352</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26.92</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12,172,192</w:t>
            </w:r>
          </w:p>
        </w:tc>
        <w:tc>
          <w:tcPr>
            <w:tcW w:w="100" w:type="dxa"/>
            <w:vAlign w:val="bottom"/>
            <w:shd w:val="clear" w:color="auto" w:fill="CCEEFF"/>
          </w:tcPr>
          <w:p>
            <w:pPr>
              <w:spacing w:after="0"/>
              <w:rPr>
                <w:sz w:val="24"/>
                <w:szCs w:val="24"/>
                <w:color w:val="auto"/>
              </w:rPr>
            </w:pPr>
          </w:p>
        </w:tc>
      </w:tr>
      <w:tr>
        <w:trPr>
          <w:trHeight w:val="175"/>
        </w:trPr>
        <w:tc>
          <w:tcPr>
            <w:tcW w:w="1440" w:type="dxa"/>
            <w:vAlign w:val="bottom"/>
            <w:tcBorders>
              <w:top w:val="single" w:sz="8" w:color="CCEEFF"/>
              <w:bottom w:val="single" w:sz="8" w:color="auto"/>
            </w:tcBorders>
          </w:tcPr>
          <w:p>
            <w:pPr>
              <w:spacing w:after="0"/>
              <w:rPr>
                <w:sz w:val="15"/>
                <w:szCs w:val="15"/>
                <w:color w:val="auto"/>
              </w:rPr>
            </w:pPr>
          </w:p>
        </w:tc>
        <w:tc>
          <w:tcPr>
            <w:tcW w:w="44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jc w:val="both"/>
        <w:ind w:left="360" w:right="140" w:hanging="355"/>
        <w:spacing w:after="0" w:line="257"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consists of options to purchase shares of our common stock under our 2016 Plan and 2014 Plan that contain service-only vesting conditions. The amount excludes options granted to purchase 682,800 shares of common stock at an exercise price of $14.00 per share to two executive officers during fiscal 2016 that vest upon meeting certain performance conditions and continued service.</w:t>
      </w:r>
    </w:p>
    <w:p>
      <w:pPr>
        <w:spacing w:after="0" w:line="76" w:lineRule="exact"/>
        <w:rPr>
          <w:rFonts w:ascii="Arial" w:cs="Arial" w:eastAsia="Arial" w:hAnsi="Arial"/>
          <w:sz w:val="14"/>
          <w:szCs w:val="14"/>
          <w:color w:val="auto"/>
        </w:rPr>
      </w:pPr>
    </w:p>
    <w:p>
      <w:pPr>
        <w:ind w:left="360" w:right="100" w:hanging="355"/>
        <w:spacing w:after="0" w:line="273"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Indicates a weighted average price for outstanding options to purchase 3,486,352 shares of our common stock under our 2016 Plan and 2014 Plan that contain service-only vesting conditions.</w:t>
      </w:r>
    </w:p>
    <w:p>
      <w:pPr>
        <w:spacing w:after="0" w:line="65" w:lineRule="exact"/>
        <w:rPr>
          <w:rFonts w:ascii="Arial" w:cs="Arial" w:eastAsia="Arial" w:hAnsi="Arial"/>
          <w:sz w:val="14"/>
          <w:szCs w:val="14"/>
          <w:color w:val="auto"/>
        </w:rPr>
      </w:pPr>
    </w:p>
    <w:p>
      <w:pPr>
        <w:ind w:left="360" w:hanging="355"/>
        <w:spacing w:after="0" w:line="270"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10,823,647 shares of our common stock reserved for issuance under our 2016 Plan and 1,348,545 shares of our common stock reserved for issuance under our 2018 Employee Stock Purchase Plan. Our 2016 Plan provides that on the first day of each fiscal year beginning with the 2017 fiscal year, the number of shares of our common stock available for issuance thereunder will be increased in an amount equal to the least of (i) 6,196,000 shares, (ii) 5% of the total number of shares of our common stock outstanding on the last day of the immediately preceding fiscal year or (iii) a lower number of shares determined by our board of directors or a committee thereof. On January 1, 2020, the number of shares of our common stock reserved for issuance under our 2016 plan increased by 2,796,549 shares pursuant to this provision. This increase is not reflected in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Measurement Date</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identified the median employee using our employee population on November 1, 2019 (including all employees, whether employed on a full-time, part-time, seasonal or temporary basis).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11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b) annual target cash incentive opportunity, and c) the estimated grant date fair value for equity awards granted as of November 1, 2019. In identifying the median employee, we converted compensation amounts paid in foreign currencies based on the applicable year-to-date average exchange rate as of November 1, 2019, and annualized the compensation values of individuals that joined our company during 2019. We did not exclude workers in non-U.S. countries and did not make any cost-of-living adjustments.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117"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After applying our CACM methodology, we identified the median employee. Once the median employee was identified, we calculated the median employee’s annual target total direct compensation in accordance with the requirements of the Summary Compensation Table.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Our median employee compensation as calculated using Summary Compensation Table requirements was $176,747. Our Chief Executive Officer’s compensation as reported in the Summary Compensation Table was $22,552,158. Therefore, our CEO Pay Ratio for 2019 is approximately 128 to 1.</w:t>
      </w:r>
    </w:p>
    <w:p>
      <w:pPr>
        <w:spacing w:after="0" w:line="76"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Alternate Pay Ratio</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As discussed in footnotes 2 and 5 to the Summary Compensation Table, a portion of our Chief Executive Officer’s 2019 Summary Compensation Table compensation was related to a performance-based option grant made in 2016. As explained, we think that the performance-based option is highly unlikely to be earned, and that a more accurate view of her total 2019 compensation would exclude amounts related to that 2016 performance-based option grant. Using that alternate total compensation for our Chief Executive Officer would result in a CEO Pay Ratio calculated as follows:</w:t>
      </w:r>
    </w:p>
    <w:p>
      <w:pPr>
        <w:spacing w:after="0" w:line="80" w:lineRule="exact"/>
        <w:rPr>
          <w:sz w:val="20"/>
          <w:szCs w:val="20"/>
          <w:color w:val="auto"/>
        </w:rPr>
      </w:pPr>
    </w:p>
    <w:p>
      <w:pPr>
        <w:ind w:left="360" w:right="40"/>
        <w:spacing w:after="0" w:line="263" w:lineRule="auto"/>
        <w:rPr>
          <w:sz w:val="20"/>
          <w:szCs w:val="20"/>
          <w:color w:val="auto"/>
        </w:rPr>
      </w:pPr>
      <w:r>
        <w:rPr>
          <w:rFonts w:ascii="Arial" w:cs="Arial" w:eastAsia="Arial" w:hAnsi="Arial"/>
          <w:sz w:val="18"/>
          <w:szCs w:val="18"/>
          <w:color w:val="auto"/>
        </w:rPr>
        <w:t>Our median employee compensation as calculated using Summary Compensation Table requirements was $176,747. Our Chief Executive Officer’s alternate total compensation as reported in the Summary Compensation Table was $5,638,016. Therefore, our Alternate CEO Pay Ratio for 2019 is approximately 32 to 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right="280" w:firstLine="360"/>
        <w:spacing w:after="0" w:line="255" w:lineRule="auto"/>
        <w:rPr>
          <w:sz w:val="20"/>
          <w:szCs w:val="20"/>
          <w:color w:val="auto"/>
        </w:rPr>
      </w:pPr>
      <w:r>
        <w:rPr>
          <w:rFonts w:ascii="Arial" w:cs="Arial" w:eastAsia="Arial" w:hAnsi="Arial"/>
          <w:sz w:val="18"/>
          <w:szCs w:val="18"/>
          <w:color w:val="auto"/>
        </w:rPr>
        <w:t>The following is a summary of transactions since January 1, 2019 to which we have been or will be a party, in which the amount involved exceeded or will exceed $120,000, and in which any of our executive officers, directors, nominees for director, promoters or beneficial holders of more than 5% of any class of our capital stock, or any immediate family member of, or person sharing the household with, any of these individuals or entities, had or will have a direct or indirect material interest, other than compensation arrangements which are described under the section of this proxy statement titled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are party to the Stockholders’ Agreement, which contains specific rights, obligations and agreements of our Stockholder Parties as owners of our common stock. In addition, the Stockholders’ Agreement contains provisions related to the composition of our board of directors, which are discussed under the section titled “</w:t>
      </w:r>
      <w:r>
        <w:rPr>
          <w:rFonts w:ascii="Arial" w:cs="Arial" w:eastAsia="Arial" w:hAnsi="Arial"/>
          <w:sz w:val="18"/>
          <w:szCs w:val="18"/>
          <w:i w:val="1"/>
          <w:iCs w:val="1"/>
          <w:color w:val="auto"/>
        </w:rPr>
        <w:t>Board of Directors and Corporate Governance—Composition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Board</w:t>
      </w:r>
      <w:r>
        <w:rPr>
          <w:rFonts w:ascii="Arial" w:cs="Arial" w:eastAsia="Arial" w:hAnsi="Arial"/>
          <w:sz w:val="18"/>
          <w:szCs w:val="18"/>
          <w:color w:val="auto"/>
        </w:rPr>
        <w:t>.”</w:t>
      </w:r>
    </w:p>
    <w:p>
      <w:pPr>
        <w:spacing w:after="0" w:line="75" w:lineRule="exact"/>
        <w:rPr>
          <w:sz w:val="20"/>
          <w:szCs w:val="20"/>
          <w:color w:val="auto"/>
        </w:rPr>
      </w:pPr>
    </w:p>
    <w:p>
      <w:pPr>
        <w:ind w:right="120" w:firstLine="360"/>
        <w:spacing w:after="0" w:line="298" w:lineRule="auto"/>
        <w:rPr>
          <w:sz w:val="20"/>
          <w:szCs w:val="20"/>
          <w:color w:val="auto"/>
        </w:rPr>
      </w:pPr>
      <w:r>
        <w:rPr>
          <w:rFonts w:ascii="Arial" w:cs="Arial" w:eastAsia="Arial" w:hAnsi="Arial"/>
          <w:sz w:val="16"/>
          <w:szCs w:val="16"/>
          <w:b w:val="1"/>
          <w:bCs w:val="1"/>
          <w:color w:val="auto"/>
        </w:rPr>
        <w:t xml:space="preserve">Voting Agreement. </w:t>
      </w:r>
      <w:r>
        <w:rPr>
          <w:rFonts w:ascii="Arial" w:cs="Arial" w:eastAsia="Arial" w:hAnsi="Arial"/>
          <w:sz w:val="16"/>
          <w:szCs w:val="16"/>
          <w:color w:val="auto"/>
        </w:rPr>
        <w:t>Under the Stockholders’ Agreement, our Stockholder Parties have agreed to take all necessary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casting all votes to which such existing owners are entitled to cast at any annual or special meeting of stockholders, so as to ensure that the composition of our board of directors and its committees complies with (and includes all of the nominees in accordance with) the provisions of the Stockholders’ Agreement related to the composition of our board of directors, which are discussed under the section titled “</w:t>
      </w:r>
      <w:r>
        <w:rPr>
          <w:rFonts w:ascii="Arial" w:cs="Arial" w:eastAsia="Arial" w:hAnsi="Arial"/>
          <w:sz w:val="16"/>
          <w:szCs w:val="16"/>
          <w:i w:val="1"/>
          <w:iCs w:val="1"/>
          <w:color w:val="auto"/>
        </w:rPr>
        <w:t>Board of Directors and Corporate Governance—Composition of the Board</w:t>
      </w:r>
      <w:r>
        <w:rPr>
          <w:rFonts w:ascii="Arial" w:cs="Arial" w:eastAsia="Arial" w:hAnsi="Arial"/>
          <w:sz w:val="16"/>
          <w:szCs w:val="16"/>
          <w:color w:val="auto"/>
        </w:rPr>
        <w: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are party to an Amended and Restated Registration Rights Agreement with our Stockholder Parties, dated as of October 27, 2016, or the Registration Rights Agreement. Under the Registration Rights Agreement our Stockholder Parties are entitled to rights with respect to the registration of their shares under the Securities Act. We will pay the registration expenses (other than underwriting discounts and commissions and stock transfer taxes) of the holders of the shares registered pursuant to the registrations described below.</w:t>
      </w:r>
    </w:p>
    <w:p>
      <w:pPr>
        <w:spacing w:after="0" w:line="80"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Following our secondary offering on March 9, 2019, Silver Lake Sumeru no longer owns shares of our common stock and is not entitled to registration rights. To be entitled to certain S-3 registration rights, Iconiq and Mr. Spanicciati must hold at least 3% or 5%, respectively, of our common shares issued and outstanding at the time of such request.</w:t>
      </w:r>
    </w:p>
    <w:p>
      <w:pPr>
        <w:spacing w:after="0" w:line="7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Ms. Tucker is entitled to certain S-3 registration rights on one or more occasions. In addition, if Ms. Tucker proposes to register the offer and sale of our capital stock under the Securities Act, Iconiq and Mr. Spanicciati will be entitled to certain “piggyback” registration rights allowing the holders to include their shares in such registration, subject to certain marketing and other limitations set forth in the registration rights agreement. If we proposed to register the offer and sale of our capital stock under the Securities Act, each of Iconiq, Ms. Tucker and Mr. Spanicciati would be entitled to similar “piggyback” registration rights as well. On November 13, 2017, we filed a shelf registration statement on Form S-3 for the sale of 33,738,329 shares of our common stock then held by our Stockholder Parties and for the sale of up $100,000,000 of any combination of our common stock, preferred stock, depositary shares, debt securities, warrants, subscription rights and units. This registration statement was declared effective by the SEC on November 17, 2017.</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registration rights described above apply to (i) shares of our common stock held by our Stockholder Parties and their respective affiliates, and (ii) any of our capital stock (or that of our subsidiaries) issued or issuable with respect to the common stock described in clause (i) with respect to any dividend, distribution, recapitalization, reorganization, or certain other corporate transactions, or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will cease to be Registrable Securities if they can be sold without limitation under Rule 144 of the Securities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Arrangement</w:t>
      </w:r>
    </w:p>
    <w:p>
      <w:pPr>
        <w:spacing w:after="0" w:line="117" w:lineRule="exact"/>
        <w:rPr>
          <w:sz w:val="20"/>
          <w:szCs w:val="20"/>
          <w:color w:val="auto"/>
        </w:rPr>
      </w:pPr>
    </w:p>
    <w:p>
      <w:pPr>
        <w:jc w:val="both"/>
        <w:ind w:right="140" w:firstLine="360"/>
        <w:spacing w:after="0" w:line="255" w:lineRule="auto"/>
        <w:rPr>
          <w:sz w:val="20"/>
          <w:szCs w:val="20"/>
          <w:color w:val="auto"/>
        </w:rPr>
      </w:pPr>
      <w:r>
        <w:rPr>
          <w:rFonts w:ascii="Arial" w:cs="Arial" w:eastAsia="Arial" w:hAnsi="Arial"/>
          <w:sz w:val="18"/>
          <w:szCs w:val="18"/>
          <w:color w:val="auto"/>
        </w:rPr>
        <w:t>Isaac Tucker, who is the son of Ms. Tucker, our Chief Executive Officer, has been employed by us since 2006 and currently serves as Chief Product Officer. His 2019 total cash compensation, which is comprised of a base salary and bonus, was $466,275, and was in line with similar roles at the company and similarly situated executives in our competitive market. In 2019, Mr. Tucker was also paid $48,460 for earned and unused days of paid time off in connection with our transition to an unlimited PTO structure, and received equity awards with a total grant date fair value of $935,230, which awards vest over a four-year period subject to his continued service to us.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17"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our directors and executive officers for monetary damages for breach of their fiduciary duties as directors or officers. Our amended and restated certificate of incorporation and amended and restated bylaws provide that we must indemnify our directors and executive officers and may indemnify our employees and other agents to the fullest extent permitted by the General Corporation Law of the State of Delaware.</w:t>
      </w:r>
    </w:p>
    <w:p>
      <w:pPr>
        <w:spacing w:after="0" w:line="5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Section 145 of the General Corporation Law of the State of Delaware provides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70"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We have entered into indemnification agreements with our directors and executive officers, in addition to the indemnification provided for in our amended and restated certificate of incorporation and amended and restated bylaws, and intend to enter into indemnification agreements with any new directors and executive officers in the future.</w:t>
      </w:r>
    </w:p>
    <w:p>
      <w:pPr>
        <w:spacing w:after="0" w:line="57"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We have purchased and intend to maintain insurance on behalf of each and any person who is or was one of our directors or officers against any loss arising from any claim asserted against him or her and incurred by him or her in any such capacity, subject to certain exclusions.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In connection with our initial public offering, our audit committee and our board of directors approved a Related Party Transactions Policy which provides that our audit committee is responsible for reviewing and approving any related party transaction, taking into account whether the transaction is on an arms-length basis, whether there are business reasons for the transaction, whether the transaction would impair a director’s independence and whether the related party transaction would present an improper conflict of interest. The Related Party Transaction Policy applies to any transaction, arrangement or relationship, or any series of similar transactions, arrangements or relationships, in which we are to be a participant, the amount involved exceeds $120,000 and a related person had or will have a direct or indirect material interest. Our full board of directors (with any interested director recusing him or herself) reviewed and approved our related party transactions prior to our initial public offering and following our initial public offering, our audit committee will approve all of our related party transactions.</w:t>
      </w:r>
    </w:p>
    <w:p>
      <w:pPr>
        <w:spacing w:after="0" w:line="58" w:lineRule="exact"/>
        <w:rPr>
          <w:sz w:val="20"/>
          <w:szCs w:val="20"/>
          <w:color w:val="auto"/>
        </w:rPr>
      </w:pPr>
    </w:p>
    <w:p>
      <w:pPr>
        <w:jc w:val="both"/>
        <w:ind w:right="360" w:firstLine="360"/>
        <w:spacing w:after="0" w:line="311" w:lineRule="auto"/>
        <w:rPr>
          <w:sz w:val="20"/>
          <w:szCs w:val="20"/>
          <w:color w:val="auto"/>
        </w:rPr>
      </w:pPr>
      <w:r>
        <w:rPr>
          <w:rFonts w:ascii="Arial" w:cs="Arial" w:eastAsia="Arial" w:hAnsi="Arial"/>
          <w:sz w:val="16"/>
          <w:szCs w:val="16"/>
          <w:color w:val="auto"/>
        </w:rPr>
        <w:t>We believe that we have executed all the transactions described above on terms no less favorable to us than we could have obtained from unaffiliated third parties. It is our intention to ensure that all future related party transactions are approved by our audit committee, and are on terms no less favorable to us than those that we could obtain from unaffiliated third parties.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SECURITY OWNERSHIP</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beneficial ownership of our capital stock as of March 16, 2020 by:</w:t>
      </w:r>
    </w:p>
    <w:p>
      <w:pPr>
        <w:spacing w:after="0" w:line="117" w:lineRule="exact"/>
        <w:rPr>
          <w:sz w:val="20"/>
          <w:szCs w:val="20"/>
          <w:color w:val="auto"/>
        </w:rPr>
      </w:pPr>
    </w:p>
    <w:p>
      <w:pPr>
        <w:ind w:left="700" w:hanging="344"/>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be the beneficial owner of more than 5% of our common stock;</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17"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Applicable percentage ownership is based on 56,377,481 shares of our common stock outstanding at March 16, 2020. Shares of common stock issuable upon the exercise of stock options exercisable or pursuant to RSUs that are subject to vesting conditions within 60 days of March 16, 2020, are deemed to be outstanding and beneficially owned by the person holding the options, or the RSUs, for the purpose of computing the percentage of beneficial ownership of that person and any group of which that person is a member, but are not deemed outstanding for the purpose of computing the percentage of beneficial ownership for any other person.</w:t>
      </w:r>
    </w:p>
    <w:p>
      <w:pPr>
        <w:spacing w:after="0" w:line="53"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Unless otherwise indicated in the footnotes below, each stockholder named in the following table possesses sole voting and investment power over the shares listed. The information does not necessarily indicate beneficial ownership for any other purpose. Unless otherwise noted below, the address of each person listed on the table is c/o BlackLine, Inc., 21300 Victory Boulevard, 12th Floor, Woodland Hills, CA 91367.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r>
      <w:tr>
        <w:trPr>
          <w:trHeight w:val="189"/>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Greater than 5% Stockholders:</w:t>
            </w: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420" w:type="dxa"/>
            <w:vAlign w:val="bottom"/>
            <w:gridSpan w:val="2"/>
          </w:tcPr>
          <w:p>
            <w:pPr>
              <w:spacing w:after="0" w:line="243" w:lineRule="exact"/>
              <w:rPr>
                <w:sz w:val="20"/>
                <w:szCs w:val="20"/>
                <w:color w:val="auto"/>
              </w:rPr>
            </w:pPr>
            <w:r>
              <w:rPr>
                <w:rFonts w:ascii="Arial" w:cs="Arial" w:eastAsia="Arial" w:hAnsi="Arial"/>
                <w:sz w:val="17"/>
                <w:szCs w:val="17"/>
                <w:color w:val="auto"/>
              </w:rPr>
              <w:t>Funds Affiliated with Vanguard</w:t>
            </w:r>
            <w:r>
              <w:rPr>
                <w:rFonts w:ascii="Arial" w:cs="Arial" w:eastAsia="Arial" w:hAnsi="Arial"/>
                <w:sz w:val="28"/>
                <w:szCs w:val="28"/>
                <w:color w:val="auto"/>
                <w:vertAlign w:val="superscript"/>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4,103,849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7.28%</w:t>
            </w:r>
          </w:p>
        </w:tc>
      </w:tr>
      <w:tr>
        <w:trPr>
          <w:trHeight w:val="243"/>
        </w:trPr>
        <w:tc>
          <w:tcPr>
            <w:tcW w:w="74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Funds Affiliated with BlackRock</w:t>
            </w:r>
            <w:r>
              <w:rPr>
                <w:rFonts w:ascii="Arial" w:cs="Arial" w:eastAsia="Arial" w:hAnsi="Arial"/>
                <w:sz w:val="28"/>
                <w:szCs w:val="28"/>
                <w:color w:val="auto"/>
                <w:vertAlign w:val="superscript"/>
              </w:rPr>
              <w:t>(2)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3,126,886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7420" w:type="dxa"/>
            <w:vAlign w:val="bottom"/>
            <w:gridSpan w:val="2"/>
          </w:tcPr>
          <w:p>
            <w:pPr>
              <w:spacing w:after="0" w:line="243" w:lineRule="exact"/>
              <w:rPr>
                <w:sz w:val="20"/>
                <w:szCs w:val="20"/>
                <w:color w:val="auto"/>
              </w:rPr>
            </w:pPr>
            <w:r>
              <w:rPr>
                <w:rFonts w:ascii="Arial" w:cs="Arial" w:eastAsia="Arial" w:hAnsi="Arial"/>
                <w:sz w:val="17"/>
                <w:szCs w:val="17"/>
                <w:color w:val="auto"/>
              </w:rPr>
              <w:t>Funds Affiliated with Kayne Anderson Rudnick Investment Management</w:t>
            </w:r>
            <w:r>
              <w:rPr>
                <w:rFonts w:ascii="Arial" w:cs="Arial" w:eastAsia="Arial" w:hAnsi="Arial"/>
                <w:sz w:val="28"/>
                <w:szCs w:val="28"/>
                <w:color w:val="auto"/>
                <w:vertAlign w:val="superscript"/>
              </w:rPr>
              <w:t>(3)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3,966,273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2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Jason Babcoke</w:t>
            </w:r>
            <w:r>
              <w:rPr>
                <w:rFonts w:ascii="Arial" w:cs="Arial" w:eastAsia="Arial" w:hAnsi="Arial"/>
                <w:sz w:val="28"/>
                <w:szCs w:val="28"/>
                <w:color w:val="auto"/>
                <w:vertAlign w:val="superscript"/>
              </w:rPr>
              <w:t>(4)</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1,833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John Brennan</w:t>
            </w:r>
            <w:r>
              <w:rPr>
                <w:rFonts w:ascii="Arial" w:cs="Arial" w:eastAsia="Arial" w:hAnsi="Arial"/>
                <w:sz w:val="28"/>
                <w:szCs w:val="28"/>
                <w:color w:val="auto"/>
                <w:vertAlign w:val="superscript"/>
              </w:rPr>
              <w:t>(5)</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Marc Huffman</w:t>
            </w:r>
            <w:r>
              <w:rPr>
                <w:rFonts w:ascii="Arial" w:cs="Arial" w:eastAsia="Arial" w:hAnsi="Arial"/>
                <w:sz w:val="28"/>
                <w:szCs w:val="28"/>
                <w:color w:val="auto"/>
                <w:vertAlign w:val="superscript"/>
              </w:rPr>
              <w:t>(6)</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125,123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Karole Morgan-Prager</w:t>
            </w:r>
            <w:r>
              <w:rPr>
                <w:rFonts w:ascii="Arial" w:cs="Arial" w:eastAsia="Arial" w:hAnsi="Arial"/>
                <w:sz w:val="28"/>
                <w:szCs w:val="28"/>
                <w:color w:val="auto"/>
                <w:vertAlign w:val="superscript"/>
              </w:rPr>
              <w:t>(7)</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188,670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Mark Partin</w:t>
            </w:r>
            <w:r>
              <w:rPr>
                <w:rFonts w:ascii="Arial" w:cs="Arial" w:eastAsia="Arial" w:hAnsi="Arial"/>
                <w:sz w:val="28"/>
                <w:szCs w:val="28"/>
                <w:color w:val="auto"/>
                <w:vertAlign w:val="superscript"/>
              </w:rPr>
              <w:t>(8)</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412,955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Owen Ryan</w:t>
            </w:r>
            <w:r>
              <w:rPr>
                <w:rFonts w:ascii="Arial" w:cs="Arial" w:eastAsia="Arial" w:hAnsi="Arial"/>
                <w:sz w:val="28"/>
                <w:szCs w:val="28"/>
                <w:color w:val="auto"/>
                <w:vertAlign w:val="superscript"/>
              </w:rPr>
              <w:t>(9)</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Graham Smith</w:t>
            </w:r>
            <w:r>
              <w:rPr>
                <w:rFonts w:ascii="Arial" w:cs="Arial" w:eastAsia="Arial" w:hAnsi="Arial"/>
                <w:sz w:val="28"/>
                <w:szCs w:val="28"/>
                <w:color w:val="auto"/>
                <w:vertAlign w:val="superscript"/>
              </w:rPr>
              <w:t>(10)</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106,747</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Mario Spanicciati</w:t>
            </w:r>
            <w:r>
              <w:rPr>
                <w:rFonts w:ascii="Arial" w:cs="Arial" w:eastAsia="Arial" w:hAnsi="Arial"/>
                <w:sz w:val="28"/>
                <w:szCs w:val="28"/>
                <w:color w:val="auto"/>
                <w:vertAlign w:val="superscript"/>
              </w:rPr>
              <w:t>(11)</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1,440,264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Kevin Thompson</w:t>
            </w:r>
            <w:r>
              <w:rPr>
                <w:rFonts w:ascii="Arial" w:cs="Arial" w:eastAsia="Arial" w:hAnsi="Arial"/>
                <w:sz w:val="28"/>
                <w:szCs w:val="28"/>
                <w:color w:val="auto"/>
                <w:vertAlign w:val="superscript"/>
              </w:rPr>
              <w:t>(12)</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15,492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Therese Tucker</w:t>
            </w:r>
            <w:r>
              <w:rPr>
                <w:rFonts w:ascii="Arial" w:cs="Arial" w:eastAsia="Arial" w:hAnsi="Arial"/>
                <w:sz w:val="28"/>
                <w:szCs w:val="28"/>
                <w:color w:val="auto"/>
                <w:vertAlign w:val="superscript"/>
              </w:rPr>
              <w:t>(13)</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5,239,916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Thomas Unterman</w:t>
            </w:r>
            <w:r>
              <w:rPr>
                <w:rFonts w:ascii="Arial" w:cs="Arial" w:eastAsia="Arial" w:hAnsi="Arial"/>
                <w:sz w:val="28"/>
                <w:szCs w:val="28"/>
                <w:color w:val="auto"/>
                <w:vertAlign w:val="superscript"/>
              </w:rPr>
              <w:t>(14)</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144,554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Sophia Velastegui</w:t>
            </w:r>
            <w:r>
              <w:rPr>
                <w:rFonts w:ascii="Arial" w:cs="Arial" w:eastAsia="Arial" w:hAnsi="Arial"/>
                <w:sz w:val="28"/>
                <w:szCs w:val="28"/>
                <w:color w:val="auto"/>
                <w:vertAlign w:val="superscript"/>
              </w:rPr>
              <w:t>(15)</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line="243" w:lineRule="exact"/>
              <w:rPr>
                <w:sz w:val="20"/>
                <w:szCs w:val="20"/>
                <w:color w:val="auto"/>
              </w:rPr>
            </w:pPr>
            <w:r>
              <w:rPr>
                <w:rFonts w:ascii="Arial" w:cs="Arial" w:eastAsia="Arial" w:hAnsi="Arial"/>
                <w:sz w:val="17"/>
                <w:szCs w:val="17"/>
                <w:color w:val="auto"/>
              </w:rPr>
              <w:t>Mika Yamamoto</w:t>
            </w:r>
            <w:r>
              <w:rPr>
                <w:rFonts w:ascii="Arial" w:cs="Arial" w:eastAsia="Arial" w:hAnsi="Arial"/>
                <w:sz w:val="28"/>
                <w:szCs w:val="28"/>
                <w:color w:val="auto"/>
                <w:vertAlign w:val="superscript"/>
              </w:rPr>
              <w:t>(16)</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4,957</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All current directors and executive officers as a group (14 people)</w:t>
            </w:r>
            <w:r>
              <w:rPr>
                <w:rFonts w:ascii="Arial" w:cs="Arial" w:eastAsia="Arial" w:hAnsi="Arial"/>
                <w:sz w:val="28"/>
                <w:szCs w:val="28"/>
                <w:color w:val="auto"/>
                <w:vertAlign w:val="superscript"/>
              </w:rPr>
              <w:t>(17)</w:t>
            </w:r>
          </w:p>
        </w:tc>
        <w:tc>
          <w:tcPr>
            <w:tcW w:w="2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7,715,140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175"/>
        </w:trPr>
        <w:tc>
          <w:tcPr>
            <w:tcW w:w="1440" w:type="dxa"/>
            <w:vAlign w:val="bottom"/>
            <w:tcBorders>
              <w:bottom w:val="single" w:sz="8" w:color="auto"/>
            </w:tcBorders>
          </w:tcPr>
          <w:p>
            <w:pPr>
              <w:spacing w:after="0"/>
              <w:rPr>
                <w:sz w:val="15"/>
                <w:szCs w:val="15"/>
                <w:color w:val="auto"/>
              </w:rPr>
            </w:pP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03" w:lineRule="exact"/>
        <w:rPr>
          <w:sz w:val="20"/>
          <w:szCs w:val="20"/>
          <w:color w:val="auto"/>
        </w:rPr>
      </w:pPr>
    </w:p>
    <w:p>
      <w:pPr>
        <w:ind w:left="360" w:hanging="355"/>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09" w:lineRule="exact"/>
        <w:rPr>
          <w:sz w:val="20"/>
          <w:szCs w:val="20"/>
          <w:color w:val="auto"/>
        </w:rPr>
      </w:pPr>
    </w:p>
    <w:p>
      <w:pPr>
        <w:ind w:left="360" w:right="20" w:hanging="355"/>
        <w:spacing w:after="0" w:line="301" w:lineRule="auto"/>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a Schedule 13G filed February 12, 2020, by The Vanguard Group, or Vanguard, 100 Vanguard Blvd., Malvern, PA 19355, Vanguard may be deemed to be the beneficial owner of 4,103,849 shares of common stock, over which it has (i) sole dispositive power over 4,007,716 shares held by Vanguard, (ii) shared dispositive power over 96,133 shares, (iii) sole voting power over 90,497 shares and (iv) shared voting power over 10,722 shares. 85,411 shares are held by Vanguard Fiduciary Trust Company, a wholly-owned subsidiary of Vanguard as a result of its serving as an investment manager of collective trust accounts and 15,808 shares are held by Vanguard Investments Australia, Ltd. as a result of its serving as investment manager of Australian investment offerings.</w:t>
      </w:r>
    </w:p>
    <w:p>
      <w:pPr>
        <w:spacing w:after="0" w:line="52" w:lineRule="exact"/>
        <w:rPr>
          <w:rFonts w:ascii="Arial" w:cs="Arial" w:eastAsia="Arial" w:hAnsi="Arial"/>
          <w:sz w:val="12"/>
          <w:szCs w:val="12"/>
          <w:color w:val="auto"/>
        </w:rPr>
      </w:pPr>
    </w:p>
    <w:p>
      <w:pPr>
        <w:ind w:left="360" w:right="100" w:hanging="355"/>
        <w:spacing w:after="0" w:line="286"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a Schedule 13G filed February 10, 2020, by BlackRock, Inc., or BlackRock, 55 East 52nd Street, New York, NY 10055. BlackRock may be deemed to be the beneficial owner of 3,126,886 shares of common stock, over which it has (i) sole dispositive power over 3,126,886 shares held by BlackRock, (ii) shared dispositive power over 0 shares, (iii) sole voting power over 3,052,734 shares and (iv) shared voting power over 0 shares.</w:t>
      </w:r>
    </w:p>
    <w:p>
      <w:pPr>
        <w:spacing w:after="0" w:line="59" w:lineRule="exact"/>
        <w:rPr>
          <w:rFonts w:ascii="Arial" w:cs="Arial" w:eastAsia="Arial" w:hAnsi="Arial"/>
          <w:sz w:val="13"/>
          <w:szCs w:val="13"/>
          <w:color w:val="auto"/>
        </w:rPr>
      </w:pPr>
    </w:p>
    <w:p>
      <w:pPr>
        <w:ind w:left="360" w:right="160" w:hanging="355"/>
        <w:spacing w:after="0" w:line="268"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a Schedule 13G filed February 13, 2020, by Kayne Anderson Rudnick Investment Management LLC, or Kayne Anderson, Virtus Investment Advisors, Inc., or Virtus Investment and Virtus Equity Trust, on behalf of Virtus KAR Small Cap Growth Fund, or Virtus Equity. Kayne Anderson may be deemed to be the beneficial owner of 3,966,273 shares of common stock, over which it has (i) sole dispositive power over 770,680 shares held by Kayne Anderson, (ii) shared dispositive power of 3,195,593 shares, (iii) sole voting power over 770,680 shares and (iv) shared voting power over 3,195,593 shares. Virtus Investment has shared voting and dispositive power over 3,195,593 shares and Virtus Equity has shared voting and dispositive power over 3,134,403 shares. The address for Kayne Anderson is 1800 Avenue of the Stars, 2nd Floor, Los Angeles, CA 90067. The address for Virtus Investment is One Financial Plaza, Hartford, CT 06103. The address for Virtus Equity is 101 Munson Street, Greenfield, MA 01301.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hanging="355"/>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1,833 shares of common stock issuable pursuant to restricted units that are subject to vesting conditions within 60 days of March 16,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1,833 shares of common stock issuable pursuant to restricted units that are subject to vesting conditions within 60 days of March 16, 2020.</w:t>
      </w:r>
    </w:p>
    <w:p>
      <w:pPr>
        <w:spacing w:after="0" w:line="109" w:lineRule="exact"/>
        <w:rPr>
          <w:rFonts w:ascii="Arial" w:cs="Arial" w:eastAsia="Arial" w:hAnsi="Arial"/>
          <w:sz w:val="14"/>
          <w:szCs w:val="14"/>
          <w:color w:val="auto"/>
        </w:rPr>
      </w:pPr>
    </w:p>
    <w:p>
      <w:pPr>
        <w:ind w:left="360" w:right="560" w:hanging="355"/>
        <w:spacing w:after="0" w:line="273"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11,286 shares of common stock held by Mr. Huffman and (ii) 113,837 shares of common stock issuable upon the exercise of stock options exercisable within 60 days of March 16, 2020.</w:t>
      </w:r>
    </w:p>
    <w:p>
      <w:pPr>
        <w:spacing w:after="0" w:line="65" w:lineRule="exact"/>
        <w:rPr>
          <w:rFonts w:ascii="Arial" w:cs="Arial" w:eastAsia="Arial" w:hAnsi="Arial"/>
          <w:sz w:val="14"/>
          <w:szCs w:val="14"/>
          <w:color w:val="auto"/>
        </w:rPr>
      </w:pPr>
    </w:p>
    <w:p>
      <w:pPr>
        <w:ind w:left="360" w:right="240" w:hanging="355"/>
        <w:spacing w:after="0" w:line="273"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5,175 shares of common stock held by Ms. Morgan-Prager and (ii) 183,495 shares of common stock issuable upon the exercise of stock options exercisable within 60 days of March 16, 2020.</w:t>
      </w:r>
    </w:p>
    <w:p>
      <w:pPr>
        <w:spacing w:after="0" w:line="65" w:lineRule="exact"/>
        <w:rPr>
          <w:rFonts w:ascii="Arial" w:cs="Arial" w:eastAsia="Arial" w:hAnsi="Arial"/>
          <w:sz w:val="14"/>
          <w:szCs w:val="14"/>
          <w:color w:val="auto"/>
        </w:rPr>
      </w:pPr>
    </w:p>
    <w:p>
      <w:pPr>
        <w:ind w:left="360" w:right="40" w:hanging="355"/>
        <w:spacing w:after="0" w:line="273"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11,952 shares of common stock held by Mr. Partin and (ii) 401,003 shares of common stock issuable upon the exercise of stock options exercisable within 60 days of March 16, 2020.</w:t>
      </w:r>
    </w:p>
    <w:p>
      <w:pPr>
        <w:spacing w:after="0" w:line="65" w:lineRule="exact"/>
        <w:rPr>
          <w:rFonts w:ascii="Arial" w:cs="Arial" w:eastAsia="Arial" w:hAnsi="Arial"/>
          <w:sz w:val="14"/>
          <w:szCs w:val="14"/>
          <w:color w:val="auto"/>
        </w:rPr>
      </w:pPr>
    </w:p>
    <w:p>
      <w:pPr>
        <w:jc w:val="both"/>
        <w:ind w:left="360" w:right="80" w:hanging="355"/>
        <w:spacing w:after="0" w:line="257"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1,299 shares of common stock held by Mr. Ryan, (ii) 2,874 shares of common stock issuable upon the exercise of stock options exercisable within 60 days of March 16, 2020, and (iii) 3,857 shares of common stock issuable pursuant to restricted units that are subject to vesting conditions within 60 days of March 16, 2020.</w:t>
      </w:r>
    </w:p>
    <w:p>
      <w:pPr>
        <w:spacing w:after="0" w:line="76" w:lineRule="exact"/>
        <w:rPr>
          <w:rFonts w:ascii="Arial" w:cs="Arial" w:eastAsia="Arial" w:hAnsi="Arial"/>
          <w:sz w:val="14"/>
          <w:szCs w:val="14"/>
          <w:color w:val="auto"/>
        </w:rPr>
      </w:pPr>
    </w:p>
    <w:p>
      <w:pPr>
        <w:ind w:left="360" w:right="140" w:hanging="355"/>
        <w:spacing w:after="0" w:line="257"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23,494 shares of common stock held by Mr. Smith, (ii) 79,396 shares of common stock issuable upon the exercise of stock options exercisable within 60 days of March 16, 2020, and (iii) 3,857 shares of common stock issuable pursuant to restricted units that are subject to vesting conditions within 60 days of March 16, 2020.</w:t>
      </w:r>
    </w:p>
    <w:p>
      <w:pPr>
        <w:spacing w:after="0" w:line="76" w:lineRule="exact"/>
        <w:rPr>
          <w:rFonts w:ascii="Arial" w:cs="Arial" w:eastAsia="Arial" w:hAnsi="Arial"/>
          <w:sz w:val="14"/>
          <w:szCs w:val="14"/>
          <w:color w:val="auto"/>
        </w:rPr>
      </w:pPr>
    </w:p>
    <w:p>
      <w:pPr>
        <w:ind w:left="360" w:hanging="355"/>
        <w:spacing w:after="0" w:line="252"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600,000 shares of common stock held by the Spanicciati Family 2013 Irrevocable Trust, (ii) 126,396 shares of common stock held by the Spanicciati Family 2013 Dynasty Trust, (iii) 691,267 shares of common stock held by the Spanicciati Family 2020 Irrevocable Trust, (iv) 5,323 shares of common stock held by Mr. Spanicciati, and (iv) 17,278 shares of common stock subject to options which are exercisable within 60 days of March 16, 2020. Mr. Spanicciati has shared voting and investment power over 1,417,663 shares of common stock.</w:t>
      </w:r>
    </w:p>
    <w:p>
      <w:pPr>
        <w:spacing w:after="0" w:line="79" w:lineRule="exact"/>
        <w:rPr>
          <w:rFonts w:ascii="Arial" w:cs="Arial" w:eastAsia="Arial" w:hAnsi="Arial"/>
          <w:sz w:val="14"/>
          <w:szCs w:val="14"/>
          <w:color w:val="auto"/>
        </w:rPr>
      </w:pPr>
    </w:p>
    <w:p>
      <w:pPr>
        <w:jc w:val="both"/>
        <w:ind w:left="360" w:right="140" w:hanging="355"/>
        <w:spacing w:after="0" w:line="257"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3,606 shares of common stock held by Mr. Thompson, (ii) 8,029 shares of common stock issuable upon the exercise of stock options exercisable within 60 days of March 16, 2020, and (iii) 3,857 shares of common stock issuable pursuant to restricted units that are subject to vesting conditions within 60 days of March 16, 2020.</w:t>
      </w:r>
    </w:p>
    <w:p>
      <w:pPr>
        <w:spacing w:after="0" w:line="76" w:lineRule="exact"/>
        <w:rPr>
          <w:rFonts w:ascii="Arial" w:cs="Arial" w:eastAsia="Arial" w:hAnsi="Arial"/>
          <w:sz w:val="14"/>
          <w:szCs w:val="14"/>
          <w:color w:val="auto"/>
        </w:rPr>
      </w:pPr>
    </w:p>
    <w:p>
      <w:pPr>
        <w:ind w:left="360" w:right="40" w:hanging="355"/>
        <w:spacing w:after="0" w:line="247"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2,698,482 shares of common stock held by the Brian and Therese Tucker Living Trust dated 12/19/2014, (ii) 874,128 shares of common stock held by the Tucker Legacy Trust dated 12/30/2014, (iii) 577,200 shares of common stock held by the Isaac Tucker 2012 Irrevocable Gift Trust, (iv) 577,200 shares of common stock held by the Roseanna Tucker 2012 Irrevocable Gift Trust, (v) 250,916 shares of common stock held by the Tucker-Seimetz Safety Net Trust dated 09/28/2015, (vi) 54,074 shares of common stock held by the Claire Seimetz 2015 Trust dated 9/28/2015, (vii) 38,999 shares of common stock held by Therese Tucker, and (viii) 168,917 shares of common stock subject to options which are exercisable within 60 days of March 16, 2020. Ms. Tucker has shared voting and investment power over 1,179,118 shares of common stock.</w:t>
      </w:r>
    </w:p>
    <w:p>
      <w:pPr>
        <w:spacing w:after="0" w:line="85" w:lineRule="exact"/>
        <w:rPr>
          <w:rFonts w:ascii="Arial" w:cs="Arial" w:eastAsia="Arial" w:hAnsi="Arial"/>
          <w:sz w:val="14"/>
          <w:szCs w:val="14"/>
          <w:color w:val="auto"/>
        </w:rPr>
      </w:pPr>
    </w:p>
    <w:p>
      <w:pPr>
        <w:ind w:left="360" w:hanging="355"/>
        <w:spacing w:after="0" w:line="286" w:lineRule="auto"/>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(i) 70,000 shares of common stock held by ETU Rustic Canyon Trust of which Mr. Unterman is the trustee, (ii) 53,801 shares of common stock held by Mr. Unterman, (iii) 16,896 shares of common stock issuable upon the exercise of stock options exercisable within 60 days of March 16, 2020, and (iv) 3,857 shares of common stock issuable pursuant to restricted units that are subject to vesting conditions within 60 days of March 16, 2020.</w:t>
      </w:r>
    </w:p>
    <w:p>
      <w:pPr>
        <w:spacing w:after="0" w:line="59" w:lineRule="exact"/>
        <w:rPr>
          <w:rFonts w:ascii="Arial" w:cs="Arial" w:eastAsia="Arial" w:hAnsi="Arial"/>
          <w:sz w:val="13"/>
          <w:szCs w:val="13"/>
          <w:color w:val="auto"/>
        </w:rPr>
      </w:pPr>
    </w:p>
    <w:p>
      <w:pPr>
        <w:ind w:left="360" w:hanging="355"/>
        <w:spacing w:after="0"/>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721 shares of common stock issuable pursuant to restricted stock units that are subject to vesting conditions within 60 days of March 16, 2020.</w:t>
      </w:r>
    </w:p>
    <w:p>
      <w:pPr>
        <w:spacing w:after="0" w:line="120" w:lineRule="exact"/>
        <w:rPr>
          <w:rFonts w:ascii="Arial" w:cs="Arial" w:eastAsia="Arial" w:hAnsi="Arial"/>
          <w:sz w:val="13"/>
          <w:szCs w:val="13"/>
          <w:color w:val="auto"/>
        </w:rPr>
      </w:pPr>
    </w:p>
    <w:p>
      <w:pPr>
        <w:ind w:left="360" w:right="140" w:hanging="355"/>
        <w:spacing w:after="0" w:line="257"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334 shares of common stock held by Ms. Yamamoto, (ii) 766 shares of common stock issuable upon the exercise of stock options exercisable within 60 days of March 16, 2020, and (iii) 3,857 shares of common stock issuable pursuant to restricted units that are subject to vesting conditions within 60 days of March 16, 2020.</w:t>
      </w:r>
    </w:p>
    <w:p>
      <w:pPr>
        <w:spacing w:after="0" w:line="76" w:lineRule="exact"/>
        <w:rPr>
          <w:rFonts w:ascii="Arial" w:cs="Arial" w:eastAsia="Arial" w:hAnsi="Arial"/>
          <w:sz w:val="14"/>
          <w:szCs w:val="14"/>
          <w:color w:val="auto"/>
        </w:rPr>
      </w:pPr>
    </w:p>
    <w:p>
      <w:pPr>
        <w:ind w:left="360" w:right="200" w:hanging="355"/>
        <w:spacing w:after="0" w:line="273"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 1,010,836 shares of common stock subject to options which are exercisable within 60 days of March 16, 2020 and (ii) 23,672 shares of common stock issuable pursuant to restricted stock units that are subject to vesting conditions within 60 days of March 16,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of ownership on Forms 3, 4 and 5 with the SEC. Such Reporting Persons are required by SEC regulations to furnish us with copies of all Section 16(a) forms they file.</w:t>
      </w:r>
    </w:p>
    <w:p>
      <w:pPr>
        <w:spacing w:after="0" w:line="7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Based solely on our review of the copies of such forms we have received and written representations from certain Reporting Persons that they filed all required reports, we believe that all of our executive officers, directors and greater than 10% stockholders complied with all Section 16(a) filing requirements applicable to them with respect to transactions during 2019, except for a late Form 4 filing for Ms. Tucker in connection with the withholding of shares to cover Ms. Tucker’s tax liability in connection with the vesting of RSUs on April 8, 2019 due to an administrative error, and a late Form 4 filing for Mr. Huffman in connection with a transfer of shares to a family member pursuant to a contractual obligation.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Report</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2019 are included in our 2019 annual report, which we will make available to stockholders at the same time as this proxy statement. </w:t>
      </w:r>
      <w:r>
        <w:rPr>
          <w:rFonts w:ascii="Arial" w:cs="Arial" w:eastAsia="Arial" w:hAnsi="Arial"/>
          <w:sz w:val="18"/>
          <w:szCs w:val="18"/>
          <w:b w:val="1"/>
          <w:bCs w:val="1"/>
          <w:color w:val="auto"/>
        </w:rPr>
        <w:t>You may also obtain a copy of our 2019 annual report,</w:t>
      </w:r>
      <w:r>
        <w:rPr>
          <w:rFonts w:ascii="Arial" w:cs="Arial" w:eastAsia="Arial" w:hAnsi="Arial"/>
          <w:sz w:val="18"/>
          <w:szCs w:val="18"/>
          <w:color w:val="auto"/>
        </w:rPr>
        <w:t xml:space="preserve"> </w:t>
      </w:r>
      <w:r>
        <w:rPr>
          <w:rFonts w:ascii="Arial" w:cs="Arial" w:eastAsia="Arial" w:hAnsi="Arial"/>
          <w:sz w:val="18"/>
          <w:szCs w:val="18"/>
          <w:b w:val="1"/>
          <w:bCs w:val="1"/>
          <w:color w:val="auto"/>
        </w:rPr>
        <w:t>including the financial statements and the financial statement schedules, free of charge, by sending a written request to our Investor Relations department at BlackLine, Inc., 21300 Victory Boulevard, 12th floor, Woodland Hills, CA 91367, Attention: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We maintain a website at www.blackline.com.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21"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A copy of our bylaws may be obtained by accessing BlackLine’s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STOCKHOLDER PROPOSAL DEADLINES FOR 2021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121"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November 24, 2020. In addition, stockholder proposals must comply with the requirements of Rule 14a-8 under the Exchange Act regarding the inclusion of stockholder proposals in company-sponsored proxy materials. Proposals should be addressed 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BlackLine,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21300 Victory Boulevard, 12th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Woodland Hills, California 91367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2021 annual meeting of stockholders, the stockholder must have given timely notice of such proposal or nomination, in proper written form. To be timely for our 2021 annual meeting of stockholders, a stockholder’s notice of a matter that the stockholder wishes to present, or the person or persons the stockholder wishes to nominate as a director, must be delivered to our corporate secretary at our principal executive offices:</w:t>
      </w:r>
    </w:p>
    <w:p>
      <w:pPr>
        <w:spacing w:after="0" w:line="87" w:lineRule="exact"/>
        <w:rPr>
          <w:sz w:val="20"/>
          <w:szCs w:val="20"/>
          <w:color w:val="auto"/>
        </w:rPr>
      </w:pPr>
    </w:p>
    <w:p>
      <w:pPr>
        <w:ind w:left="700" w:hanging="34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earlier than January 8, 2021,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later than the close of business on February 7, 2021.</w:t>
      </w:r>
    </w:p>
    <w:p>
      <w:pPr>
        <w:spacing w:after="0" w:line="117" w:lineRule="exact"/>
        <w:rPr>
          <w:sz w:val="20"/>
          <w:szCs w:val="20"/>
          <w:color w:val="auto"/>
        </w:rPr>
      </w:pPr>
    </w:p>
    <w:p>
      <w:pPr>
        <w:ind w:right="180" w:firstLine="360"/>
        <w:spacing w:after="0" w:line="311" w:lineRule="auto"/>
        <w:rPr>
          <w:sz w:val="20"/>
          <w:szCs w:val="20"/>
          <w:color w:val="auto"/>
        </w:rPr>
      </w:pPr>
      <w:r>
        <w:rPr>
          <w:rFonts w:ascii="Arial" w:cs="Arial" w:eastAsia="Arial" w:hAnsi="Arial"/>
          <w:sz w:val="16"/>
          <w:szCs w:val="16"/>
          <w:color w:val="auto"/>
        </w:rPr>
        <w:t>If we hold our 2021 annual meeting of stockholders more than 30 days before or more than 60 days after the one-year anniversary date of the 2020 annual meeting, then such written notice must be received no earlier than the close of business on the 120th day before the 2021 annual meeting and no later than the close of business on the later of the following two dates:</w:t>
      </w:r>
    </w:p>
    <w:p>
      <w:pPr>
        <w:spacing w:after="0" w:line="41" w:lineRule="exact"/>
        <w:rPr>
          <w:sz w:val="20"/>
          <w:szCs w:val="20"/>
          <w:color w:val="auto"/>
        </w:rPr>
      </w:pPr>
    </w:p>
    <w:p>
      <w:pPr>
        <w:ind w:left="700" w:hanging="34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90th day prior to our 2021 annual meeting of stockholders, or</w:t>
      </w:r>
    </w:p>
    <w:p>
      <w:pPr>
        <w:spacing w:after="0" w:line="117" w:lineRule="exact"/>
        <w:rPr>
          <w:rFonts w:ascii="Arial" w:cs="Arial" w:eastAsia="Arial" w:hAnsi="Arial"/>
          <w:sz w:val="18"/>
          <w:szCs w:val="18"/>
          <w:color w:val="auto"/>
        </w:rPr>
      </w:pPr>
    </w:p>
    <w:p>
      <w:pPr>
        <w:ind w:left="700" w:right="200" w:hanging="344"/>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our 2021 annual meeting of stockholders is first made.</w:t>
      </w:r>
    </w:p>
    <w:p>
      <w:pPr>
        <w:spacing w:after="0" w:line="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 To be in proper written form, a stockholder’s notice must include the specified information concerning the proposal or nominee as described in our bylaws. Notices should be addressed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BlackLine,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21300 Victory Boulevard, 12th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Woodland Hills, California 91367</w:t>
      </w:r>
    </w:p>
    <w:p>
      <w:pPr>
        <w:spacing w:after="0" w:line="103"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For information on how to access our bylaws, please see the section entitled “</w:t>
      </w:r>
      <w:r>
        <w:rPr>
          <w:rFonts w:ascii="Arial" w:cs="Arial" w:eastAsia="Arial" w:hAnsi="Arial"/>
          <w:sz w:val="18"/>
          <w:szCs w:val="18"/>
          <w:i w:val="1"/>
          <w:iCs w:val="1"/>
          <w:color w:val="auto"/>
        </w:rPr>
        <w:t>Availability of Bylaws</w:t>
      </w:r>
      <w:r>
        <w:rPr>
          <w:rFonts w:ascii="Arial" w:cs="Arial" w:eastAsia="Arial" w:hAnsi="Arial"/>
          <w:sz w:val="18"/>
          <w:szCs w:val="18"/>
          <w:color w:val="auto"/>
        </w:rPr>
        <w:t>,” and for additional information regarding stockholder recommendations for director candidates, please see the section entitled “</w:t>
      </w:r>
      <w:r>
        <w:rPr>
          <w:rFonts w:ascii="Arial" w:cs="Arial" w:eastAsia="Arial" w:hAnsi="Arial"/>
          <w:sz w:val="18"/>
          <w:szCs w:val="18"/>
          <w:i w:val="1"/>
          <w:iCs w:val="1"/>
          <w:color w:val="auto"/>
        </w:rPr>
        <w:t>Board of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Governance—Stockholder Recommendations for Nominations to our Board</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know of no other matters to be submitted at the 2020 annual meeting. If any other matters properly come before the 2020 annual meeting, the persons named in the proxy will have discretion to vote the shares of our common stock they represent in accordance with their own judgment on such matters. Discretionary authority with respect to such other matters is granted by a properly submitted proxy.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important that your shares be represented at the 2020 annual meeting, regardless of the number of shares that you hold.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are, therefore, urged to vote as promptly as possible to ensure your vote is recorded.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360"/>
          </w:cols>
          <w:pgMar w:left="1160" w:top="279" w:right="13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Non-GAAP Financial Measures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90"/>
        </w:trPr>
        <w:tc>
          <w:tcPr>
            <w:tcW w:w="74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 (Loss) Attributable to BlackLine, Inc.:</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Net income (loss) attributable to BlackLine,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(32,535)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(28,714)</w:t>
            </w:r>
          </w:p>
        </w:tc>
      </w:tr>
      <w:tr>
        <w:trPr>
          <w:trHeight w:val="24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10,265</w:t>
            </w: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13,023</w:t>
            </w:r>
          </w:p>
        </w:tc>
      </w:tr>
      <w:tr>
        <w:trPr>
          <w:trHeight w:val="24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34,052</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20,895</w:t>
            </w: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8,410</w:t>
            </w: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Legal settlement gains</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Shelf offering costs</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Adjustment to redeemable non-controlling interest</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non-GAAP net income (loss) attributable to BlackLine,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5,515</w:t>
            </w: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29"/>
        </w:trPr>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90"/>
        </w:trPr>
        <w:tc>
          <w:tcPr>
            <w:tcW w:w="74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cash provided by (used for)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29,724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16,140</w:t>
            </w:r>
          </w:p>
        </w:tc>
      </w:tr>
      <w:tr>
        <w:trPr>
          <w:trHeight w:val="249"/>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(5,060)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(5,675)</w:t>
            </w:r>
          </w:p>
        </w:tc>
      </w:tr>
      <w:tr>
        <w:trPr>
          <w:trHeight w:val="24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(4,632)</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Financed purchases of property and equipment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19,605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4,181</w:t>
            </w:r>
          </w:p>
        </w:tc>
      </w:tr>
      <w:tr>
        <w:trPr>
          <w:trHeight w:val="432"/>
        </w:trPr>
        <w:tc>
          <w:tcPr>
            <w:tcW w:w="7420" w:type="dxa"/>
            <w:vAlign w:val="bottom"/>
            <w:tcBorders>
              <w:top w:val="single" w:sz="8" w:color="CCEEFF"/>
            </w:tcBorders>
          </w:tcPr>
          <w:p>
            <w:pPr>
              <w:ind w:left="4640"/>
              <w:spacing w:after="0"/>
              <w:rPr>
                <w:sz w:val="20"/>
                <w:szCs w:val="20"/>
                <w:color w:val="auto"/>
              </w:rPr>
            </w:pPr>
            <w:r>
              <w:rPr>
                <w:rFonts w:ascii="Arial" w:cs="Arial" w:eastAsia="Arial" w:hAnsi="Arial"/>
                <w:sz w:val="18"/>
                <w:szCs w:val="18"/>
                <w:color w:val="auto"/>
              </w:rPr>
              <w:t>A-1</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5"/>
        </w:trPr>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742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664325" cy="9103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4325" cy="9103995"/>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664325" cy="91039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4325" cy="9103995"/>
                    </a:xfrm>
                    <a:prstGeom prst="rect">
                      <a:avLst/>
                    </a:prstGeom>
                    <a:noFill/>
                  </pic:spPr>
                </pic:pic>
              </a:graphicData>
            </a:graphic>
          </wp:anchor>
        </w:drawing>
      </w:r>
    </w:p>
    <w:sectPr>
      <w:pgSz w:w="11900" w:h="16838" w:orient="portrait"/>
      <w:cols w:equalWidth="0" w:num="1">
        <w:col w:w="9299"/>
      </w:cols>
      <w:pgMar w:left="116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o"/>
      <w:numFmt w:val="bullet"/>
      <w:start w:val="1"/>
    </w:lvl>
    <w:lvl w:ilvl="1">
      <w:lvlJc w:val="left"/>
      <w:lvlText w:val="(%2)"/>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Letter"/>
      <w:start w:val="25"/>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0"/>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5"/>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2020-03-24T15:07:18Z</dcterms:created>
  <dcterms:modified xsi:type="dcterms:W3CDTF">2020-03-24T15:07:18Z</dcterms:modified>
</cp:coreProperties>
</file>